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7A2C" w:rsidRPr="00820495" w:rsidRDefault="00F873AA" w:rsidP="00B649B7">
      <w:r>
        <w:tab/>
      </w:r>
      <w:r w:rsidR="002C2E78">
        <w:t xml:space="preserve">  </w:t>
      </w:r>
    </w:p>
    <w:p w:rsidR="00E77566" w:rsidRDefault="00E77566" w:rsidP="00E77566">
      <w:pPr>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6C3052">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C73584" w:rsidRPr="000A1F0F" w:rsidRDefault="00C73584" w:rsidP="001A65C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C73584" w:rsidRDefault="00C73584" w:rsidP="001A65C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970D0A">
              <w:rPr>
                <w:rFonts w:ascii="Arial" w:hAnsi="Arial" w:cs="Arial"/>
                <w:b/>
                <w:iCs/>
                <w:caps/>
                <w:sz w:val="26"/>
                <w:szCs w:val="26"/>
                <w:lang w:val="es-PE"/>
              </w:rPr>
              <w:t>282/2019</w:t>
            </w:r>
            <w:r>
              <w:rPr>
                <w:rFonts w:ascii="Arial" w:hAnsi="Arial" w:cs="Arial"/>
                <w:b/>
                <w:iCs/>
                <w:caps/>
                <w:sz w:val="26"/>
                <w:szCs w:val="26"/>
                <w:lang w:val="es-PE"/>
              </w:rPr>
              <w:t>.</w:t>
            </w:r>
          </w:p>
          <w:p w:rsidR="00C73584" w:rsidRPr="000A1F0F" w:rsidRDefault="00C73584" w:rsidP="001A65C8">
            <w:pPr>
              <w:pStyle w:val="Encabezado"/>
              <w:ind w:right="51"/>
              <w:jc w:val="both"/>
              <w:rPr>
                <w:rFonts w:ascii="Arial" w:hAnsi="Arial" w:cs="Arial"/>
                <w:b/>
                <w:iCs/>
                <w:caps/>
                <w:sz w:val="26"/>
                <w:szCs w:val="26"/>
                <w:lang w:val="es-PE"/>
              </w:rPr>
            </w:pPr>
          </w:p>
          <w:p w:rsidR="00C73584" w:rsidRDefault="00C73584" w:rsidP="001A65C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002</w:t>
            </w:r>
            <w:r w:rsidR="00970D0A">
              <w:rPr>
                <w:rFonts w:ascii="Arial" w:hAnsi="Arial" w:cs="Arial"/>
                <w:b/>
                <w:iCs/>
                <w:caps/>
                <w:sz w:val="26"/>
                <w:szCs w:val="26"/>
                <w:lang w:val="es-PE"/>
              </w:rPr>
              <w:t>4/2</w:t>
            </w:r>
            <w:r w:rsidR="00703219">
              <w:rPr>
                <w:rFonts w:ascii="Arial" w:hAnsi="Arial" w:cs="Arial"/>
                <w:b/>
                <w:iCs/>
                <w:caps/>
                <w:sz w:val="26"/>
                <w:szCs w:val="26"/>
                <w:lang w:val="es-PE"/>
              </w:rPr>
              <w:t>019</w:t>
            </w:r>
            <w:r>
              <w:rPr>
                <w:rFonts w:ascii="Arial" w:hAnsi="Arial" w:cs="Arial"/>
                <w:b/>
                <w:iCs/>
                <w:caps/>
                <w:sz w:val="26"/>
                <w:szCs w:val="26"/>
                <w:lang w:val="es-PE"/>
              </w:rPr>
              <w:t xml:space="preserve"> de la SEXTA sala unitaria DE PRIMERA INSTANCIA.</w:t>
            </w:r>
          </w:p>
          <w:p w:rsidR="00C73584" w:rsidRPr="000A1F0F" w:rsidRDefault="00C73584" w:rsidP="001A65C8">
            <w:pPr>
              <w:pStyle w:val="Encabezado"/>
              <w:ind w:left="1119" w:right="51" w:hanging="1119"/>
              <w:jc w:val="both"/>
              <w:rPr>
                <w:rFonts w:ascii="Arial" w:hAnsi="Arial" w:cs="Arial"/>
                <w:b/>
                <w:iCs/>
                <w:caps/>
                <w:sz w:val="26"/>
                <w:szCs w:val="26"/>
                <w:lang w:val="es-PE"/>
              </w:rPr>
            </w:pPr>
          </w:p>
          <w:p w:rsidR="00C73584" w:rsidRPr="000A1F0F" w:rsidRDefault="00C73584" w:rsidP="001A65C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6C3052">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C73584" w:rsidRPr="00B668BB" w:rsidTr="001A65C8">
        <w:tc>
          <w:tcPr>
            <w:tcW w:w="2356" w:type="dxa"/>
          </w:tcPr>
          <w:p w:rsidR="00C73584" w:rsidRPr="00B668BB" w:rsidRDefault="00C73584" w:rsidP="001A65C8">
            <w:pPr>
              <w:rPr>
                <w:rFonts w:ascii="Arial" w:hAnsi="Arial" w:cs="Arial"/>
                <w:b/>
                <w:sz w:val="26"/>
                <w:szCs w:val="26"/>
              </w:rPr>
            </w:pPr>
          </w:p>
        </w:tc>
        <w:tc>
          <w:tcPr>
            <w:tcW w:w="7426" w:type="dxa"/>
          </w:tcPr>
          <w:p w:rsidR="00C73584" w:rsidRPr="00B668BB" w:rsidRDefault="00C73584" w:rsidP="001A65C8">
            <w:pPr>
              <w:tabs>
                <w:tab w:val="left" w:pos="3103"/>
              </w:tabs>
              <w:ind w:left="2961" w:hanging="2961"/>
              <w:jc w:val="both"/>
              <w:rPr>
                <w:rFonts w:ascii="Arial" w:hAnsi="Arial" w:cs="Arial"/>
                <w:b/>
                <w:i/>
                <w:iCs/>
                <w:caps/>
                <w:sz w:val="26"/>
                <w:szCs w:val="26"/>
              </w:rPr>
            </w:pPr>
          </w:p>
        </w:tc>
      </w:tr>
    </w:tbl>
    <w:p w:rsidR="004578DD" w:rsidRDefault="00C73584" w:rsidP="00C73584">
      <w:pPr>
        <w:spacing w:line="360" w:lineRule="auto"/>
        <w:jc w:val="both"/>
        <w:rPr>
          <w:rFonts w:ascii="Arial" w:hAnsi="Arial" w:cs="Arial"/>
          <w:b/>
          <w:sz w:val="26"/>
          <w:szCs w:val="26"/>
        </w:rPr>
      </w:pPr>
      <w:r w:rsidRPr="006E349D">
        <w:rPr>
          <w:rFonts w:ascii="Arial" w:hAnsi="Arial" w:cs="Arial"/>
          <w:b/>
          <w:sz w:val="26"/>
          <w:szCs w:val="26"/>
        </w:rPr>
        <w:t>OAXACA DE JUÁREZ, OAXACA</w:t>
      </w:r>
      <w:r w:rsidR="004578DD">
        <w:rPr>
          <w:rFonts w:ascii="Arial" w:hAnsi="Arial" w:cs="Arial"/>
          <w:b/>
          <w:sz w:val="26"/>
          <w:szCs w:val="26"/>
        </w:rPr>
        <w:t xml:space="preserve">, A TRECE DE FEBRERO </w:t>
      </w:r>
      <w:r>
        <w:rPr>
          <w:rFonts w:ascii="Arial" w:hAnsi="Arial" w:cs="Arial"/>
          <w:b/>
          <w:sz w:val="26"/>
          <w:szCs w:val="26"/>
        </w:rPr>
        <w:t xml:space="preserve">DE </w:t>
      </w:r>
      <w:r w:rsidRPr="006E349D">
        <w:rPr>
          <w:rFonts w:ascii="Arial" w:hAnsi="Arial" w:cs="Arial"/>
          <w:b/>
          <w:sz w:val="26"/>
          <w:szCs w:val="26"/>
        </w:rPr>
        <w:t xml:space="preserve">DOS MIL </w:t>
      </w:r>
      <w:r w:rsidR="00970D0A">
        <w:rPr>
          <w:rFonts w:ascii="Arial" w:hAnsi="Arial" w:cs="Arial"/>
          <w:b/>
          <w:sz w:val="26"/>
          <w:szCs w:val="26"/>
        </w:rPr>
        <w:t>VEINTE</w:t>
      </w:r>
      <w:r w:rsidRPr="006E349D">
        <w:rPr>
          <w:rFonts w:ascii="Arial" w:hAnsi="Arial" w:cs="Arial"/>
          <w:b/>
          <w:sz w:val="26"/>
          <w:szCs w:val="26"/>
        </w:rPr>
        <w:t>.</w:t>
      </w:r>
    </w:p>
    <w:p w:rsidR="004578DD" w:rsidRDefault="00C73584" w:rsidP="004578DD">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970D0A">
        <w:rPr>
          <w:rFonts w:ascii="Arial" w:hAnsi="Arial" w:cs="Arial"/>
          <w:b/>
          <w:sz w:val="26"/>
          <w:szCs w:val="26"/>
        </w:rPr>
        <w:t>282</w:t>
      </w:r>
      <w:r>
        <w:rPr>
          <w:rFonts w:ascii="Arial" w:hAnsi="Arial" w:cs="Arial"/>
          <w:b/>
          <w:sz w:val="26"/>
          <w:szCs w:val="26"/>
        </w:rPr>
        <w:t>/201</w:t>
      </w:r>
      <w:r w:rsidR="00970D0A">
        <w:rPr>
          <w:rFonts w:ascii="Arial" w:hAnsi="Arial" w:cs="Arial"/>
          <w:b/>
          <w:sz w:val="26"/>
          <w:szCs w:val="26"/>
        </w:rPr>
        <w:t>9</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E81FE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la sentencia de fecha </w:t>
      </w:r>
      <w:r w:rsidR="00970D0A">
        <w:rPr>
          <w:rFonts w:ascii="Arial" w:hAnsi="Arial" w:cs="Arial"/>
          <w:sz w:val="26"/>
          <w:szCs w:val="26"/>
        </w:rPr>
        <w:t>diez de julio de dos mil diecinueve</w:t>
      </w:r>
      <w:r w:rsidRPr="00821CBD">
        <w:rPr>
          <w:rFonts w:ascii="Arial" w:hAnsi="Arial" w:cs="Arial"/>
          <w:sz w:val="26"/>
          <w:szCs w:val="26"/>
        </w:rPr>
        <w:t xml:space="preserve">, dictada en el </w:t>
      </w:r>
      <w:r>
        <w:rPr>
          <w:rFonts w:ascii="Arial" w:hAnsi="Arial" w:cs="Arial"/>
          <w:sz w:val="26"/>
          <w:szCs w:val="26"/>
        </w:rPr>
        <w:t>expediente</w:t>
      </w:r>
      <w:r w:rsidRPr="00821CBD">
        <w:rPr>
          <w:rFonts w:ascii="Arial" w:hAnsi="Arial" w:cs="Arial"/>
          <w:sz w:val="26"/>
          <w:szCs w:val="26"/>
        </w:rPr>
        <w:t xml:space="preserve"> </w:t>
      </w:r>
      <w:r>
        <w:rPr>
          <w:rFonts w:ascii="Arial" w:hAnsi="Arial" w:cs="Arial"/>
          <w:b/>
          <w:sz w:val="26"/>
          <w:szCs w:val="26"/>
        </w:rPr>
        <w:t>002</w:t>
      </w:r>
      <w:r w:rsidR="00970D0A">
        <w:rPr>
          <w:rFonts w:ascii="Arial" w:hAnsi="Arial" w:cs="Arial"/>
          <w:b/>
          <w:sz w:val="26"/>
          <w:szCs w:val="26"/>
        </w:rPr>
        <w:t>4</w:t>
      </w:r>
      <w:r>
        <w:rPr>
          <w:rFonts w:ascii="Arial" w:hAnsi="Arial" w:cs="Arial"/>
          <w:b/>
          <w:sz w:val="26"/>
          <w:szCs w:val="26"/>
        </w:rPr>
        <w:t>/201</w:t>
      </w:r>
      <w:r w:rsidR="00970D0A">
        <w:rPr>
          <w:rFonts w:ascii="Arial" w:hAnsi="Arial" w:cs="Arial"/>
          <w:b/>
          <w:sz w:val="26"/>
          <w:szCs w:val="26"/>
        </w:rPr>
        <w:t>9</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Sexta Sala Unitaria de Primera Instancia</w:t>
      </w:r>
      <w:r w:rsidR="00970D0A">
        <w:rPr>
          <w:rFonts w:ascii="Arial" w:hAnsi="Arial" w:cs="Arial"/>
          <w:sz w:val="26"/>
          <w:szCs w:val="26"/>
        </w:rPr>
        <w:t xml:space="preserve"> de este Tribunal</w:t>
      </w:r>
      <w:r>
        <w:rPr>
          <w:rFonts w:ascii="Arial" w:hAnsi="Arial" w:cs="Arial"/>
          <w:sz w:val="26"/>
          <w:szCs w:val="26"/>
        </w:rPr>
        <w:t>, relativo a</w:t>
      </w:r>
      <w:r w:rsidRPr="006E349D">
        <w:rPr>
          <w:rFonts w:ascii="Arial" w:hAnsi="Arial" w:cs="Arial"/>
          <w:sz w:val="26"/>
          <w:szCs w:val="26"/>
        </w:rPr>
        <w:t>l</w:t>
      </w:r>
      <w:r>
        <w:rPr>
          <w:rFonts w:ascii="Arial" w:hAnsi="Arial" w:cs="Arial"/>
          <w:sz w:val="26"/>
          <w:szCs w:val="26"/>
        </w:rPr>
        <w:t xml:space="preserve"> juicio de </w:t>
      </w:r>
      <w:r w:rsidRPr="006E349D">
        <w:rPr>
          <w:rFonts w:ascii="Arial" w:hAnsi="Arial" w:cs="Arial"/>
          <w:sz w:val="26"/>
          <w:szCs w:val="26"/>
        </w:rPr>
        <w:t xml:space="preserve">nulidad promovido por </w:t>
      </w:r>
      <w:r w:rsidR="009756B6" w:rsidRPr="00C06D4C">
        <w:rPr>
          <w:rFonts w:ascii="Arial" w:hAnsi="Arial" w:cs="Arial"/>
          <w:sz w:val="26"/>
          <w:szCs w:val="26"/>
        </w:rPr>
        <w:t>el</w:t>
      </w:r>
      <w:r w:rsidR="009756B6">
        <w:rPr>
          <w:rFonts w:ascii="Arial" w:hAnsi="Arial" w:cs="Arial"/>
          <w:sz w:val="26"/>
          <w:szCs w:val="26"/>
        </w:rPr>
        <w:t xml:space="preserve"> </w:t>
      </w:r>
      <w:r w:rsidR="00970D0A">
        <w:rPr>
          <w:rFonts w:ascii="Arial" w:hAnsi="Arial" w:cs="Arial"/>
          <w:b/>
          <w:sz w:val="26"/>
          <w:szCs w:val="26"/>
        </w:rPr>
        <w:t>recurrente</w:t>
      </w:r>
      <w:r w:rsidRPr="00821CBD">
        <w:rPr>
          <w:rFonts w:ascii="Arial" w:hAnsi="Arial" w:cs="Arial"/>
          <w:b/>
          <w:sz w:val="26"/>
          <w:szCs w:val="26"/>
        </w:rPr>
        <w:t xml:space="preserve">, </w:t>
      </w:r>
      <w:r>
        <w:rPr>
          <w:rFonts w:ascii="Arial" w:hAnsi="Arial" w:cs="Arial"/>
          <w:sz w:val="26"/>
          <w:szCs w:val="26"/>
        </w:rPr>
        <w:t>en contra de</w:t>
      </w:r>
      <w:r w:rsidR="00970D0A">
        <w:rPr>
          <w:rFonts w:ascii="Arial" w:hAnsi="Arial" w:cs="Arial"/>
          <w:sz w:val="26"/>
          <w:szCs w:val="26"/>
        </w:rPr>
        <w:t>l</w:t>
      </w:r>
      <w:r>
        <w:rPr>
          <w:rFonts w:ascii="Arial" w:hAnsi="Arial" w:cs="Arial"/>
          <w:sz w:val="26"/>
          <w:szCs w:val="26"/>
        </w:rPr>
        <w:t xml:space="preserve"> </w:t>
      </w:r>
      <w:r w:rsidR="00970D0A">
        <w:rPr>
          <w:rFonts w:ascii="Arial" w:hAnsi="Arial" w:cs="Arial"/>
          <w:b/>
          <w:sz w:val="26"/>
          <w:szCs w:val="26"/>
        </w:rPr>
        <w:t>DIRECTOR  GENERAL DE LA OFICINA DE PENSIONES DEL ESTADO DE OAXACA,</w:t>
      </w:r>
      <w:r w:rsidRPr="00372D3D">
        <w:rPr>
          <w:rFonts w:ascii="Arial" w:hAnsi="Arial" w:cs="Arial"/>
          <w:sz w:val="26"/>
          <w:szCs w:val="26"/>
        </w:rPr>
        <w:t xml:space="preserve"> </w:t>
      </w:r>
      <w:r w:rsidR="00970D0A" w:rsidRPr="00CB6405">
        <w:rPr>
          <w:rFonts w:ascii="Arial" w:hAnsi="Arial" w:cs="Arial"/>
          <w:sz w:val="26"/>
          <w:szCs w:val="26"/>
        </w:rPr>
        <w:t>por lo que co</w:t>
      </w:r>
      <w:r w:rsidR="00970D0A">
        <w:rPr>
          <w:rFonts w:ascii="Arial" w:hAnsi="Arial" w:cs="Arial"/>
          <w:sz w:val="26"/>
          <w:szCs w:val="26"/>
        </w:rPr>
        <w:t xml:space="preserve">n fundamento en los artículos </w:t>
      </w:r>
      <w:r w:rsidR="00970D0A" w:rsidRPr="001B3376">
        <w:rPr>
          <w:rFonts w:ascii="Arial" w:eastAsia="Calibri" w:hAnsi="Arial" w:cs="Arial"/>
          <w:sz w:val="26"/>
          <w:szCs w:val="26"/>
        </w:rPr>
        <w:t>237 y 238 de la Ley de Procedimiento y Justicia Administrativa para el Estado</w:t>
      </w:r>
      <w:r w:rsidR="00970D0A">
        <w:rPr>
          <w:rFonts w:ascii="Arial" w:eastAsia="Calibri" w:hAnsi="Arial" w:cs="Arial"/>
          <w:sz w:val="26"/>
          <w:szCs w:val="26"/>
        </w:rPr>
        <w:t>,</w:t>
      </w:r>
      <w:r w:rsidR="00970D0A">
        <w:rPr>
          <w:rFonts w:ascii="Arial" w:hAnsi="Arial" w:cs="Arial"/>
          <w:sz w:val="26"/>
          <w:szCs w:val="26"/>
        </w:rPr>
        <w:t xml:space="preserve"> </w:t>
      </w:r>
      <w:r w:rsidR="00970D0A" w:rsidRPr="00CB6405">
        <w:rPr>
          <w:rFonts w:ascii="Arial" w:hAnsi="Arial" w:cs="Arial"/>
          <w:sz w:val="26"/>
          <w:szCs w:val="26"/>
        </w:rPr>
        <w:t>se admite</w:t>
      </w:r>
      <w:r w:rsidR="00970D0A" w:rsidRPr="00372D3D">
        <w:rPr>
          <w:rFonts w:ascii="Arial" w:hAnsi="Arial" w:cs="Arial"/>
          <w:sz w:val="26"/>
          <w:szCs w:val="26"/>
        </w:rPr>
        <w:t xml:space="preserve"> </w:t>
      </w:r>
      <w:r w:rsidRPr="00372D3D">
        <w:rPr>
          <w:rFonts w:ascii="Arial" w:hAnsi="Arial" w:cs="Arial"/>
          <w:sz w:val="26"/>
          <w:szCs w:val="26"/>
        </w:rPr>
        <w:t>En consecuencia, se procede a dictar resolución en los siguientes términos:</w:t>
      </w:r>
    </w:p>
    <w:p w:rsidR="004578DD" w:rsidRDefault="00C73584" w:rsidP="004578DD">
      <w:pPr>
        <w:spacing w:line="360" w:lineRule="auto"/>
        <w:jc w:val="center"/>
        <w:rPr>
          <w:rFonts w:ascii="Arial" w:hAnsi="Arial" w:cs="Arial"/>
          <w:b/>
          <w:bCs/>
          <w:sz w:val="26"/>
          <w:szCs w:val="26"/>
        </w:rPr>
      </w:pPr>
      <w:r w:rsidRPr="00A42570">
        <w:rPr>
          <w:rFonts w:ascii="Arial" w:hAnsi="Arial" w:cs="Arial"/>
          <w:b/>
          <w:bCs/>
          <w:sz w:val="26"/>
          <w:szCs w:val="26"/>
        </w:rPr>
        <w:t>R</w:t>
      </w:r>
      <w:r w:rsidRPr="00372D3D">
        <w:rPr>
          <w:rFonts w:ascii="Arial" w:hAnsi="Arial" w:cs="Arial"/>
          <w:b/>
          <w:bCs/>
          <w:sz w:val="26"/>
          <w:szCs w:val="26"/>
        </w:rPr>
        <w:t xml:space="preserve"> E S U L T A N D O</w:t>
      </w:r>
    </w:p>
    <w:p w:rsidR="004578DD" w:rsidRDefault="00C73584" w:rsidP="004578DD">
      <w:pPr>
        <w:spacing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w:t>
      </w:r>
      <w:r w:rsidR="00970D0A">
        <w:rPr>
          <w:rFonts w:ascii="Arial" w:hAnsi="Arial" w:cs="Arial"/>
          <w:sz w:val="26"/>
          <w:szCs w:val="26"/>
        </w:rPr>
        <w:t>sentencia dictada el diez de julio de dos mil diecinueve</w:t>
      </w:r>
      <w:r w:rsidRPr="00372D3D">
        <w:rPr>
          <w:rFonts w:ascii="Arial" w:hAnsi="Arial" w:cs="Arial"/>
          <w:sz w:val="26"/>
          <w:szCs w:val="26"/>
        </w:rPr>
        <w:t xml:space="preserve">, </w:t>
      </w:r>
      <w:r>
        <w:rPr>
          <w:rFonts w:ascii="Arial" w:hAnsi="Arial" w:cs="Arial"/>
          <w:sz w:val="26"/>
          <w:szCs w:val="26"/>
        </w:rPr>
        <w:t xml:space="preserve">por el Magistrado de la Sexta Sala Unitaria de Primera Instancia, </w:t>
      </w:r>
      <w:r w:rsidR="00E81FE1">
        <w:rPr>
          <w:rFonts w:ascii="Arial" w:hAnsi="Arial" w:cs="Arial"/>
          <w:b/>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4578DD" w:rsidRDefault="004578DD" w:rsidP="004578DD">
      <w:pPr>
        <w:spacing w:line="360" w:lineRule="auto"/>
        <w:ind w:firstLine="708"/>
        <w:jc w:val="both"/>
        <w:rPr>
          <w:rFonts w:ascii="Arial" w:hAnsi="Arial" w:cs="Arial"/>
          <w:sz w:val="26"/>
          <w:szCs w:val="26"/>
        </w:rPr>
      </w:pPr>
    </w:p>
    <w:p w:rsidR="004578DD" w:rsidRDefault="00C73584" w:rsidP="004578DD">
      <w:pPr>
        <w:spacing w:line="360" w:lineRule="auto"/>
        <w:ind w:firstLine="708"/>
        <w:jc w:val="both"/>
        <w:rPr>
          <w:rFonts w:ascii="Arial" w:hAnsi="Arial" w:cs="Arial"/>
          <w:sz w:val="26"/>
          <w:szCs w:val="26"/>
        </w:rPr>
      </w:pPr>
      <w:r w:rsidRPr="006E349D">
        <w:rPr>
          <w:rFonts w:ascii="Arial" w:hAnsi="Arial" w:cs="Arial"/>
          <w:b/>
          <w:bCs/>
          <w:sz w:val="26"/>
          <w:szCs w:val="26"/>
        </w:rPr>
        <w:t xml:space="preserve">SEGUNDO.- </w:t>
      </w:r>
      <w:r>
        <w:rPr>
          <w:rFonts w:ascii="Arial" w:hAnsi="Arial" w:cs="Arial"/>
          <w:sz w:val="26"/>
          <w:szCs w:val="26"/>
        </w:rPr>
        <w:t>Los puntos resolutivos de la sentencia recurrida son del tenor literal siguiente</w:t>
      </w:r>
      <w:r w:rsidRPr="00372D3D">
        <w:rPr>
          <w:rFonts w:ascii="Arial" w:hAnsi="Arial" w:cs="Arial"/>
          <w:sz w:val="26"/>
          <w:szCs w:val="26"/>
        </w:rPr>
        <w:t>:</w:t>
      </w:r>
    </w:p>
    <w:p w:rsidR="004578DD" w:rsidRDefault="004578DD" w:rsidP="004578DD">
      <w:pPr>
        <w:spacing w:line="360" w:lineRule="auto"/>
        <w:ind w:firstLine="708"/>
        <w:jc w:val="both"/>
        <w:rPr>
          <w:rFonts w:ascii="Arial" w:hAnsi="Arial" w:cs="Arial"/>
          <w:sz w:val="26"/>
          <w:szCs w:val="26"/>
        </w:rPr>
      </w:pPr>
    </w:p>
    <w:p w:rsidR="0089290E" w:rsidRDefault="004578DD" w:rsidP="009A5526">
      <w:pPr>
        <w:spacing w:line="360" w:lineRule="auto"/>
        <w:ind w:left="851" w:right="902"/>
        <w:jc w:val="both"/>
        <w:rPr>
          <w:rFonts w:ascii="Arial" w:hAnsi="Arial" w:cs="Arial"/>
          <w:bCs/>
          <w:i/>
          <w:iCs/>
        </w:rPr>
      </w:pPr>
      <w:r w:rsidRPr="009A5526">
        <w:rPr>
          <w:rFonts w:ascii="Arial" w:hAnsi="Arial" w:cs="Arial"/>
          <w:b/>
          <w:bCs/>
          <w:i/>
          <w:iCs/>
        </w:rPr>
        <w:t xml:space="preserve"> </w:t>
      </w:r>
      <w:r w:rsidR="00C73584" w:rsidRPr="009A5526">
        <w:rPr>
          <w:rFonts w:ascii="Arial" w:hAnsi="Arial" w:cs="Arial"/>
          <w:b/>
          <w:bCs/>
          <w:i/>
          <w:iCs/>
        </w:rPr>
        <w:t xml:space="preserve">“PRIMERO.- </w:t>
      </w:r>
      <w:r w:rsidR="00C73584" w:rsidRPr="009A5526">
        <w:rPr>
          <w:rFonts w:ascii="Arial" w:hAnsi="Arial" w:cs="Arial"/>
          <w:bCs/>
          <w:i/>
          <w:iCs/>
        </w:rPr>
        <w:t>Esta Sexta Sala Unitaria fue competente para conocer y resolver del presente asunto.- - - - - - - - - - -</w:t>
      </w:r>
      <w:r w:rsidR="009A5526">
        <w:rPr>
          <w:rFonts w:ascii="Arial" w:hAnsi="Arial" w:cs="Arial"/>
          <w:bCs/>
          <w:i/>
          <w:iCs/>
        </w:rPr>
        <w:t xml:space="preserve"> - - - - - - - - - </w:t>
      </w:r>
      <w:r w:rsidR="00C73584" w:rsidRPr="009A5526">
        <w:rPr>
          <w:rFonts w:ascii="Arial" w:hAnsi="Arial" w:cs="Arial"/>
          <w:b/>
          <w:bCs/>
          <w:i/>
          <w:iCs/>
        </w:rPr>
        <w:t xml:space="preserve">SEGUNDO. </w:t>
      </w:r>
      <w:r w:rsidR="00C73584" w:rsidRPr="009A5526">
        <w:rPr>
          <w:rFonts w:ascii="Arial" w:hAnsi="Arial" w:cs="Arial"/>
          <w:bCs/>
          <w:i/>
          <w:iCs/>
        </w:rPr>
        <w:t>No se actualizaron causales de improcedencia por lo que no se sobresee el juicio. - - - - - - - - - - -</w:t>
      </w:r>
      <w:bookmarkStart w:id="0" w:name="_GoBack"/>
      <w:bookmarkEnd w:id="0"/>
      <w:r w:rsidR="00C73584" w:rsidRPr="009A5526">
        <w:rPr>
          <w:rFonts w:ascii="Arial" w:hAnsi="Arial" w:cs="Arial"/>
          <w:bCs/>
          <w:i/>
          <w:iCs/>
        </w:rPr>
        <w:t xml:space="preserve"> - - </w:t>
      </w:r>
      <w:r w:rsidR="0089290E">
        <w:rPr>
          <w:rFonts w:ascii="Arial" w:hAnsi="Arial" w:cs="Arial"/>
          <w:bCs/>
          <w:i/>
          <w:iCs/>
        </w:rPr>
        <w:t xml:space="preserve">- - - - - - - - - - - - - - - </w:t>
      </w:r>
      <w:r w:rsidR="00C73584" w:rsidRPr="009A5526">
        <w:rPr>
          <w:rFonts w:ascii="Arial" w:hAnsi="Arial" w:cs="Arial"/>
          <w:b/>
          <w:bCs/>
          <w:i/>
          <w:iCs/>
        </w:rPr>
        <w:t xml:space="preserve">TERCERO. </w:t>
      </w:r>
      <w:r w:rsidR="00C73584" w:rsidRPr="009A5526">
        <w:rPr>
          <w:rFonts w:ascii="Arial" w:hAnsi="Arial" w:cs="Arial"/>
          <w:bCs/>
          <w:i/>
          <w:iCs/>
        </w:rPr>
        <w:t xml:space="preserve">Se declara la </w:t>
      </w:r>
      <w:r w:rsidR="0089290E">
        <w:rPr>
          <w:rFonts w:ascii="Arial" w:hAnsi="Arial" w:cs="Arial"/>
          <w:b/>
          <w:bCs/>
          <w:i/>
          <w:iCs/>
        </w:rPr>
        <w:t xml:space="preserve">VALIDEZ </w:t>
      </w:r>
      <w:r w:rsidR="00C73584" w:rsidRPr="009A5526">
        <w:rPr>
          <w:rFonts w:ascii="Arial" w:hAnsi="Arial" w:cs="Arial"/>
          <w:b/>
          <w:bCs/>
          <w:i/>
          <w:iCs/>
        </w:rPr>
        <w:t xml:space="preserve">del oficio </w:t>
      </w:r>
      <w:r w:rsidR="00B523DF" w:rsidRPr="00B523DF">
        <w:rPr>
          <w:rFonts w:ascii="Arial" w:hAnsi="Arial" w:cs="Arial"/>
          <w:b/>
          <w:bCs/>
          <w:i/>
          <w:iCs/>
        </w:rPr>
        <w:t>**********</w:t>
      </w:r>
      <w:r w:rsidR="0089290E">
        <w:rPr>
          <w:rFonts w:ascii="Arial" w:hAnsi="Arial" w:cs="Arial"/>
          <w:bCs/>
          <w:i/>
          <w:iCs/>
        </w:rPr>
        <w:t xml:space="preserve"> de fecha 18 de febrero de 2019, emitido por el Director General de la Oficina de Pensiones del Estado de Oaxaca.- - - - - -  - - - - - - - - - - - - - - - - - - - - - - - - - - - -  - - - - - - - -</w:t>
      </w:r>
    </w:p>
    <w:p w:rsidR="00C73584" w:rsidRDefault="00C73584" w:rsidP="009A5526">
      <w:pPr>
        <w:spacing w:line="360" w:lineRule="auto"/>
        <w:ind w:left="851" w:right="902"/>
        <w:jc w:val="both"/>
        <w:rPr>
          <w:rFonts w:ascii="Arial" w:hAnsi="Arial" w:cs="Arial"/>
          <w:b/>
          <w:bCs/>
          <w:i/>
          <w:iCs/>
        </w:rPr>
      </w:pPr>
      <w:r w:rsidRPr="009A5526">
        <w:rPr>
          <w:rFonts w:ascii="Arial" w:hAnsi="Arial" w:cs="Arial"/>
          <w:b/>
          <w:bCs/>
          <w:i/>
          <w:iCs/>
        </w:rPr>
        <w:lastRenderedPageBreak/>
        <w:t xml:space="preserve">CUARTO. NOTIFÍQUESE PERSONALMENTE AL ACTOR Y POR OFICIO A LA AUTORIDAD DEMANDADA, </w:t>
      </w:r>
      <w:r w:rsidRPr="009A5526">
        <w:rPr>
          <w:rFonts w:ascii="Arial" w:hAnsi="Arial" w:cs="Arial"/>
          <w:bCs/>
          <w:i/>
          <w:iCs/>
        </w:rPr>
        <w:t xml:space="preserve">con fundamento en los artículos </w:t>
      </w:r>
      <w:r w:rsidR="000762FC">
        <w:rPr>
          <w:rFonts w:ascii="Arial" w:hAnsi="Arial" w:cs="Arial"/>
          <w:bCs/>
          <w:i/>
          <w:iCs/>
        </w:rPr>
        <w:t>172</w:t>
      </w:r>
      <w:r w:rsidRPr="009A5526">
        <w:rPr>
          <w:rFonts w:ascii="Arial" w:hAnsi="Arial" w:cs="Arial"/>
          <w:bCs/>
          <w:i/>
          <w:iCs/>
        </w:rPr>
        <w:t xml:space="preserve"> fracción I y </w:t>
      </w:r>
      <w:r w:rsidR="000762FC">
        <w:rPr>
          <w:rFonts w:ascii="Arial" w:hAnsi="Arial" w:cs="Arial"/>
          <w:bCs/>
          <w:i/>
          <w:iCs/>
        </w:rPr>
        <w:t>17</w:t>
      </w:r>
      <w:r w:rsidRPr="009A5526">
        <w:rPr>
          <w:rFonts w:ascii="Arial" w:hAnsi="Arial" w:cs="Arial"/>
          <w:bCs/>
          <w:i/>
          <w:iCs/>
        </w:rPr>
        <w:t xml:space="preserve">3 fracciones I y II, de la Ley de </w:t>
      </w:r>
      <w:r w:rsidR="000762FC">
        <w:rPr>
          <w:rFonts w:ascii="Arial" w:hAnsi="Arial" w:cs="Arial"/>
          <w:bCs/>
          <w:i/>
          <w:iCs/>
        </w:rPr>
        <w:t xml:space="preserve">Procedimiento y </w:t>
      </w:r>
      <w:r w:rsidRPr="009A5526">
        <w:rPr>
          <w:rFonts w:ascii="Arial" w:hAnsi="Arial" w:cs="Arial"/>
          <w:bCs/>
          <w:i/>
          <w:iCs/>
        </w:rPr>
        <w:t xml:space="preserve">Justicia Administrativa y de Cuentas para el Estado de Oaxaca.- </w:t>
      </w:r>
      <w:r w:rsidRPr="009A5526">
        <w:rPr>
          <w:rFonts w:ascii="Arial" w:hAnsi="Arial" w:cs="Arial"/>
          <w:b/>
          <w:bCs/>
          <w:i/>
          <w:iCs/>
        </w:rPr>
        <w:t xml:space="preserve">CÚMPLASE.”- - - - - - - - - - - - - - - - - - - - - -- - - - - - - </w:t>
      </w:r>
    </w:p>
    <w:p w:rsidR="004578DD" w:rsidRPr="009A5526" w:rsidRDefault="004578DD" w:rsidP="009A5526">
      <w:pPr>
        <w:spacing w:line="360" w:lineRule="auto"/>
        <w:ind w:left="851" w:right="902"/>
        <w:jc w:val="both"/>
        <w:rPr>
          <w:rFonts w:ascii="Arial" w:hAnsi="Arial" w:cs="Arial"/>
          <w:b/>
          <w:bCs/>
          <w:iCs/>
        </w:rPr>
      </w:pPr>
    </w:p>
    <w:p w:rsidR="004578DD" w:rsidRDefault="00C73584" w:rsidP="004578DD">
      <w:pPr>
        <w:spacing w:after="120" w:line="360" w:lineRule="auto"/>
        <w:ind w:right="49"/>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4578DD" w:rsidRDefault="00C73584" w:rsidP="004578DD">
      <w:pPr>
        <w:spacing w:after="120" w:line="360" w:lineRule="auto"/>
        <w:ind w:right="49" w:firstLine="708"/>
        <w:jc w:val="both"/>
        <w:rPr>
          <w:rFonts w:ascii="Arial" w:hAnsi="Arial" w:cs="Arial"/>
          <w:bCs/>
          <w:iCs/>
          <w:sz w:val="26"/>
          <w:szCs w:val="26"/>
          <w:lang w:eastAsia="es-ES"/>
        </w:rPr>
      </w:pPr>
      <w:r w:rsidRPr="006E349D">
        <w:rPr>
          <w:rFonts w:ascii="Arial" w:hAnsi="Arial" w:cs="Arial"/>
          <w:b/>
          <w:bCs/>
          <w:iCs/>
          <w:sz w:val="26"/>
          <w:szCs w:val="26"/>
        </w:rPr>
        <w:t xml:space="preserve">PRIMERO. </w:t>
      </w:r>
      <w:r w:rsidR="00970D0A" w:rsidRPr="005A12C4">
        <w:rPr>
          <w:rFonts w:ascii="Arial" w:hAnsi="Arial" w:cs="Arial"/>
          <w:bCs/>
          <w:iCs/>
          <w:sz w:val="26"/>
          <w:szCs w:val="26"/>
        </w:rPr>
        <w:t xml:space="preserve">Esta Sala Superior es competente para conocer del presente asunto, </w:t>
      </w:r>
      <w:r w:rsidR="00970D0A" w:rsidRPr="005A12C4">
        <w:rPr>
          <w:rFonts w:ascii="Arial" w:hAnsi="Arial" w:cs="Arial"/>
          <w:bCs/>
          <w:iCs/>
          <w:sz w:val="26"/>
          <w:szCs w:val="26"/>
          <w:lang w:eastAsia="es-ES"/>
        </w:rPr>
        <w:t xml:space="preserve">de conformidad con lo dispuesto por los artículos 114 Quáter, </w:t>
      </w:r>
      <w:r w:rsidR="00970D0A">
        <w:rPr>
          <w:rFonts w:ascii="Arial" w:hAnsi="Arial" w:cs="Arial"/>
          <w:bCs/>
          <w:iCs/>
          <w:sz w:val="26"/>
          <w:szCs w:val="26"/>
          <w:lang w:eastAsia="es-ES"/>
        </w:rPr>
        <w:t>párrafo t</w:t>
      </w:r>
      <w:r w:rsidR="00970D0A" w:rsidRPr="005A12C4">
        <w:rPr>
          <w:rFonts w:ascii="Arial" w:hAnsi="Arial" w:cs="Arial"/>
          <w:bCs/>
          <w:iCs/>
          <w:sz w:val="26"/>
          <w:szCs w:val="26"/>
          <w:lang w:eastAsia="es-ES"/>
        </w:rPr>
        <w:t>ercero de la Constitución Política del Es</w:t>
      </w:r>
      <w:r w:rsidR="00970D0A">
        <w:rPr>
          <w:rFonts w:ascii="Arial" w:hAnsi="Arial" w:cs="Arial"/>
          <w:bCs/>
          <w:iCs/>
          <w:sz w:val="26"/>
          <w:szCs w:val="26"/>
          <w:lang w:eastAsia="es-ES"/>
        </w:rPr>
        <w:t>tado Libre y Soberano de Oaxaca;</w:t>
      </w:r>
      <w:r w:rsidR="00970D0A" w:rsidRPr="005A12C4">
        <w:rPr>
          <w:rFonts w:ascii="Arial" w:hAnsi="Arial" w:cs="Arial"/>
          <w:bCs/>
          <w:iCs/>
          <w:sz w:val="26"/>
          <w:szCs w:val="26"/>
          <w:lang w:eastAsia="es-ES"/>
        </w:rPr>
        <w:t xml:space="preserve"> </w:t>
      </w:r>
      <w:r w:rsidR="00C06D4C">
        <w:rPr>
          <w:rFonts w:ascii="Arial" w:hAnsi="Arial" w:cs="Arial"/>
          <w:bCs/>
          <w:iCs/>
          <w:sz w:val="26"/>
          <w:szCs w:val="26"/>
          <w:lang w:eastAsia="es-ES"/>
        </w:rPr>
        <w:t xml:space="preserve">1,  párrafo segundo, 2 párrafo primero y cuarto, 4 fracción VIII, 23, 24 fracción I, 25 fracción I y 27 de la Ley Orgánica del Tribunal de Justicia Administrativa del Estado de Oaxaca, publicada en el Periódico Oficial del Estado de Oaxaca, el siete de noviembre de dos mil diecinueve; </w:t>
      </w:r>
      <w:r w:rsidR="00970D0A" w:rsidRPr="005A12C4">
        <w:rPr>
          <w:rFonts w:ascii="Arial" w:hAnsi="Arial" w:cs="Arial"/>
          <w:bCs/>
          <w:iCs/>
          <w:sz w:val="26"/>
          <w:szCs w:val="26"/>
          <w:lang w:eastAsia="es-ES"/>
        </w:rPr>
        <w:t>así como los diversos 125, 130 fracción I, 131, 236 y 23</w:t>
      </w:r>
      <w:r w:rsidR="00970D0A">
        <w:rPr>
          <w:rFonts w:ascii="Arial" w:hAnsi="Arial" w:cs="Arial"/>
          <w:bCs/>
          <w:iCs/>
          <w:sz w:val="26"/>
          <w:szCs w:val="26"/>
          <w:lang w:eastAsia="es-ES"/>
        </w:rPr>
        <w:t>7 de la Ley del Procedimiento y</w:t>
      </w:r>
      <w:r w:rsidR="00970D0A" w:rsidRPr="005A12C4">
        <w:rPr>
          <w:rFonts w:ascii="Arial" w:hAnsi="Arial" w:cs="Arial"/>
          <w:bCs/>
          <w:iCs/>
          <w:sz w:val="26"/>
          <w:szCs w:val="26"/>
          <w:lang w:eastAsia="es-ES"/>
        </w:rPr>
        <w:t xml:space="preserve"> Justicia Administrativa para el Estado de Oaxaca, </w:t>
      </w:r>
      <w:r w:rsidR="00970D0A">
        <w:rPr>
          <w:rFonts w:ascii="Arial" w:hAnsi="Arial" w:cs="Arial"/>
          <w:bCs/>
          <w:iCs/>
          <w:sz w:val="26"/>
          <w:szCs w:val="26"/>
          <w:lang w:eastAsia="es-ES"/>
        </w:rPr>
        <w:t xml:space="preserve">dado que se trata de la sentencia dictada el </w:t>
      </w:r>
      <w:r w:rsidR="004578DD">
        <w:rPr>
          <w:rFonts w:ascii="Arial" w:hAnsi="Arial" w:cs="Arial"/>
          <w:bCs/>
          <w:iCs/>
          <w:sz w:val="26"/>
          <w:szCs w:val="26"/>
          <w:lang w:eastAsia="es-ES"/>
        </w:rPr>
        <w:t xml:space="preserve">diez de julio </w:t>
      </w:r>
      <w:r w:rsidR="00970D0A">
        <w:rPr>
          <w:rFonts w:ascii="Arial" w:hAnsi="Arial" w:cs="Arial"/>
          <w:bCs/>
          <w:iCs/>
          <w:sz w:val="26"/>
          <w:szCs w:val="26"/>
          <w:lang w:eastAsia="es-ES"/>
        </w:rPr>
        <w:t>de dos mil diecinueve,</w:t>
      </w:r>
      <w:r w:rsidR="00970D0A" w:rsidRPr="005A12C4">
        <w:rPr>
          <w:rFonts w:ascii="Arial" w:hAnsi="Arial" w:cs="Arial"/>
          <w:bCs/>
          <w:iCs/>
          <w:sz w:val="26"/>
          <w:szCs w:val="26"/>
          <w:lang w:eastAsia="es-ES"/>
        </w:rPr>
        <w:t xml:space="preserve"> por </w:t>
      </w:r>
      <w:r w:rsidR="00970D0A">
        <w:rPr>
          <w:rFonts w:ascii="Arial" w:hAnsi="Arial" w:cs="Arial"/>
          <w:bCs/>
          <w:iCs/>
          <w:sz w:val="26"/>
          <w:szCs w:val="26"/>
          <w:lang w:eastAsia="es-ES"/>
        </w:rPr>
        <w:t>el Magistrado de la Sexta S</w:t>
      </w:r>
      <w:r w:rsidR="00970D0A" w:rsidRPr="005A12C4">
        <w:rPr>
          <w:rFonts w:ascii="Arial" w:hAnsi="Arial" w:cs="Arial"/>
          <w:bCs/>
          <w:iCs/>
          <w:sz w:val="26"/>
          <w:szCs w:val="26"/>
          <w:lang w:eastAsia="es-ES"/>
        </w:rPr>
        <w:t>ala</w:t>
      </w:r>
      <w:r w:rsidR="00970D0A">
        <w:rPr>
          <w:rFonts w:ascii="Arial" w:hAnsi="Arial" w:cs="Arial"/>
          <w:bCs/>
          <w:iCs/>
          <w:sz w:val="26"/>
          <w:szCs w:val="26"/>
          <w:lang w:eastAsia="es-ES"/>
        </w:rPr>
        <w:t xml:space="preserve"> Unitaria de Primera Instancia en el expediente </w:t>
      </w:r>
      <w:r w:rsidR="00970D0A">
        <w:rPr>
          <w:rFonts w:ascii="Arial" w:hAnsi="Arial" w:cs="Arial"/>
          <w:b/>
          <w:bCs/>
          <w:iCs/>
          <w:sz w:val="26"/>
          <w:szCs w:val="26"/>
          <w:lang w:eastAsia="es-ES"/>
        </w:rPr>
        <w:t>00</w:t>
      </w:r>
      <w:r w:rsidR="00B93F29">
        <w:rPr>
          <w:rFonts w:ascii="Arial" w:hAnsi="Arial" w:cs="Arial"/>
          <w:b/>
          <w:bCs/>
          <w:iCs/>
          <w:sz w:val="26"/>
          <w:szCs w:val="26"/>
          <w:lang w:eastAsia="es-ES"/>
        </w:rPr>
        <w:t>24</w:t>
      </w:r>
      <w:r w:rsidR="00970D0A">
        <w:rPr>
          <w:rFonts w:ascii="Arial" w:hAnsi="Arial" w:cs="Arial"/>
          <w:b/>
          <w:bCs/>
          <w:iCs/>
          <w:sz w:val="26"/>
          <w:szCs w:val="26"/>
          <w:lang w:eastAsia="es-ES"/>
        </w:rPr>
        <w:t>/2019</w:t>
      </w:r>
      <w:r w:rsidR="00970D0A" w:rsidRPr="005A12C4">
        <w:rPr>
          <w:rFonts w:ascii="Arial" w:hAnsi="Arial" w:cs="Arial"/>
          <w:b/>
          <w:bCs/>
          <w:iCs/>
          <w:sz w:val="26"/>
          <w:szCs w:val="26"/>
          <w:lang w:eastAsia="es-ES"/>
        </w:rPr>
        <w:t>.</w:t>
      </w:r>
    </w:p>
    <w:p w:rsidR="004578DD" w:rsidRDefault="00C73584" w:rsidP="004578DD">
      <w:pPr>
        <w:spacing w:after="120" w:line="360" w:lineRule="auto"/>
        <w:ind w:right="49"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p>
    <w:p w:rsidR="004578DD" w:rsidRDefault="00C73584" w:rsidP="004578DD">
      <w:pPr>
        <w:spacing w:after="120" w:line="360" w:lineRule="auto"/>
        <w:ind w:right="49"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Pr>
          <w:rFonts w:ascii="Arial" w:hAnsi="Arial" w:cs="Arial"/>
        </w:rPr>
        <w:t xml:space="preserve"> </w:t>
      </w:r>
    </w:p>
    <w:p w:rsidR="0034525D" w:rsidRDefault="004578DD" w:rsidP="004578DD">
      <w:pPr>
        <w:spacing w:after="120"/>
        <w:ind w:left="851" w:right="758"/>
        <w:jc w:val="both"/>
        <w:rPr>
          <w:rFonts w:ascii="Arial" w:eastAsia="Calibri" w:hAnsi="Arial" w:cs="Arial"/>
          <w:bCs/>
          <w:i/>
          <w:color w:val="000000"/>
          <w:lang w:val="es-ES"/>
        </w:rPr>
      </w:pPr>
      <w:r w:rsidRPr="0034525D">
        <w:rPr>
          <w:rFonts w:ascii="Arial" w:eastAsia="Calibri" w:hAnsi="Arial" w:cs="Arial"/>
          <w:b/>
          <w:bCs/>
          <w:i/>
          <w:color w:val="000000"/>
          <w:lang w:val="es-ES"/>
        </w:rPr>
        <w:t xml:space="preserve"> </w:t>
      </w:r>
      <w:r w:rsidR="0034525D" w:rsidRPr="0034525D">
        <w:rPr>
          <w:rFonts w:ascii="Arial" w:eastAsia="Calibri" w:hAnsi="Arial" w:cs="Arial"/>
          <w:b/>
          <w:bCs/>
          <w:i/>
          <w:color w:val="000000"/>
          <w:lang w:val="es-ES"/>
        </w:rPr>
        <w:t>“CONCEPTOS DE VIOLACIÓN. NO ES OBLIGATORIO TRANSCRIBIRLOS EN LA SENTENCIA</w:t>
      </w:r>
      <w:r w:rsidR="0034525D" w:rsidRPr="0034525D">
        <w:rPr>
          <w:rFonts w:ascii="Arial" w:eastAsia="Calibri" w:hAnsi="Arial" w:cs="Arial"/>
          <w:bCs/>
          <w:i/>
          <w:color w:val="000000"/>
          <w:lang w:val="es-ES"/>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4578DD" w:rsidRPr="0034525D" w:rsidRDefault="004578DD" w:rsidP="0034525D">
      <w:pPr>
        <w:spacing w:after="120" w:line="360" w:lineRule="auto"/>
        <w:ind w:left="851" w:right="758"/>
        <w:jc w:val="both"/>
        <w:rPr>
          <w:rFonts w:ascii="Arial" w:eastAsia="Calibri" w:hAnsi="Arial" w:cs="Arial"/>
          <w:i/>
          <w:color w:val="000000"/>
          <w:sz w:val="20"/>
          <w:szCs w:val="20"/>
          <w:lang w:val="es-ES"/>
        </w:rPr>
      </w:pPr>
    </w:p>
    <w:p w:rsidR="004578DD" w:rsidRDefault="00C73584" w:rsidP="004578DD">
      <w:pPr>
        <w:spacing w:line="360" w:lineRule="auto"/>
        <w:ind w:firstLine="708"/>
        <w:jc w:val="both"/>
        <w:rPr>
          <w:rFonts w:ascii="Arial" w:hAnsi="Arial" w:cs="Arial"/>
          <w:bCs/>
          <w:color w:val="000000"/>
          <w:sz w:val="26"/>
          <w:szCs w:val="26"/>
        </w:rPr>
      </w:pPr>
      <w:r w:rsidRPr="00D149F1">
        <w:rPr>
          <w:rFonts w:ascii="Arial" w:hAnsi="Arial" w:cs="Arial"/>
          <w:b/>
          <w:bCs/>
          <w:sz w:val="26"/>
          <w:szCs w:val="26"/>
        </w:rPr>
        <w:t>TERCERO</w:t>
      </w:r>
      <w:r>
        <w:rPr>
          <w:rFonts w:ascii="Arial" w:hAnsi="Arial" w:cs="Arial"/>
          <w:bCs/>
          <w:sz w:val="26"/>
          <w:szCs w:val="26"/>
        </w:rPr>
        <w:t xml:space="preserve">.- </w:t>
      </w:r>
      <w:r>
        <w:rPr>
          <w:rFonts w:ascii="Arial" w:hAnsi="Arial" w:cs="Arial"/>
          <w:bCs/>
          <w:color w:val="000000"/>
          <w:sz w:val="26"/>
          <w:szCs w:val="26"/>
        </w:rPr>
        <w:t xml:space="preserve">Señala </w:t>
      </w:r>
      <w:r w:rsidR="003B259B">
        <w:rPr>
          <w:rFonts w:ascii="Arial" w:hAnsi="Arial" w:cs="Arial"/>
          <w:bCs/>
          <w:color w:val="000000"/>
          <w:sz w:val="26"/>
          <w:szCs w:val="26"/>
        </w:rPr>
        <w:t>e</w:t>
      </w:r>
      <w:r>
        <w:rPr>
          <w:rFonts w:ascii="Arial" w:hAnsi="Arial" w:cs="Arial"/>
          <w:bCs/>
          <w:color w:val="000000"/>
          <w:sz w:val="26"/>
          <w:szCs w:val="26"/>
        </w:rPr>
        <w:t>l</w:t>
      </w:r>
      <w:r w:rsidR="00DB3196">
        <w:rPr>
          <w:rFonts w:ascii="Arial" w:hAnsi="Arial" w:cs="Arial"/>
          <w:bCs/>
          <w:color w:val="000000"/>
          <w:sz w:val="26"/>
          <w:szCs w:val="26"/>
        </w:rPr>
        <w:t xml:space="preserve"> recurrente en su agravio primero, que la sentencia de fecha diez de julio de dos mil diecinueve, le causa perjuicio al adolecer de una debida fundamentación y motivación, violando los artículos 14, 16 y 17 de la constitución Política de los Estados Unidos Mexicanos; asimismo, no fue emitida conforme a los principios de </w:t>
      </w:r>
      <w:r w:rsidR="00DB3196">
        <w:rPr>
          <w:rFonts w:ascii="Arial" w:hAnsi="Arial" w:cs="Arial"/>
          <w:bCs/>
          <w:color w:val="000000"/>
          <w:sz w:val="26"/>
          <w:szCs w:val="26"/>
        </w:rPr>
        <w:lastRenderedPageBreak/>
        <w:t>exhaustividad</w:t>
      </w:r>
      <w:r w:rsidR="006C35FD">
        <w:rPr>
          <w:rFonts w:ascii="Arial" w:hAnsi="Arial" w:cs="Arial"/>
          <w:bCs/>
          <w:color w:val="000000"/>
          <w:sz w:val="26"/>
          <w:szCs w:val="26"/>
        </w:rPr>
        <w:t xml:space="preserve"> y congruencia que debió comprender el juzgados al emitir la referida sentencia, toda vez que el Titular de la Sexta Sala Unitaria de Primera Instancia, declaró infundado su argumento encaminado a sostener la ilegalidad del artículo 63 de la Ley de Pensiones para los Trabajadores del Gobierno del Estado, en virtud de que dicho precepto trasgrede los principios de seguridad y certeza jurídica, al no señalar con precisión el momento en que empieza a correr el plazo de tres años para que opere la prescripción. </w:t>
      </w:r>
    </w:p>
    <w:p w:rsidR="004578DD" w:rsidRDefault="004578DD" w:rsidP="004578DD">
      <w:pPr>
        <w:spacing w:line="360" w:lineRule="auto"/>
        <w:ind w:firstLine="708"/>
        <w:jc w:val="both"/>
        <w:rPr>
          <w:rFonts w:ascii="Arial" w:hAnsi="Arial" w:cs="Arial"/>
          <w:bCs/>
          <w:color w:val="000000"/>
          <w:sz w:val="26"/>
          <w:szCs w:val="26"/>
        </w:rPr>
      </w:pPr>
    </w:p>
    <w:p w:rsidR="004578DD" w:rsidRDefault="006C35FD" w:rsidP="004578DD">
      <w:pPr>
        <w:spacing w:line="360" w:lineRule="auto"/>
        <w:ind w:firstLine="708"/>
        <w:jc w:val="both"/>
        <w:rPr>
          <w:rFonts w:ascii="Arial" w:hAnsi="Arial" w:cs="Arial"/>
          <w:bCs/>
          <w:i/>
          <w:color w:val="000000"/>
          <w:sz w:val="24"/>
          <w:szCs w:val="24"/>
        </w:rPr>
      </w:pPr>
      <w:r>
        <w:rPr>
          <w:rFonts w:ascii="Arial" w:hAnsi="Arial" w:cs="Arial"/>
          <w:bCs/>
          <w:color w:val="000000"/>
          <w:sz w:val="26"/>
          <w:szCs w:val="26"/>
        </w:rPr>
        <w:t>Refiere que se debe arribar válidamente a la conclusión que una construcción normativa en tales características, carece de claridad al no señalar con precisión el momento en que comenzará a  contar el plazo de prescripción extintiva, para solicitar cualquier prestación de seguridad social,  pues dice, se hace necesario que el legislador lo determine en forma precisa, sin que resulte suficiente para estimar satisfecha esta condición, la expresión contenida en el artículo 19 de la Ley de Pensiones para los Trabajadores del Gobierno del Estado de Oaxaca, invocado por el Magistrado de Primera Instancia, respecto a que el derecho a disponer de esos recursos prescribirá a favor de</w:t>
      </w:r>
      <w:r w:rsidR="008475B3">
        <w:rPr>
          <w:rFonts w:ascii="Arial" w:hAnsi="Arial" w:cs="Arial"/>
          <w:bCs/>
          <w:color w:val="000000"/>
          <w:sz w:val="26"/>
          <w:szCs w:val="26"/>
        </w:rPr>
        <w:t xml:space="preserve"> </w:t>
      </w:r>
      <w:r>
        <w:rPr>
          <w:rFonts w:ascii="Arial" w:hAnsi="Arial" w:cs="Arial"/>
          <w:bCs/>
          <w:color w:val="000000"/>
          <w:sz w:val="26"/>
          <w:szCs w:val="26"/>
        </w:rPr>
        <w:t>l</w:t>
      </w:r>
      <w:r w:rsidR="008475B3">
        <w:rPr>
          <w:rFonts w:ascii="Arial" w:hAnsi="Arial" w:cs="Arial"/>
          <w:bCs/>
          <w:color w:val="000000"/>
          <w:sz w:val="26"/>
          <w:szCs w:val="26"/>
        </w:rPr>
        <w:t>a</w:t>
      </w:r>
      <w:r>
        <w:rPr>
          <w:rFonts w:ascii="Arial" w:hAnsi="Arial" w:cs="Arial"/>
          <w:bCs/>
          <w:color w:val="000000"/>
          <w:sz w:val="26"/>
          <w:szCs w:val="26"/>
        </w:rPr>
        <w:t xml:space="preserve"> Oficina de Pensiones a los tres años siguientes </w:t>
      </w:r>
      <w:r w:rsidRPr="0016116D">
        <w:rPr>
          <w:rFonts w:ascii="Arial" w:hAnsi="Arial" w:cs="Arial"/>
          <w:bCs/>
          <w:color w:val="000000"/>
          <w:sz w:val="24"/>
          <w:szCs w:val="24"/>
        </w:rPr>
        <w:t>“…</w:t>
      </w:r>
      <w:r w:rsidRPr="0016116D">
        <w:rPr>
          <w:rFonts w:ascii="Arial" w:hAnsi="Arial" w:cs="Arial"/>
          <w:bCs/>
          <w:i/>
          <w:color w:val="000000"/>
          <w:sz w:val="24"/>
          <w:szCs w:val="24"/>
        </w:rPr>
        <w:t>a partir que se dé el aviso a la Oficina de Pensiones de</w:t>
      </w:r>
      <w:r w:rsidR="008475B3">
        <w:rPr>
          <w:rFonts w:ascii="Arial" w:hAnsi="Arial" w:cs="Arial"/>
          <w:bCs/>
          <w:i/>
          <w:color w:val="000000"/>
          <w:sz w:val="24"/>
          <w:szCs w:val="24"/>
        </w:rPr>
        <w:t xml:space="preserve"> </w:t>
      </w:r>
      <w:r w:rsidRPr="0016116D">
        <w:rPr>
          <w:rFonts w:ascii="Arial" w:hAnsi="Arial" w:cs="Arial"/>
          <w:bCs/>
          <w:i/>
          <w:color w:val="000000"/>
          <w:sz w:val="24"/>
          <w:szCs w:val="24"/>
        </w:rPr>
        <w:t>l</w:t>
      </w:r>
      <w:r w:rsidR="008475B3">
        <w:rPr>
          <w:rFonts w:ascii="Arial" w:hAnsi="Arial" w:cs="Arial"/>
          <w:bCs/>
          <w:i/>
          <w:color w:val="000000"/>
          <w:sz w:val="24"/>
          <w:szCs w:val="24"/>
        </w:rPr>
        <w:t>a</w:t>
      </w:r>
      <w:r w:rsidRPr="0016116D">
        <w:rPr>
          <w:rFonts w:ascii="Arial" w:hAnsi="Arial" w:cs="Arial"/>
          <w:bCs/>
          <w:i/>
          <w:color w:val="000000"/>
          <w:sz w:val="24"/>
          <w:szCs w:val="24"/>
        </w:rPr>
        <w:t xml:space="preserve"> a imposibilidad de las dependencias a hacer un trabajador los descuentos que le correspondan para su aportación al Fondo de Pensiones…”</w:t>
      </w:r>
    </w:p>
    <w:p w:rsidR="004578DD" w:rsidRDefault="004578DD" w:rsidP="004578DD">
      <w:pPr>
        <w:spacing w:line="360" w:lineRule="auto"/>
        <w:ind w:firstLine="708"/>
        <w:jc w:val="both"/>
        <w:rPr>
          <w:rFonts w:ascii="Arial" w:hAnsi="Arial" w:cs="Arial"/>
          <w:bCs/>
          <w:i/>
          <w:color w:val="000000"/>
          <w:sz w:val="24"/>
          <w:szCs w:val="24"/>
        </w:rPr>
      </w:pPr>
    </w:p>
    <w:p w:rsidR="004578DD" w:rsidRDefault="00A13EAB" w:rsidP="004578DD">
      <w:pPr>
        <w:spacing w:line="360" w:lineRule="auto"/>
        <w:ind w:firstLine="708"/>
        <w:jc w:val="both"/>
        <w:rPr>
          <w:rFonts w:ascii="Arial" w:hAnsi="Arial" w:cs="Arial"/>
          <w:sz w:val="26"/>
          <w:szCs w:val="26"/>
        </w:rPr>
      </w:pPr>
      <w:r w:rsidRPr="00A13EAB">
        <w:rPr>
          <w:rFonts w:ascii="Arial" w:hAnsi="Arial" w:cs="Arial"/>
          <w:bCs/>
          <w:color w:val="000000"/>
          <w:sz w:val="26"/>
          <w:szCs w:val="26"/>
        </w:rPr>
        <w:t xml:space="preserve">Sigue señalando que </w:t>
      </w:r>
      <w:r w:rsidR="009D7E7B">
        <w:rPr>
          <w:rFonts w:ascii="Arial" w:hAnsi="Arial" w:cs="Arial"/>
          <w:bCs/>
          <w:color w:val="000000"/>
          <w:sz w:val="26"/>
          <w:szCs w:val="26"/>
        </w:rPr>
        <w:t>lo expuesto por el Magistrado de Primera Instancia, cobra relevancia si se considera que para acceder a cada una de las prestaciones de seguridad social, la legislación impone diversas condiciones</w:t>
      </w:r>
      <w:r w:rsidR="00B021E1">
        <w:rPr>
          <w:rFonts w:ascii="Arial" w:hAnsi="Arial" w:cs="Arial"/>
          <w:bCs/>
          <w:color w:val="000000"/>
          <w:sz w:val="26"/>
          <w:szCs w:val="26"/>
        </w:rPr>
        <w:t xml:space="preserve">; </w:t>
      </w:r>
      <w:r w:rsidR="009D7E7B">
        <w:rPr>
          <w:rFonts w:ascii="Arial" w:hAnsi="Arial" w:cs="Arial"/>
          <w:bCs/>
          <w:color w:val="000000"/>
          <w:sz w:val="26"/>
          <w:szCs w:val="26"/>
        </w:rPr>
        <w:t xml:space="preserve">que dicha legislación </w:t>
      </w:r>
      <w:r w:rsidR="00B021E1">
        <w:rPr>
          <w:rFonts w:ascii="Arial" w:hAnsi="Arial" w:cs="Arial"/>
          <w:bCs/>
          <w:color w:val="000000"/>
          <w:sz w:val="26"/>
          <w:szCs w:val="26"/>
        </w:rPr>
        <w:t xml:space="preserve">tampoco </w:t>
      </w:r>
      <w:r w:rsidR="009D7E7B">
        <w:rPr>
          <w:rFonts w:ascii="Arial" w:hAnsi="Arial" w:cs="Arial"/>
          <w:bCs/>
          <w:color w:val="000000"/>
          <w:sz w:val="26"/>
          <w:szCs w:val="26"/>
        </w:rPr>
        <w:t>prevé</w:t>
      </w:r>
      <w:r w:rsidR="00B021E1">
        <w:rPr>
          <w:rFonts w:ascii="Arial" w:hAnsi="Arial" w:cs="Arial"/>
          <w:bCs/>
          <w:color w:val="000000"/>
          <w:sz w:val="26"/>
          <w:szCs w:val="26"/>
        </w:rPr>
        <w:t>,</w:t>
      </w:r>
      <w:r w:rsidR="009D7E7B">
        <w:rPr>
          <w:rFonts w:ascii="Arial" w:hAnsi="Arial" w:cs="Arial"/>
          <w:bCs/>
          <w:color w:val="000000"/>
          <w:sz w:val="26"/>
          <w:szCs w:val="26"/>
        </w:rPr>
        <w:t xml:space="preserve"> que se dé oportunamente algún aviso al asegurado o sus beneficiarios, a efecto de evitar que opere la prescripción de sus derechos a disponer de las prestaciones de seguridad social</w:t>
      </w:r>
      <w:r w:rsidR="00B021E1">
        <w:rPr>
          <w:rFonts w:ascii="Arial" w:hAnsi="Arial" w:cs="Arial"/>
          <w:bCs/>
          <w:color w:val="000000"/>
          <w:sz w:val="26"/>
          <w:szCs w:val="26"/>
        </w:rPr>
        <w:t>, lo que dice, evidencia la incertidumbre jurídica sobre el caso en particular.</w:t>
      </w:r>
      <w:r w:rsidR="005C6FA9">
        <w:rPr>
          <w:rFonts w:ascii="Arial" w:hAnsi="Arial" w:cs="Arial"/>
          <w:bCs/>
          <w:color w:val="000000"/>
          <w:sz w:val="26"/>
          <w:szCs w:val="26"/>
        </w:rPr>
        <w:t xml:space="preserve"> Sustenta sus argumentos en el criterio jurisprudencial P./J.158/2008, </w:t>
      </w:r>
      <w:r w:rsidR="000E2F51">
        <w:rPr>
          <w:rFonts w:ascii="Arial" w:hAnsi="Arial" w:cs="Arial"/>
          <w:bCs/>
          <w:color w:val="000000"/>
          <w:sz w:val="26"/>
          <w:szCs w:val="26"/>
        </w:rPr>
        <w:t>bajo el rubro “</w:t>
      </w:r>
      <w:r w:rsidR="000E2F51">
        <w:rPr>
          <w:rFonts w:ascii="Arial" w:hAnsi="Arial" w:cs="Arial"/>
          <w:b/>
          <w:bCs/>
          <w:i/>
          <w:color w:val="000000"/>
          <w:sz w:val="24"/>
          <w:szCs w:val="24"/>
        </w:rPr>
        <w:t>ISSSTE. EL ARTICULO 251 DE LA LEY RELATI</w:t>
      </w:r>
      <w:r w:rsidR="00A64BD5">
        <w:rPr>
          <w:rFonts w:ascii="Arial" w:hAnsi="Arial" w:cs="Arial"/>
          <w:b/>
          <w:bCs/>
          <w:i/>
          <w:color w:val="000000"/>
          <w:sz w:val="24"/>
          <w:szCs w:val="24"/>
        </w:rPr>
        <w:t xml:space="preserve">VA, AL ESTABLECER UN PLAZO DE </w:t>
      </w:r>
      <w:r w:rsidR="00A64BD5" w:rsidRPr="004E7D5A">
        <w:rPr>
          <w:rFonts w:ascii="Arial" w:hAnsi="Arial" w:cs="Arial"/>
          <w:b/>
          <w:bCs/>
          <w:i/>
          <w:color w:val="000000"/>
          <w:sz w:val="24"/>
          <w:szCs w:val="24"/>
        </w:rPr>
        <w:t>DO</w:t>
      </w:r>
      <w:r w:rsidR="000E2F51" w:rsidRPr="004E7D5A">
        <w:rPr>
          <w:rFonts w:ascii="Arial" w:hAnsi="Arial" w:cs="Arial"/>
          <w:b/>
          <w:bCs/>
          <w:i/>
          <w:color w:val="000000"/>
          <w:sz w:val="24"/>
          <w:szCs w:val="24"/>
        </w:rPr>
        <w:t>S</w:t>
      </w:r>
      <w:r w:rsidR="000E2F51">
        <w:rPr>
          <w:rFonts w:ascii="Arial" w:hAnsi="Arial" w:cs="Arial"/>
          <w:b/>
          <w:bCs/>
          <w:i/>
          <w:color w:val="000000"/>
          <w:sz w:val="24"/>
          <w:szCs w:val="24"/>
        </w:rPr>
        <w:t xml:space="preserve"> AÑOS PARA LA PRESCRIPCIÓN DEL DERECHO A RECIBIR LOS </w:t>
      </w:r>
      <w:r w:rsidR="000E2F51" w:rsidRPr="004E7D5A">
        <w:rPr>
          <w:rFonts w:ascii="Arial" w:hAnsi="Arial" w:cs="Arial"/>
          <w:b/>
          <w:bCs/>
          <w:i/>
          <w:color w:val="000000"/>
          <w:sz w:val="24"/>
          <w:szCs w:val="24"/>
        </w:rPr>
        <w:t>RE</w:t>
      </w:r>
      <w:r w:rsidR="004A00AB" w:rsidRPr="004E7D5A">
        <w:rPr>
          <w:rFonts w:ascii="Arial" w:hAnsi="Arial" w:cs="Arial"/>
          <w:b/>
          <w:bCs/>
          <w:i/>
          <w:color w:val="000000"/>
          <w:sz w:val="24"/>
          <w:szCs w:val="24"/>
        </w:rPr>
        <w:t>C</w:t>
      </w:r>
      <w:r w:rsidR="000E2F51" w:rsidRPr="004E7D5A">
        <w:rPr>
          <w:rFonts w:ascii="Arial" w:hAnsi="Arial" w:cs="Arial"/>
          <w:b/>
          <w:bCs/>
          <w:i/>
          <w:color w:val="000000"/>
          <w:sz w:val="24"/>
          <w:szCs w:val="24"/>
        </w:rPr>
        <w:t>URSOS</w:t>
      </w:r>
      <w:r w:rsidR="000E2F51">
        <w:rPr>
          <w:rFonts w:ascii="Arial" w:hAnsi="Arial" w:cs="Arial"/>
          <w:b/>
          <w:bCs/>
          <w:i/>
          <w:color w:val="000000"/>
          <w:sz w:val="24"/>
          <w:szCs w:val="24"/>
        </w:rPr>
        <w:t xml:space="preserve"> DE LA CUENTA INDIVIDUAL DEL TRABAJADOR SIN PRECISAR EL MOMENTO DE SU I</w:t>
      </w:r>
      <w:r w:rsidR="00190C82">
        <w:rPr>
          <w:rFonts w:ascii="Arial" w:hAnsi="Arial" w:cs="Arial"/>
          <w:b/>
          <w:bCs/>
          <w:i/>
          <w:color w:val="000000"/>
          <w:sz w:val="24"/>
          <w:szCs w:val="24"/>
        </w:rPr>
        <w:t>NICIO, ES VIOLATORIO DE LAS GAR</w:t>
      </w:r>
      <w:r w:rsidR="00862402">
        <w:rPr>
          <w:rFonts w:ascii="Arial" w:hAnsi="Arial" w:cs="Arial"/>
          <w:b/>
          <w:bCs/>
          <w:i/>
          <w:color w:val="000000"/>
          <w:sz w:val="24"/>
          <w:szCs w:val="24"/>
        </w:rPr>
        <w:t>ANT</w:t>
      </w:r>
      <w:r w:rsidR="00190C82">
        <w:rPr>
          <w:rFonts w:ascii="Arial" w:hAnsi="Arial" w:cs="Arial"/>
          <w:b/>
          <w:bCs/>
          <w:i/>
          <w:color w:val="000000"/>
          <w:sz w:val="24"/>
          <w:szCs w:val="24"/>
        </w:rPr>
        <w:t>I</w:t>
      </w:r>
      <w:r w:rsidR="000E2F51">
        <w:rPr>
          <w:rFonts w:ascii="Arial" w:hAnsi="Arial" w:cs="Arial"/>
          <w:b/>
          <w:bCs/>
          <w:i/>
          <w:color w:val="000000"/>
          <w:sz w:val="24"/>
          <w:szCs w:val="24"/>
        </w:rPr>
        <w:t>AS DE SEGURIDAD Y CERTEZA JURIDICA Y SEGURIDAD SOCIAL (LEGISLACI</w:t>
      </w:r>
      <w:r w:rsidR="00862402">
        <w:rPr>
          <w:rFonts w:ascii="Arial" w:hAnsi="Arial" w:cs="Arial"/>
          <w:b/>
          <w:bCs/>
          <w:i/>
          <w:color w:val="000000"/>
          <w:sz w:val="24"/>
          <w:szCs w:val="24"/>
        </w:rPr>
        <w:t>ÓN VIGENTE A P</w:t>
      </w:r>
      <w:r w:rsidR="000E2F51">
        <w:rPr>
          <w:rFonts w:ascii="Arial" w:hAnsi="Arial" w:cs="Arial"/>
          <w:b/>
          <w:bCs/>
          <w:i/>
          <w:color w:val="000000"/>
          <w:sz w:val="24"/>
          <w:szCs w:val="24"/>
        </w:rPr>
        <w:t xml:space="preserve">ARTIR DEL 1º </w:t>
      </w:r>
      <w:r w:rsidR="00862402">
        <w:rPr>
          <w:rFonts w:ascii="Arial" w:hAnsi="Arial" w:cs="Arial"/>
          <w:b/>
          <w:bCs/>
          <w:i/>
          <w:color w:val="000000"/>
          <w:sz w:val="24"/>
          <w:szCs w:val="24"/>
        </w:rPr>
        <w:t xml:space="preserve">DE ABRIL DE </w:t>
      </w:r>
      <w:r w:rsidR="000E2F51">
        <w:rPr>
          <w:rFonts w:ascii="Arial" w:hAnsi="Arial" w:cs="Arial"/>
          <w:b/>
          <w:bCs/>
          <w:i/>
          <w:color w:val="000000"/>
          <w:sz w:val="24"/>
          <w:szCs w:val="24"/>
        </w:rPr>
        <w:t>2007)”.</w:t>
      </w:r>
      <w:r w:rsidR="005C6FA9">
        <w:rPr>
          <w:rFonts w:ascii="Arial" w:hAnsi="Arial" w:cs="Arial"/>
          <w:bCs/>
          <w:color w:val="000000"/>
          <w:sz w:val="26"/>
          <w:szCs w:val="26"/>
        </w:rPr>
        <w:t xml:space="preserve"> </w:t>
      </w:r>
      <w:r w:rsidR="007B3974">
        <w:rPr>
          <w:rFonts w:ascii="Arial" w:hAnsi="Arial" w:cs="Arial"/>
          <w:sz w:val="26"/>
          <w:szCs w:val="26"/>
        </w:rPr>
        <w:lastRenderedPageBreak/>
        <w:t xml:space="preserve">En </w:t>
      </w:r>
      <w:r w:rsidR="00951194">
        <w:rPr>
          <w:rFonts w:ascii="Arial" w:hAnsi="Arial" w:cs="Arial"/>
          <w:sz w:val="26"/>
          <w:szCs w:val="26"/>
        </w:rPr>
        <w:t xml:space="preserve">su agravio segundo, manifiesta el recurrente que </w:t>
      </w:r>
      <w:r w:rsidR="00C75218">
        <w:rPr>
          <w:rFonts w:ascii="Arial" w:hAnsi="Arial" w:cs="Arial"/>
          <w:sz w:val="26"/>
          <w:szCs w:val="26"/>
        </w:rPr>
        <w:t xml:space="preserve">la forma de resolver del Magistrado de </w:t>
      </w:r>
      <w:r w:rsidR="00C75218" w:rsidRPr="004E7D5A">
        <w:rPr>
          <w:rFonts w:ascii="Arial" w:hAnsi="Arial" w:cs="Arial"/>
          <w:sz w:val="26"/>
          <w:szCs w:val="26"/>
        </w:rPr>
        <w:t xml:space="preserve">primera </w:t>
      </w:r>
      <w:r w:rsidR="00A64BD5" w:rsidRPr="004E7D5A">
        <w:rPr>
          <w:rFonts w:ascii="Arial" w:hAnsi="Arial" w:cs="Arial"/>
          <w:sz w:val="26"/>
          <w:szCs w:val="26"/>
        </w:rPr>
        <w:t>instancia</w:t>
      </w:r>
      <w:r w:rsidR="00A64BD5">
        <w:rPr>
          <w:rFonts w:ascii="Arial" w:hAnsi="Arial" w:cs="Arial"/>
          <w:sz w:val="26"/>
          <w:szCs w:val="26"/>
        </w:rPr>
        <w:t xml:space="preserve"> </w:t>
      </w:r>
      <w:r w:rsidR="00C75218">
        <w:rPr>
          <w:rFonts w:ascii="Arial" w:hAnsi="Arial" w:cs="Arial"/>
          <w:sz w:val="26"/>
          <w:szCs w:val="26"/>
        </w:rPr>
        <w:t xml:space="preserve">le causa perjuicio cuando señala lo siguiente: </w:t>
      </w:r>
      <w:r w:rsidR="00C75218">
        <w:rPr>
          <w:rFonts w:ascii="Arial" w:hAnsi="Arial" w:cs="Arial"/>
          <w:i/>
          <w:sz w:val="24"/>
          <w:szCs w:val="24"/>
        </w:rPr>
        <w:t xml:space="preserve">“…frente a tal argumento del accionante de que la prescripción aplicable a la solicitud de devolución de las cantidades enteradas al Fondo de Pensiones, es inconstitucional porque dichas prestaciones tienen el carácter de seguridad social y en tales términos se encuentran elevados al nivel de Derecho Humanos, tal aseveración resulta, de igual manera, incorrecta.” </w:t>
      </w:r>
      <w:r w:rsidR="00C75218">
        <w:rPr>
          <w:rFonts w:ascii="Arial" w:hAnsi="Arial" w:cs="Arial"/>
          <w:sz w:val="26"/>
          <w:szCs w:val="26"/>
        </w:rPr>
        <w:t>Pues señala que por decreto publicado en el Diario Oficial de la Federación el diez de junio de dos mil ocho, se modificó el artículo 1 constitucional el cual reconoce a todas las personas el goce de los derechos humanos previstos en la Constitución y en los tratados internacionales, además establece que las norma relativas a esos derechos deberán interpretarse aplicando el principio de “pro persona”, favoreciendo en todo tiempo a las personas en la protección más amplia.</w:t>
      </w:r>
    </w:p>
    <w:p w:rsidR="004578DD" w:rsidRDefault="004578DD" w:rsidP="004578DD">
      <w:pPr>
        <w:spacing w:line="360" w:lineRule="auto"/>
        <w:ind w:firstLine="708"/>
        <w:jc w:val="both"/>
        <w:rPr>
          <w:rFonts w:ascii="Arial" w:hAnsi="Arial" w:cs="Arial"/>
          <w:sz w:val="26"/>
          <w:szCs w:val="26"/>
        </w:rPr>
      </w:pPr>
    </w:p>
    <w:p w:rsidR="004578DD" w:rsidRDefault="00C75218" w:rsidP="004578DD">
      <w:pPr>
        <w:spacing w:line="360" w:lineRule="auto"/>
        <w:ind w:firstLine="708"/>
        <w:jc w:val="both"/>
        <w:rPr>
          <w:rFonts w:ascii="Arial" w:hAnsi="Arial" w:cs="Arial"/>
          <w:sz w:val="26"/>
          <w:szCs w:val="26"/>
        </w:rPr>
      </w:pPr>
      <w:r>
        <w:rPr>
          <w:rFonts w:ascii="Arial" w:hAnsi="Arial" w:cs="Arial"/>
          <w:sz w:val="26"/>
          <w:szCs w:val="26"/>
        </w:rPr>
        <w:t xml:space="preserve">Dice lo anterior, dado que el derecho a la seguridad social constituye un derecho humano y de su desempaque, se obtienen otros subderechos, tales como pensiones, jubilaciones entre otros,  y según la Organización Internacional del Trabajo OIT, la seguridad social es la protección que una sociedad proporciona  los individuos y los hogares para </w:t>
      </w:r>
      <w:r w:rsidRPr="004E7D5A">
        <w:rPr>
          <w:rFonts w:ascii="Arial" w:hAnsi="Arial" w:cs="Arial"/>
          <w:sz w:val="26"/>
          <w:szCs w:val="26"/>
        </w:rPr>
        <w:t>asegura</w:t>
      </w:r>
      <w:r w:rsidR="009756B6" w:rsidRPr="004E7D5A">
        <w:rPr>
          <w:rFonts w:ascii="Arial" w:hAnsi="Arial" w:cs="Arial"/>
          <w:sz w:val="26"/>
          <w:szCs w:val="26"/>
        </w:rPr>
        <w:t>r</w:t>
      </w:r>
      <w:r>
        <w:rPr>
          <w:rFonts w:ascii="Arial" w:hAnsi="Arial" w:cs="Arial"/>
          <w:sz w:val="26"/>
          <w:szCs w:val="26"/>
        </w:rPr>
        <w:t xml:space="preserve"> el acceso a la asistencia médica y garantizar la seguridad del ingreso, en particular en caso de vejez, desempleo, enfermedad, invalidez, </w:t>
      </w:r>
      <w:r w:rsidR="005A01AA">
        <w:rPr>
          <w:rFonts w:ascii="Arial" w:hAnsi="Arial" w:cs="Arial"/>
          <w:sz w:val="26"/>
          <w:szCs w:val="26"/>
        </w:rPr>
        <w:t>accidentes</w:t>
      </w:r>
      <w:r>
        <w:rPr>
          <w:rFonts w:ascii="Arial" w:hAnsi="Arial" w:cs="Arial"/>
          <w:sz w:val="26"/>
          <w:szCs w:val="26"/>
        </w:rPr>
        <w:t xml:space="preserve"> del trabajo, maternidad o pérdida del </w:t>
      </w:r>
      <w:r w:rsidR="005A01AA">
        <w:rPr>
          <w:rFonts w:ascii="Arial" w:hAnsi="Arial" w:cs="Arial"/>
          <w:sz w:val="26"/>
          <w:szCs w:val="26"/>
        </w:rPr>
        <w:t>sostén de familia.</w:t>
      </w:r>
    </w:p>
    <w:p w:rsidR="004578DD" w:rsidRDefault="005A01AA" w:rsidP="004578DD">
      <w:pPr>
        <w:spacing w:line="360" w:lineRule="auto"/>
        <w:ind w:firstLine="708"/>
        <w:jc w:val="both"/>
        <w:rPr>
          <w:rFonts w:ascii="Arial" w:hAnsi="Arial" w:cs="Arial"/>
          <w:sz w:val="26"/>
          <w:szCs w:val="26"/>
        </w:rPr>
      </w:pPr>
      <w:r>
        <w:rPr>
          <w:rFonts w:ascii="Arial" w:hAnsi="Arial" w:cs="Arial"/>
          <w:sz w:val="26"/>
          <w:szCs w:val="26"/>
        </w:rPr>
        <w:t xml:space="preserve">Continúa exponiendo en su agravio, que </w:t>
      </w:r>
      <w:r w:rsidR="006F25B0">
        <w:rPr>
          <w:rFonts w:ascii="Arial" w:hAnsi="Arial" w:cs="Arial"/>
          <w:sz w:val="26"/>
          <w:szCs w:val="26"/>
        </w:rPr>
        <w:t xml:space="preserve">el </w:t>
      </w:r>
      <w:r>
        <w:rPr>
          <w:rFonts w:ascii="Arial" w:hAnsi="Arial" w:cs="Arial"/>
          <w:sz w:val="26"/>
          <w:szCs w:val="26"/>
        </w:rPr>
        <w:t xml:space="preserve">derecho </w:t>
      </w:r>
      <w:r w:rsidR="006F25B0">
        <w:rPr>
          <w:rFonts w:ascii="Arial" w:hAnsi="Arial" w:cs="Arial"/>
          <w:sz w:val="26"/>
          <w:szCs w:val="26"/>
        </w:rPr>
        <w:t xml:space="preserve">a la seguridad social, </w:t>
      </w:r>
      <w:r>
        <w:rPr>
          <w:rFonts w:ascii="Arial" w:hAnsi="Arial" w:cs="Arial"/>
          <w:sz w:val="26"/>
          <w:szCs w:val="26"/>
        </w:rPr>
        <w:t>fue reconocido en diversos trat</w:t>
      </w:r>
      <w:r w:rsidR="006F25B0">
        <w:rPr>
          <w:rFonts w:ascii="Arial" w:hAnsi="Arial" w:cs="Arial"/>
          <w:sz w:val="26"/>
          <w:szCs w:val="26"/>
        </w:rPr>
        <w:t>ad</w:t>
      </w:r>
      <w:r>
        <w:rPr>
          <w:rFonts w:ascii="Arial" w:hAnsi="Arial" w:cs="Arial"/>
          <w:sz w:val="26"/>
          <w:szCs w:val="26"/>
        </w:rPr>
        <w:t>os internacionales de derecho</w:t>
      </w:r>
      <w:r w:rsidR="004E7D5A">
        <w:rPr>
          <w:rFonts w:ascii="Arial" w:hAnsi="Arial" w:cs="Arial"/>
          <w:sz w:val="26"/>
          <w:szCs w:val="26"/>
        </w:rPr>
        <w:t>s humanos, y que por lo tanto es</w:t>
      </w:r>
      <w:r>
        <w:rPr>
          <w:rFonts w:ascii="Arial" w:hAnsi="Arial" w:cs="Arial"/>
          <w:sz w:val="26"/>
          <w:szCs w:val="26"/>
        </w:rPr>
        <w:t xml:space="preserve"> viable concluir que al ser las prestaciones reclamadas en la Dirección General de Pensiones, una vertiente de la seguridad social, el cual dice, es un derecho humano, debe de imperar la imprescriptibilidad al momento de ejercitar ese derecho.</w:t>
      </w:r>
    </w:p>
    <w:p w:rsidR="004578DD" w:rsidRDefault="004578DD" w:rsidP="004578DD">
      <w:pPr>
        <w:spacing w:line="360" w:lineRule="auto"/>
        <w:ind w:firstLine="708"/>
        <w:jc w:val="both"/>
        <w:rPr>
          <w:rFonts w:ascii="Arial" w:hAnsi="Arial" w:cs="Arial"/>
          <w:sz w:val="26"/>
          <w:szCs w:val="26"/>
        </w:rPr>
      </w:pPr>
    </w:p>
    <w:p w:rsidR="004578DD" w:rsidRDefault="00951194" w:rsidP="004578DD">
      <w:pPr>
        <w:spacing w:line="360" w:lineRule="auto"/>
        <w:ind w:firstLine="708"/>
        <w:jc w:val="both"/>
        <w:rPr>
          <w:rFonts w:ascii="Arial" w:eastAsia="Calibri" w:hAnsi="Arial" w:cs="Arial"/>
          <w:bCs/>
          <w:sz w:val="26"/>
          <w:szCs w:val="26"/>
        </w:rPr>
      </w:pPr>
      <w:r w:rsidRPr="006E2BA4">
        <w:rPr>
          <w:rFonts w:ascii="Arial" w:hAnsi="Arial" w:cs="Arial"/>
          <w:b/>
          <w:sz w:val="26"/>
          <w:szCs w:val="26"/>
        </w:rPr>
        <w:t>En</w:t>
      </w:r>
      <w:r>
        <w:rPr>
          <w:rFonts w:ascii="Arial" w:hAnsi="Arial" w:cs="Arial"/>
          <w:sz w:val="26"/>
          <w:szCs w:val="26"/>
        </w:rPr>
        <w:t xml:space="preserve"> </w:t>
      </w:r>
      <w:r w:rsidR="007B3974">
        <w:rPr>
          <w:rFonts w:ascii="Arial" w:hAnsi="Arial" w:cs="Arial"/>
          <w:sz w:val="26"/>
          <w:szCs w:val="26"/>
        </w:rPr>
        <w:t xml:space="preserve">atención a lo anterior, se tiene que resultan </w:t>
      </w:r>
      <w:r w:rsidR="007B3974" w:rsidRPr="004E7D5A">
        <w:rPr>
          <w:rFonts w:ascii="Arial" w:hAnsi="Arial" w:cs="Arial"/>
          <w:b/>
          <w:sz w:val="26"/>
          <w:szCs w:val="26"/>
        </w:rPr>
        <w:t>in</w:t>
      </w:r>
      <w:r w:rsidR="00A64BD5" w:rsidRPr="004E7D5A">
        <w:rPr>
          <w:rFonts w:ascii="Arial" w:hAnsi="Arial" w:cs="Arial"/>
          <w:b/>
          <w:sz w:val="26"/>
          <w:szCs w:val="26"/>
        </w:rPr>
        <w:t>fundadas</w:t>
      </w:r>
      <w:r w:rsidR="007B3974" w:rsidRPr="00461EFE">
        <w:rPr>
          <w:rFonts w:ascii="Arial" w:hAnsi="Arial" w:cs="Arial"/>
          <w:sz w:val="26"/>
          <w:szCs w:val="26"/>
        </w:rPr>
        <w:t xml:space="preserve"> </w:t>
      </w:r>
      <w:r w:rsidR="007B3974">
        <w:rPr>
          <w:rFonts w:ascii="Arial" w:hAnsi="Arial" w:cs="Arial"/>
          <w:sz w:val="26"/>
          <w:szCs w:val="26"/>
        </w:rPr>
        <w:t>l</w:t>
      </w:r>
      <w:r w:rsidR="00893003">
        <w:rPr>
          <w:rFonts w:ascii="Arial" w:hAnsi="Arial" w:cs="Arial"/>
          <w:sz w:val="26"/>
          <w:szCs w:val="26"/>
        </w:rPr>
        <w:t>a</w:t>
      </w:r>
      <w:r w:rsidR="007B3974">
        <w:rPr>
          <w:rFonts w:ascii="Arial" w:hAnsi="Arial" w:cs="Arial"/>
          <w:sz w:val="26"/>
          <w:szCs w:val="26"/>
        </w:rPr>
        <w:t xml:space="preserve">s </w:t>
      </w:r>
      <w:r w:rsidR="00893003">
        <w:rPr>
          <w:rFonts w:ascii="Arial" w:hAnsi="Arial" w:cs="Arial"/>
          <w:sz w:val="26"/>
          <w:szCs w:val="26"/>
        </w:rPr>
        <w:t>manifestaciones</w:t>
      </w:r>
      <w:r w:rsidR="00011F08">
        <w:rPr>
          <w:rFonts w:ascii="Arial" w:hAnsi="Arial" w:cs="Arial"/>
          <w:sz w:val="26"/>
          <w:szCs w:val="26"/>
        </w:rPr>
        <w:t xml:space="preserve"> efectuadas por </w:t>
      </w:r>
      <w:r w:rsidR="00011F08">
        <w:rPr>
          <w:rFonts w:ascii="Arial" w:eastAsia="Calibri" w:hAnsi="Arial" w:cs="Arial"/>
          <w:bCs/>
          <w:sz w:val="26"/>
          <w:szCs w:val="26"/>
        </w:rPr>
        <w:t>el</w:t>
      </w:r>
      <w:r w:rsidR="00C00305">
        <w:rPr>
          <w:rFonts w:ascii="Arial" w:eastAsia="Calibri" w:hAnsi="Arial" w:cs="Arial"/>
          <w:bCs/>
          <w:sz w:val="26"/>
          <w:szCs w:val="26"/>
        </w:rPr>
        <w:t xml:space="preserve"> recurrente</w:t>
      </w:r>
      <w:r w:rsidR="00011F08">
        <w:rPr>
          <w:rFonts w:ascii="Arial" w:eastAsia="Calibri" w:hAnsi="Arial" w:cs="Arial"/>
          <w:bCs/>
          <w:sz w:val="26"/>
          <w:szCs w:val="26"/>
        </w:rPr>
        <w:t xml:space="preserve">, </w:t>
      </w:r>
      <w:r w:rsidR="00B34879" w:rsidRPr="004E7D5A">
        <w:rPr>
          <w:rFonts w:ascii="Arial" w:hAnsi="Arial" w:cs="Arial"/>
          <w:bCs/>
          <w:sz w:val="26"/>
          <w:szCs w:val="26"/>
        </w:rPr>
        <w:t xml:space="preserve">al no exponer razonamiento lógico – jurídico que controvierta la </w:t>
      </w:r>
      <w:r w:rsidR="00290EE7" w:rsidRPr="004E7D5A">
        <w:rPr>
          <w:rFonts w:ascii="Arial" w:hAnsi="Arial" w:cs="Arial"/>
          <w:bCs/>
          <w:sz w:val="26"/>
          <w:szCs w:val="26"/>
        </w:rPr>
        <w:t>declaración de</w:t>
      </w:r>
      <w:r w:rsidR="00B34879" w:rsidRPr="004E7D5A">
        <w:rPr>
          <w:rFonts w:ascii="Arial" w:eastAsia="Calibri" w:hAnsi="Arial" w:cs="Arial"/>
          <w:bCs/>
          <w:sz w:val="26"/>
          <w:szCs w:val="26"/>
        </w:rPr>
        <w:t xml:space="preserve"> validez del oficio número </w:t>
      </w:r>
      <w:r w:rsidR="00E81FE1" w:rsidRPr="00E81FE1">
        <w:rPr>
          <w:rFonts w:ascii="Arial" w:eastAsia="Calibri" w:hAnsi="Arial" w:cs="Arial"/>
          <w:b/>
          <w:bCs/>
          <w:sz w:val="26"/>
          <w:szCs w:val="26"/>
        </w:rPr>
        <w:t>**********</w:t>
      </w:r>
      <w:r w:rsidR="00B34879" w:rsidRPr="004E7D5A">
        <w:rPr>
          <w:rFonts w:ascii="Arial" w:eastAsia="Calibri" w:hAnsi="Arial" w:cs="Arial"/>
          <w:bCs/>
          <w:sz w:val="26"/>
          <w:szCs w:val="26"/>
        </w:rPr>
        <w:t xml:space="preserve"> de fecha dieciocho de febrero de dos mil diecinueve, </w:t>
      </w:r>
      <w:r w:rsidR="00B34879" w:rsidRPr="004E7D5A">
        <w:rPr>
          <w:rFonts w:ascii="Arial" w:hAnsi="Arial" w:cs="Arial"/>
          <w:bCs/>
          <w:sz w:val="26"/>
          <w:szCs w:val="26"/>
        </w:rPr>
        <w:t xml:space="preserve">emitido por el Director General de la Oficina de Pensiones del Estado de Oaxaca; </w:t>
      </w:r>
      <w:r w:rsidR="009756B6" w:rsidRPr="004E7D5A">
        <w:rPr>
          <w:rFonts w:ascii="Arial" w:hAnsi="Arial" w:cs="Arial"/>
          <w:bCs/>
          <w:sz w:val="26"/>
          <w:szCs w:val="26"/>
        </w:rPr>
        <w:t xml:space="preserve">lo anterior, </w:t>
      </w:r>
      <w:r w:rsidR="00B34879" w:rsidRPr="004E7D5A">
        <w:rPr>
          <w:rFonts w:ascii="Arial" w:hAnsi="Arial" w:cs="Arial"/>
          <w:bCs/>
          <w:sz w:val="26"/>
          <w:szCs w:val="26"/>
        </w:rPr>
        <w:t xml:space="preserve">debido a que sus expresiones son simples afirmaciones carentes de sustento legal, y no combaten las razones torales de la sentencia recurrida, por lo que esta Sala no puede </w:t>
      </w:r>
      <w:r w:rsidR="00B34879" w:rsidRPr="004E7D5A">
        <w:rPr>
          <w:rFonts w:ascii="Arial" w:hAnsi="Arial" w:cs="Arial"/>
          <w:bCs/>
          <w:sz w:val="26"/>
          <w:szCs w:val="26"/>
        </w:rPr>
        <w:lastRenderedPageBreak/>
        <w:t xml:space="preserve">analizar la legalidad de la sentencia a la luz de los motivos de inconformidad, pues únicamente se limita a </w:t>
      </w:r>
      <w:r w:rsidR="00C00305" w:rsidRPr="004E7D5A">
        <w:rPr>
          <w:rFonts w:ascii="Arial" w:eastAsia="Calibri" w:hAnsi="Arial" w:cs="Arial"/>
          <w:bCs/>
          <w:sz w:val="26"/>
          <w:szCs w:val="26"/>
        </w:rPr>
        <w:t>señalar de manera general</w:t>
      </w:r>
      <w:r w:rsidR="00B34879" w:rsidRPr="004E7D5A">
        <w:rPr>
          <w:rFonts w:ascii="Arial" w:eastAsia="Calibri" w:hAnsi="Arial" w:cs="Arial"/>
          <w:bCs/>
          <w:sz w:val="26"/>
          <w:szCs w:val="26"/>
        </w:rPr>
        <w:t xml:space="preserve"> que se v</w:t>
      </w:r>
      <w:r w:rsidR="00C00305" w:rsidRPr="004E7D5A">
        <w:rPr>
          <w:rFonts w:ascii="Arial" w:eastAsia="Calibri" w:hAnsi="Arial" w:cs="Arial"/>
          <w:bCs/>
          <w:sz w:val="26"/>
          <w:szCs w:val="26"/>
        </w:rPr>
        <w:t>iola</w:t>
      </w:r>
      <w:r w:rsidR="00B34879" w:rsidRPr="004E7D5A">
        <w:rPr>
          <w:rFonts w:ascii="Arial" w:eastAsia="Calibri" w:hAnsi="Arial" w:cs="Arial"/>
          <w:bCs/>
          <w:sz w:val="26"/>
          <w:szCs w:val="26"/>
        </w:rPr>
        <w:t>n</w:t>
      </w:r>
      <w:r w:rsidR="00C00305" w:rsidRPr="004E7D5A">
        <w:rPr>
          <w:rFonts w:ascii="Arial" w:eastAsia="Calibri" w:hAnsi="Arial" w:cs="Arial"/>
          <w:bCs/>
          <w:sz w:val="26"/>
          <w:szCs w:val="26"/>
        </w:rPr>
        <w:t xml:space="preserve"> los principios de seguridad certeza y seguridad jurídica contemplados en los artículos 14, 16 y 17 de la Constitución Federal, así como a indicar que la sentencia dictada el diez de julio de dos mil diecinueve por el Magistrado de la Sexta Sala Unitaria de Primera Instancia, no se encuentra debidamente fundada y motivada, sin indicar los motivos por los que </w:t>
      </w:r>
      <w:r w:rsidR="00011F08" w:rsidRPr="004E7D5A">
        <w:rPr>
          <w:rFonts w:ascii="Arial" w:eastAsia="Calibri" w:hAnsi="Arial" w:cs="Arial"/>
          <w:bCs/>
          <w:sz w:val="26"/>
          <w:szCs w:val="26"/>
        </w:rPr>
        <w:t xml:space="preserve">a su juicio la sentencia recurrida no cumple con dichos requisitos </w:t>
      </w:r>
      <w:r w:rsidR="004326C4" w:rsidRPr="004E7D5A">
        <w:rPr>
          <w:rFonts w:ascii="Arial" w:eastAsia="Calibri" w:hAnsi="Arial" w:cs="Arial"/>
          <w:bCs/>
          <w:sz w:val="26"/>
          <w:szCs w:val="26"/>
        </w:rPr>
        <w:t xml:space="preserve">y considerar que </w:t>
      </w:r>
      <w:r w:rsidR="00011F08" w:rsidRPr="004E7D5A">
        <w:rPr>
          <w:rFonts w:ascii="Arial" w:eastAsia="Calibri" w:hAnsi="Arial" w:cs="Arial"/>
          <w:bCs/>
          <w:sz w:val="26"/>
          <w:szCs w:val="26"/>
        </w:rPr>
        <w:t xml:space="preserve">además </w:t>
      </w:r>
      <w:r w:rsidR="004326C4" w:rsidRPr="004E7D5A">
        <w:rPr>
          <w:rFonts w:ascii="Arial" w:eastAsia="Calibri" w:hAnsi="Arial" w:cs="Arial"/>
          <w:bCs/>
          <w:sz w:val="26"/>
          <w:szCs w:val="26"/>
        </w:rPr>
        <w:t>no fue emitida en forma congruente y exhaustiva</w:t>
      </w:r>
      <w:r w:rsidR="009756B6" w:rsidRPr="004E7D5A">
        <w:rPr>
          <w:rFonts w:ascii="Arial" w:eastAsia="Calibri" w:hAnsi="Arial" w:cs="Arial"/>
          <w:bCs/>
          <w:sz w:val="26"/>
          <w:szCs w:val="26"/>
        </w:rPr>
        <w:t xml:space="preserve"> y que por tal motivo, la validez decretada por la primera instancia, sea ilegal y se haya emitido en contravención con lo dispuesto por el artículo 207 de la Ley de Procedimiento y Justicia Administrativa para el Estado de Oaxaca</w:t>
      </w:r>
      <w:r w:rsidR="00545876" w:rsidRPr="004E7D5A">
        <w:rPr>
          <w:rFonts w:ascii="Arial" w:eastAsia="Calibri" w:hAnsi="Arial" w:cs="Arial"/>
          <w:bCs/>
          <w:sz w:val="26"/>
          <w:szCs w:val="26"/>
        </w:rPr>
        <w:t>.</w:t>
      </w:r>
    </w:p>
    <w:p w:rsidR="004578DD" w:rsidRDefault="004578DD" w:rsidP="004578DD">
      <w:pPr>
        <w:spacing w:line="360" w:lineRule="auto"/>
        <w:ind w:firstLine="708"/>
        <w:jc w:val="both"/>
        <w:rPr>
          <w:rFonts w:ascii="Arial" w:eastAsia="Calibri" w:hAnsi="Arial" w:cs="Arial"/>
          <w:bCs/>
          <w:sz w:val="26"/>
          <w:szCs w:val="26"/>
        </w:rPr>
      </w:pPr>
    </w:p>
    <w:p w:rsidR="00525D1A" w:rsidRPr="002B506D" w:rsidRDefault="00525D1A" w:rsidP="004578DD">
      <w:pPr>
        <w:spacing w:line="360" w:lineRule="auto"/>
        <w:ind w:firstLine="708"/>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rsidR="00525D1A" w:rsidRDefault="00525D1A" w:rsidP="004578DD">
      <w:pPr>
        <w:ind w:left="993" w:right="900"/>
        <w:jc w:val="both"/>
        <w:rPr>
          <w:rFonts w:ascii="Arial" w:eastAsia="Times New Roman" w:hAnsi="Arial"/>
          <w:i/>
          <w:color w:val="000000" w:themeColor="text1"/>
        </w:rPr>
      </w:pPr>
      <w:r w:rsidRPr="00907C0F">
        <w:rPr>
          <w:rFonts w:ascii="Arial" w:eastAsia="Times New Roman" w:hAnsi="Arial"/>
          <w:i/>
          <w:color w:val="000000" w:themeColor="text1"/>
        </w:rPr>
        <w:t>“</w:t>
      </w:r>
      <w:r w:rsidRPr="00907C0F">
        <w:rPr>
          <w:rFonts w:ascii="Arial" w:eastAsia="Times New Roman" w:hAnsi="Arial"/>
          <w:b/>
          <w:i/>
          <w:color w:val="000000" w:themeColor="text1"/>
        </w:rPr>
        <w:t xml:space="preserve">AGRAVIOS. DEBEN DE IMPUGNAR LA ILEGALIDAD DEL FALLO RECURRIDO. </w:t>
      </w:r>
      <w:r w:rsidRPr="00907C0F">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4578DD" w:rsidRDefault="004578DD" w:rsidP="00525D1A">
      <w:pPr>
        <w:spacing w:line="360" w:lineRule="auto"/>
        <w:ind w:left="993" w:right="900"/>
        <w:jc w:val="both"/>
        <w:rPr>
          <w:rFonts w:ascii="Arial" w:eastAsia="Calibri" w:hAnsi="Arial" w:cs="Arial"/>
          <w:bCs/>
          <w:sz w:val="26"/>
          <w:szCs w:val="26"/>
        </w:rPr>
      </w:pPr>
    </w:p>
    <w:p w:rsidR="004578DD" w:rsidRDefault="00AC632A" w:rsidP="004578DD">
      <w:pPr>
        <w:spacing w:line="360" w:lineRule="auto"/>
        <w:ind w:right="51" w:firstLine="708"/>
        <w:jc w:val="both"/>
        <w:rPr>
          <w:rFonts w:ascii="Arial" w:eastAsia="Calibri" w:hAnsi="Arial" w:cs="Arial"/>
          <w:bCs/>
          <w:sz w:val="26"/>
          <w:szCs w:val="26"/>
        </w:rPr>
      </w:pPr>
      <w:r>
        <w:rPr>
          <w:rFonts w:ascii="Arial" w:eastAsia="Calibri" w:hAnsi="Arial" w:cs="Arial"/>
          <w:b/>
          <w:bCs/>
          <w:sz w:val="26"/>
          <w:szCs w:val="26"/>
        </w:rPr>
        <w:t xml:space="preserve">Por </w:t>
      </w:r>
      <w:r w:rsidRPr="00AC632A">
        <w:rPr>
          <w:rFonts w:ascii="Arial" w:eastAsia="Calibri" w:hAnsi="Arial" w:cs="Arial"/>
          <w:bCs/>
          <w:sz w:val="26"/>
          <w:szCs w:val="26"/>
        </w:rPr>
        <w:t>otra parte,</w:t>
      </w:r>
      <w:r w:rsidR="007B3974" w:rsidRPr="00461EFE">
        <w:rPr>
          <w:rFonts w:ascii="Arial" w:eastAsia="Calibri" w:hAnsi="Arial" w:cs="Arial"/>
          <w:bCs/>
          <w:sz w:val="26"/>
          <w:szCs w:val="26"/>
        </w:rPr>
        <w:t xml:space="preserve"> del análisis </w:t>
      </w:r>
      <w:r w:rsidR="000D7908" w:rsidRPr="004E7D5A">
        <w:rPr>
          <w:rFonts w:ascii="Arial" w:eastAsia="Calibri" w:hAnsi="Arial" w:cs="Arial"/>
          <w:bCs/>
          <w:sz w:val="26"/>
          <w:szCs w:val="26"/>
        </w:rPr>
        <w:t>de</w:t>
      </w:r>
      <w:r w:rsidR="007B3974" w:rsidRPr="00461EFE">
        <w:rPr>
          <w:rFonts w:ascii="Arial" w:eastAsia="Calibri" w:hAnsi="Arial" w:cs="Arial"/>
          <w:bCs/>
          <w:sz w:val="26"/>
          <w:szCs w:val="26"/>
        </w:rPr>
        <w:t xml:space="preserve"> las constancias que integran el expediente natural que merecen pleno valor probatorio en términos de la fracción I del artículo </w:t>
      </w:r>
      <w:r w:rsidR="00C608E8">
        <w:rPr>
          <w:rFonts w:ascii="Arial" w:eastAsia="Calibri" w:hAnsi="Arial" w:cs="Arial"/>
          <w:bCs/>
          <w:sz w:val="26"/>
          <w:szCs w:val="26"/>
        </w:rPr>
        <w:t>20</w:t>
      </w:r>
      <w:r w:rsidR="007B3974" w:rsidRPr="00461EFE">
        <w:rPr>
          <w:rFonts w:ascii="Arial" w:eastAsia="Calibri" w:hAnsi="Arial" w:cs="Arial"/>
          <w:bCs/>
          <w:sz w:val="26"/>
          <w:szCs w:val="26"/>
        </w:rPr>
        <w:t>3 de la Ley de</w:t>
      </w:r>
      <w:r w:rsidR="00C608E8">
        <w:rPr>
          <w:rFonts w:ascii="Arial" w:eastAsia="Calibri" w:hAnsi="Arial" w:cs="Arial"/>
          <w:bCs/>
          <w:sz w:val="26"/>
          <w:szCs w:val="26"/>
        </w:rPr>
        <w:t xml:space="preserve"> la materia, </w:t>
      </w:r>
      <w:r w:rsidR="007B3974" w:rsidRPr="00461EFE">
        <w:rPr>
          <w:rFonts w:ascii="Arial" w:eastAsia="Calibri" w:hAnsi="Arial" w:cs="Arial"/>
          <w:bCs/>
          <w:sz w:val="26"/>
          <w:szCs w:val="26"/>
        </w:rPr>
        <w:t xml:space="preserve">por constar en actuaciones judiciales, en específico del escrito de </w:t>
      </w:r>
      <w:r w:rsidR="00C608E8">
        <w:rPr>
          <w:rFonts w:ascii="Arial" w:eastAsia="Calibri" w:hAnsi="Arial" w:cs="Arial"/>
          <w:bCs/>
          <w:sz w:val="26"/>
          <w:szCs w:val="26"/>
        </w:rPr>
        <w:t xml:space="preserve">demanda presentado por </w:t>
      </w:r>
      <w:r w:rsidR="00E81FE1" w:rsidRPr="00E81FE1">
        <w:rPr>
          <w:rFonts w:ascii="Arial" w:eastAsia="Calibri" w:hAnsi="Arial" w:cs="Arial"/>
          <w:b/>
          <w:bCs/>
          <w:sz w:val="26"/>
          <w:szCs w:val="26"/>
        </w:rPr>
        <w:t>***********</w:t>
      </w:r>
      <w:r w:rsidR="00C608E8">
        <w:rPr>
          <w:rFonts w:ascii="Arial" w:eastAsia="Calibri" w:hAnsi="Arial" w:cs="Arial"/>
          <w:bCs/>
          <w:sz w:val="26"/>
          <w:szCs w:val="26"/>
        </w:rPr>
        <w:t xml:space="preserve"> el veintiuno de marzo de dos mil diecinueve, </w:t>
      </w:r>
      <w:r w:rsidR="007B3974" w:rsidRPr="00461EFE">
        <w:rPr>
          <w:rFonts w:ascii="Arial" w:eastAsia="Calibri" w:hAnsi="Arial" w:cs="Arial"/>
          <w:bCs/>
          <w:sz w:val="26"/>
          <w:szCs w:val="26"/>
        </w:rPr>
        <w:t xml:space="preserve"> se advierte que </w:t>
      </w:r>
      <w:r w:rsidR="00C608E8">
        <w:rPr>
          <w:rFonts w:ascii="Arial" w:eastAsia="Calibri" w:hAnsi="Arial" w:cs="Arial"/>
          <w:bCs/>
          <w:sz w:val="26"/>
          <w:szCs w:val="26"/>
        </w:rPr>
        <w:t>las</w:t>
      </w:r>
      <w:r w:rsidR="007B3974" w:rsidRPr="00461EFE">
        <w:rPr>
          <w:rFonts w:ascii="Arial" w:eastAsia="Calibri" w:hAnsi="Arial" w:cs="Arial"/>
          <w:bCs/>
          <w:sz w:val="26"/>
          <w:szCs w:val="26"/>
        </w:rPr>
        <w:t xml:space="preserve"> manifestaciones </w:t>
      </w:r>
      <w:r w:rsidR="00C608E8">
        <w:rPr>
          <w:rFonts w:ascii="Arial" w:eastAsia="Calibri" w:hAnsi="Arial" w:cs="Arial"/>
          <w:bCs/>
          <w:sz w:val="26"/>
          <w:szCs w:val="26"/>
        </w:rPr>
        <w:t xml:space="preserve">efectuadas en su escrito de recurso de revisión, </w:t>
      </w:r>
      <w:r w:rsidR="007B3974" w:rsidRPr="00461EFE">
        <w:rPr>
          <w:rFonts w:ascii="Arial" w:eastAsia="Calibri" w:hAnsi="Arial" w:cs="Arial"/>
          <w:bCs/>
          <w:sz w:val="26"/>
          <w:szCs w:val="26"/>
        </w:rPr>
        <w:t xml:space="preserve">son en esencia, una reiteración y/o abundamiento de lo ya expuesto en </w:t>
      </w:r>
      <w:r w:rsidR="00AF052B">
        <w:rPr>
          <w:rFonts w:ascii="Arial" w:eastAsia="Calibri" w:hAnsi="Arial" w:cs="Arial"/>
          <w:bCs/>
          <w:sz w:val="26"/>
          <w:szCs w:val="26"/>
        </w:rPr>
        <w:t>sus conceptos de impugnación hechos valer en su referida demanda de nulidad, y so</w:t>
      </w:r>
      <w:r w:rsidR="007B3974" w:rsidRPr="00461EFE">
        <w:rPr>
          <w:rFonts w:ascii="Arial" w:eastAsia="Calibri" w:hAnsi="Arial" w:cs="Arial"/>
          <w:bCs/>
          <w:sz w:val="26"/>
          <w:szCs w:val="26"/>
        </w:rPr>
        <w:t>bre lo cual la primera instancia ya realizó un pronunciamiento expreso</w:t>
      </w:r>
      <w:r w:rsidR="00AF052B">
        <w:rPr>
          <w:rFonts w:ascii="Arial" w:eastAsia="Calibri" w:hAnsi="Arial" w:cs="Arial"/>
          <w:bCs/>
          <w:sz w:val="26"/>
          <w:szCs w:val="26"/>
        </w:rPr>
        <w:t>.</w:t>
      </w:r>
      <w:r w:rsidR="00C608E8">
        <w:rPr>
          <w:rFonts w:ascii="Arial" w:eastAsia="Calibri" w:hAnsi="Arial" w:cs="Arial"/>
          <w:bCs/>
          <w:sz w:val="26"/>
          <w:szCs w:val="26"/>
        </w:rPr>
        <w:t xml:space="preserve"> </w:t>
      </w:r>
      <w:r w:rsidR="007B3974" w:rsidRPr="00461EFE">
        <w:rPr>
          <w:rFonts w:ascii="Arial" w:eastAsia="Calibri" w:hAnsi="Arial" w:cs="Arial"/>
          <w:bCs/>
          <w:sz w:val="26"/>
          <w:szCs w:val="26"/>
        </w:rPr>
        <w:t xml:space="preserve">Tiene exacta aplicación por identidad jurídica, la jurisprudencia número </w:t>
      </w:r>
      <w:r w:rsidR="007B3974" w:rsidRPr="00461EFE">
        <w:rPr>
          <w:rFonts w:ascii="Arial" w:eastAsia="Times New Roman" w:hAnsi="Arial" w:cs="Times New Roman"/>
          <w:color w:val="000000"/>
          <w:sz w:val="26"/>
          <w:szCs w:val="26"/>
        </w:rPr>
        <w:t xml:space="preserve">2a./J. 109/2009 </w:t>
      </w:r>
      <w:r w:rsidR="007B3974" w:rsidRPr="00461EFE">
        <w:rPr>
          <w:rFonts w:ascii="Arial" w:eastAsia="Calibri" w:hAnsi="Arial" w:cs="Arial"/>
          <w:bCs/>
          <w:sz w:val="26"/>
          <w:szCs w:val="26"/>
        </w:rPr>
        <w:t xml:space="preserve">dictada por la Segunda Sala de la Suprema Corte de Justicia de la Nación, en la </w:t>
      </w:r>
      <w:r w:rsidR="00C36F27">
        <w:rPr>
          <w:rFonts w:ascii="Arial" w:eastAsia="Calibri" w:hAnsi="Arial" w:cs="Arial"/>
          <w:bCs/>
          <w:sz w:val="26"/>
          <w:szCs w:val="26"/>
        </w:rPr>
        <w:t>N</w:t>
      </w:r>
      <w:r w:rsidR="007B3974" w:rsidRPr="00461EFE">
        <w:rPr>
          <w:rFonts w:ascii="Arial" w:eastAsia="Calibri" w:hAnsi="Arial" w:cs="Arial"/>
          <w:bCs/>
          <w:sz w:val="26"/>
          <w:szCs w:val="26"/>
        </w:rPr>
        <w:t xml:space="preserve">ovena </w:t>
      </w:r>
      <w:r w:rsidR="00C36F27">
        <w:rPr>
          <w:rFonts w:ascii="Arial" w:eastAsia="Calibri" w:hAnsi="Arial" w:cs="Arial"/>
          <w:bCs/>
          <w:sz w:val="26"/>
          <w:szCs w:val="26"/>
        </w:rPr>
        <w:t>É</w:t>
      </w:r>
      <w:r w:rsidR="007B3974" w:rsidRPr="00461EFE">
        <w:rPr>
          <w:rFonts w:ascii="Arial" w:eastAsia="Calibri" w:hAnsi="Arial" w:cs="Arial"/>
          <w:bCs/>
          <w:sz w:val="26"/>
          <w:szCs w:val="26"/>
        </w:rPr>
        <w:t xml:space="preserve">poca, </w:t>
      </w:r>
      <w:r w:rsidR="007B3974" w:rsidRPr="00461EFE">
        <w:rPr>
          <w:rFonts w:ascii="Arial" w:eastAsia="Calibri" w:hAnsi="Arial" w:cs="Arial"/>
          <w:bCs/>
          <w:sz w:val="26"/>
          <w:szCs w:val="26"/>
        </w:rPr>
        <w:lastRenderedPageBreak/>
        <w:t>publicada en el Semanario Judicial de la Federación y su Gaceta, tomo XXX, Agosto de 2009, consultable a página 77, materia común, cuyo rubro y textos son los siguientes:</w:t>
      </w:r>
    </w:p>
    <w:p w:rsidR="003B259B" w:rsidRDefault="004578DD" w:rsidP="004578DD">
      <w:pPr>
        <w:pStyle w:val="Sinespaciado"/>
        <w:spacing w:before="240"/>
        <w:ind w:left="851" w:right="900"/>
        <w:jc w:val="both"/>
        <w:rPr>
          <w:rFonts w:ascii="Arial" w:hAnsi="Arial" w:cs="Arial"/>
          <w:i/>
        </w:rPr>
      </w:pPr>
      <w:r w:rsidRPr="00C36F27">
        <w:rPr>
          <w:rFonts w:ascii="Arial" w:hAnsi="Arial" w:cs="Arial"/>
          <w:i/>
        </w:rPr>
        <w:t xml:space="preserve"> </w:t>
      </w:r>
      <w:r w:rsidR="007B3974" w:rsidRPr="00C36F27">
        <w:rPr>
          <w:rFonts w:ascii="Arial" w:hAnsi="Arial" w:cs="Arial"/>
          <w:i/>
        </w:rPr>
        <w:t>“</w:t>
      </w:r>
      <w:r w:rsidR="007B3974" w:rsidRPr="00C36F27">
        <w:rPr>
          <w:rFonts w:ascii="Arial" w:hAnsi="Arial" w:cs="Arial"/>
          <w:b/>
          <w:i/>
        </w:rPr>
        <w:t>AGRAVIOS INOPERANTES EN LA REVISIÓN. SON AQUELLOS QUE REITERAN LOS CONCEPTOS DE VIOLACIÓN, ABUNDAN SOBRE ELLOS O LOS COMPLEMENTAN, SIN COMBATIR LAS CONSIDERACIONES DE LA SENTENCIA RECURRIDA</w:t>
      </w:r>
      <w:r w:rsidR="007B3974" w:rsidRPr="00C36F27">
        <w:rPr>
          <w:rFonts w:ascii="Arial" w:hAnsi="Arial" w:cs="Arial"/>
          <w:i/>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sidR="00C36F27">
        <w:rPr>
          <w:rFonts w:ascii="Arial" w:hAnsi="Arial" w:cs="Arial"/>
          <w:i/>
        </w:rPr>
        <w:t>”</w:t>
      </w:r>
    </w:p>
    <w:p w:rsidR="004578DD" w:rsidRPr="00C36F27" w:rsidRDefault="004578DD" w:rsidP="004578DD">
      <w:pPr>
        <w:pStyle w:val="Sinespaciado"/>
        <w:spacing w:before="240"/>
        <w:ind w:left="851" w:right="900"/>
        <w:jc w:val="both"/>
        <w:rPr>
          <w:rFonts w:ascii="Arial" w:hAnsi="Arial" w:cs="Arial"/>
          <w:i/>
        </w:rPr>
      </w:pPr>
    </w:p>
    <w:p w:rsidR="004578DD" w:rsidRDefault="00C36F27" w:rsidP="004578DD">
      <w:pPr>
        <w:spacing w:line="360" w:lineRule="auto"/>
        <w:ind w:firstLine="708"/>
        <w:jc w:val="both"/>
        <w:rPr>
          <w:rFonts w:ascii="Arial" w:hAnsi="Arial" w:cs="Arial"/>
          <w:sz w:val="26"/>
          <w:szCs w:val="26"/>
        </w:rPr>
      </w:pPr>
      <w:r w:rsidRPr="00C36F27">
        <w:rPr>
          <w:rFonts w:ascii="Arial" w:hAnsi="Arial" w:cs="Arial"/>
          <w:bCs/>
          <w:sz w:val="26"/>
          <w:szCs w:val="26"/>
        </w:rPr>
        <w:t>Por último</w:t>
      </w:r>
      <w:r w:rsidR="00590A8C">
        <w:rPr>
          <w:rFonts w:ascii="Arial" w:hAnsi="Arial" w:cs="Arial"/>
          <w:bCs/>
          <w:sz w:val="26"/>
          <w:szCs w:val="26"/>
        </w:rPr>
        <w:t>,</w:t>
      </w:r>
      <w:r w:rsidRPr="00C36F27">
        <w:rPr>
          <w:rFonts w:ascii="Arial" w:hAnsi="Arial" w:cs="Arial"/>
          <w:bCs/>
          <w:sz w:val="26"/>
          <w:szCs w:val="26"/>
        </w:rPr>
        <w:t xml:space="preserve"> </w:t>
      </w:r>
      <w:r w:rsidR="006F25B0" w:rsidRPr="006F25B0">
        <w:rPr>
          <w:rFonts w:ascii="Arial" w:hAnsi="Arial" w:cs="Arial"/>
          <w:b/>
          <w:bCs/>
          <w:sz w:val="26"/>
          <w:szCs w:val="26"/>
        </w:rPr>
        <w:t>resulta infundado</w:t>
      </w:r>
      <w:r w:rsidR="006F25B0">
        <w:rPr>
          <w:rFonts w:ascii="Arial" w:hAnsi="Arial" w:cs="Arial"/>
          <w:bCs/>
          <w:sz w:val="26"/>
          <w:szCs w:val="26"/>
        </w:rPr>
        <w:t xml:space="preserve"> el argumento que hace el recurrente en el sentido de que la devolución </w:t>
      </w:r>
      <w:r w:rsidR="00590A8C">
        <w:rPr>
          <w:rFonts w:ascii="Arial" w:hAnsi="Arial" w:cs="Arial"/>
          <w:bCs/>
          <w:sz w:val="26"/>
          <w:szCs w:val="26"/>
        </w:rPr>
        <w:t xml:space="preserve">de las aportaciones hechas </w:t>
      </w:r>
      <w:r w:rsidR="006F25B0">
        <w:rPr>
          <w:rFonts w:ascii="Arial" w:hAnsi="Arial" w:cs="Arial"/>
          <w:bCs/>
          <w:sz w:val="26"/>
          <w:szCs w:val="26"/>
        </w:rPr>
        <w:t>al fondo pensiones</w:t>
      </w:r>
      <w:r w:rsidR="00590A8C">
        <w:rPr>
          <w:rFonts w:ascii="Arial" w:hAnsi="Arial" w:cs="Arial"/>
          <w:bCs/>
          <w:sz w:val="26"/>
          <w:szCs w:val="26"/>
        </w:rPr>
        <w:t>, solicitada</w:t>
      </w:r>
      <w:r w:rsidR="006F25B0">
        <w:rPr>
          <w:rFonts w:ascii="Arial" w:hAnsi="Arial" w:cs="Arial"/>
          <w:bCs/>
          <w:sz w:val="26"/>
          <w:szCs w:val="26"/>
        </w:rPr>
        <w:t xml:space="preserve"> a la Dirección General de la Oficina de Pensiones del Estado de Oaxaca, es una vertiente de la seguridad social y constituye un derecho humano en favor del cual de</w:t>
      </w:r>
      <w:r w:rsidR="006F25B0">
        <w:rPr>
          <w:rFonts w:ascii="Arial" w:hAnsi="Arial" w:cs="Arial"/>
          <w:sz w:val="26"/>
          <w:szCs w:val="26"/>
        </w:rPr>
        <w:t>be de imperar la imprescriptibilidad al momento de ejercitarlo.</w:t>
      </w:r>
    </w:p>
    <w:p w:rsidR="004578DD" w:rsidRDefault="006F25B0" w:rsidP="004578DD">
      <w:pPr>
        <w:spacing w:line="360" w:lineRule="auto"/>
        <w:ind w:firstLine="708"/>
        <w:jc w:val="both"/>
        <w:rPr>
          <w:rFonts w:ascii="Arial" w:hAnsi="Arial" w:cs="Arial"/>
          <w:bCs/>
          <w:color w:val="000000"/>
          <w:sz w:val="26"/>
          <w:szCs w:val="26"/>
        </w:rPr>
      </w:pPr>
      <w:r w:rsidRPr="00C8439F">
        <w:rPr>
          <w:rFonts w:ascii="Arial" w:hAnsi="Arial" w:cs="Arial"/>
          <w:b/>
          <w:sz w:val="26"/>
          <w:szCs w:val="26"/>
        </w:rPr>
        <w:t>Lo</w:t>
      </w:r>
      <w:r>
        <w:rPr>
          <w:rFonts w:ascii="Arial" w:hAnsi="Arial" w:cs="Arial"/>
          <w:sz w:val="26"/>
          <w:szCs w:val="26"/>
        </w:rPr>
        <w:t xml:space="preserve"> anterior toda vez </w:t>
      </w:r>
      <w:r w:rsidR="00FA1146">
        <w:rPr>
          <w:rFonts w:ascii="Arial" w:hAnsi="Arial" w:cs="Arial"/>
          <w:sz w:val="26"/>
          <w:szCs w:val="26"/>
        </w:rPr>
        <w:t xml:space="preserve">que el único derecho </w:t>
      </w:r>
      <w:r w:rsidR="00C53277">
        <w:rPr>
          <w:rFonts w:ascii="Arial" w:hAnsi="Arial" w:cs="Arial"/>
          <w:sz w:val="26"/>
          <w:szCs w:val="26"/>
        </w:rPr>
        <w:t>que no prescribe</w:t>
      </w:r>
      <w:r w:rsidR="00590A8C">
        <w:rPr>
          <w:rFonts w:ascii="Arial" w:hAnsi="Arial" w:cs="Arial"/>
          <w:sz w:val="26"/>
          <w:szCs w:val="26"/>
        </w:rPr>
        <w:t>,</w:t>
      </w:r>
      <w:r w:rsidR="00C53277">
        <w:rPr>
          <w:rFonts w:ascii="Arial" w:hAnsi="Arial" w:cs="Arial"/>
          <w:sz w:val="26"/>
          <w:szCs w:val="26"/>
        </w:rPr>
        <w:t xml:space="preserve"> </w:t>
      </w:r>
      <w:r w:rsidR="00FA1146">
        <w:rPr>
          <w:rFonts w:ascii="Arial" w:hAnsi="Arial" w:cs="Arial"/>
          <w:sz w:val="26"/>
          <w:szCs w:val="26"/>
        </w:rPr>
        <w:t>para obtener la devolución de los descuentos efectuados para el fondo de pensiones</w:t>
      </w:r>
      <w:r w:rsidR="00C53277">
        <w:rPr>
          <w:rFonts w:ascii="Arial" w:hAnsi="Arial" w:cs="Arial"/>
          <w:sz w:val="26"/>
          <w:szCs w:val="26"/>
        </w:rPr>
        <w:t>,</w:t>
      </w:r>
      <w:r w:rsidR="00FA1146">
        <w:rPr>
          <w:rFonts w:ascii="Arial" w:hAnsi="Arial" w:cs="Arial"/>
          <w:sz w:val="26"/>
          <w:szCs w:val="26"/>
        </w:rPr>
        <w:t xml:space="preserve"> corresponde a los pensionados al ser los</w:t>
      </w:r>
      <w:r w:rsidR="00FA1146">
        <w:rPr>
          <w:rFonts w:ascii="Arial" w:hAnsi="Arial" w:cs="Arial"/>
          <w:bCs/>
          <w:color w:val="000000"/>
          <w:sz w:val="26"/>
          <w:szCs w:val="26"/>
        </w:rPr>
        <w:t xml:space="preserve"> derechos a la pensión imprescriptibles, pues por su naturaleza son derechos de tracto sucesivo generados una vez que se han reunido todos los supuestos para su actualización, y su determinación surte consecuencias a lo largo de la vida del pensionado.</w:t>
      </w:r>
      <w:r w:rsidR="000D0AA1">
        <w:rPr>
          <w:rFonts w:ascii="Arial" w:hAnsi="Arial" w:cs="Arial"/>
          <w:bCs/>
          <w:color w:val="000000"/>
          <w:sz w:val="26"/>
          <w:szCs w:val="26"/>
        </w:rPr>
        <w:t xml:space="preserve"> </w:t>
      </w:r>
    </w:p>
    <w:p w:rsidR="001C524D" w:rsidRDefault="009F6409" w:rsidP="004578DD">
      <w:pPr>
        <w:spacing w:line="360" w:lineRule="auto"/>
        <w:ind w:firstLine="708"/>
        <w:jc w:val="both"/>
        <w:rPr>
          <w:rFonts w:ascii="Arial" w:hAnsi="Arial" w:cs="Arial"/>
          <w:sz w:val="26"/>
          <w:szCs w:val="26"/>
        </w:rPr>
      </w:pPr>
      <w:r w:rsidRPr="00590A8C">
        <w:rPr>
          <w:rFonts w:ascii="Arial" w:hAnsi="Arial" w:cs="Arial"/>
          <w:b/>
          <w:bCs/>
          <w:color w:val="000000"/>
          <w:sz w:val="26"/>
          <w:szCs w:val="26"/>
        </w:rPr>
        <w:t xml:space="preserve">Si </w:t>
      </w:r>
      <w:r>
        <w:rPr>
          <w:rFonts w:ascii="Arial" w:hAnsi="Arial" w:cs="Arial"/>
          <w:bCs/>
          <w:color w:val="000000"/>
          <w:sz w:val="26"/>
          <w:szCs w:val="26"/>
        </w:rPr>
        <w:t>bien e</w:t>
      </w:r>
      <w:r w:rsidR="001C524D" w:rsidRPr="009F6409">
        <w:rPr>
          <w:rFonts w:ascii="Arial" w:hAnsi="Arial" w:cs="Arial"/>
          <w:sz w:val="26"/>
          <w:szCs w:val="26"/>
        </w:rPr>
        <w:t xml:space="preserve">l artículo 63 de la Ley de Pensiones para los Trabajadores del </w:t>
      </w:r>
      <w:r w:rsidRPr="009F6409">
        <w:rPr>
          <w:rFonts w:ascii="Arial" w:hAnsi="Arial" w:cs="Arial"/>
          <w:sz w:val="26"/>
          <w:szCs w:val="26"/>
        </w:rPr>
        <w:t>Gobierno</w:t>
      </w:r>
      <w:r w:rsidR="00122985">
        <w:rPr>
          <w:rFonts w:ascii="Arial" w:hAnsi="Arial" w:cs="Arial"/>
          <w:sz w:val="26"/>
          <w:szCs w:val="26"/>
        </w:rPr>
        <w:t xml:space="preserve"> del Estad</w:t>
      </w:r>
      <w:r w:rsidR="00DD0E3B">
        <w:rPr>
          <w:rFonts w:ascii="Arial" w:hAnsi="Arial" w:cs="Arial"/>
          <w:sz w:val="26"/>
          <w:szCs w:val="26"/>
        </w:rPr>
        <w:t>o</w:t>
      </w:r>
      <w:r w:rsidR="001C524D" w:rsidRPr="009F6409">
        <w:rPr>
          <w:rFonts w:ascii="Arial" w:hAnsi="Arial" w:cs="Arial"/>
          <w:sz w:val="26"/>
          <w:szCs w:val="26"/>
        </w:rPr>
        <w:t xml:space="preserve"> alude a la figura de la prescripción</w:t>
      </w:r>
      <w:r w:rsidR="00122985">
        <w:rPr>
          <w:rFonts w:ascii="Arial" w:hAnsi="Arial" w:cs="Arial"/>
          <w:sz w:val="26"/>
          <w:szCs w:val="26"/>
        </w:rPr>
        <w:t>,</w:t>
      </w:r>
      <w:r w:rsidR="001C524D" w:rsidRPr="009F6409">
        <w:rPr>
          <w:rFonts w:ascii="Arial" w:hAnsi="Arial" w:cs="Arial"/>
          <w:sz w:val="26"/>
          <w:szCs w:val="26"/>
        </w:rPr>
        <w:t xml:space="preserve"> la cual a su vez refiere a la extinción o pérdida de la acción</w:t>
      </w:r>
      <w:r w:rsidR="00A905FF">
        <w:rPr>
          <w:rFonts w:ascii="Arial" w:hAnsi="Arial" w:cs="Arial"/>
          <w:sz w:val="26"/>
          <w:szCs w:val="26"/>
        </w:rPr>
        <w:t>; éste</w:t>
      </w:r>
      <w:r w:rsidR="002D2669">
        <w:rPr>
          <w:rFonts w:ascii="Arial" w:hAnsi="Arial" w:cs="Arial"/>
          <w:sz w:val="26"/>
          <w:szCs w:val="26"/>
        </w:rPr>
        <w:t>,</w:t>
      </w:r>
      <w:r w:rsidR="00A905FF">
        <w:rPr>
          <w:rFonts w:ascii="Arial" w:hAnsi="Arial" w:cs="Arial"/>
          <w:sz w:val="26"/>
          <w:szCs w:val="26"/>
        </w:rPr>
        <w:t xml:space="preserve"> no se surte cuando </w:t>
      </w:r>
      <w:r w:rsidR="00122985">
        <w:rPr>
          <w:rFonts w:ascii="Arial" w:hAnsi="Arial" w:cs="Arial"/>
          <w:sz w:val="26"/>
          <w:szCs w:val="26"/>
        </w:rPr>
        <w:t>se trate de</w:t>
      </w:r>
      <w:r w:rsidR="00122985" w:rsidRPr="009F6409">
        <w:rPr>
          <w:rFonts w:ascii="Arial" w:hAnsi="Arial" w:cs="Arial"/>
          <w:bCs/>
          <w:color w:val="000000"/>
          <w:sz w:val="26"/>
          <w:szCs w:val="26"/>
        </w:rPr>
        <w:t>l derecho a intentar una acción relativa a las pensiones o bien a los derechos que con motivo de ellas se generen como lo son: las prestaciones caídas, los descuentos e intereses</w:t>
      </w:r>
      <w:r w:rsidR="00A905FF">
        <w:rPr>
          <w:rFonts w:ascii="Arial" w:hAnsi="Arial" w:cs="Arial"/>
          <w:bCs/>
          <w:color w:val="000000"/>
          <w:sz w:val="26"/>
          <w:szCs w:val="26"/>
        </w:rPr>
        <w:t>,</w:t>
      </w:r>
      <w:r w:rsidR="00122985" w:rsidRPr="009F6409">
        <w:rPr>
          <w:rFonts w:ascii="Arial" w:hAnsi="Arial" w:cs="Arial"/>
          <w:bCs/>
          <w:color w:val="000000"/>
          <w:sz w:val="26"/>
          <w:szCs w:val="26"/>
        </w:rPr>
        <w:t xml:space="preserve"> </w:t>
      </w:r>
      <w:r w:rsidR="00A905FF">
        <w:rPr>
          <w:rFonts w:ascii="Arial" w:hAnsi="Arial" w:cs="Arial"/>
          <w:bCs/>
          <w:color w:val="000000"/>
          <w:sz w:val="26"/>
          <w:szCs w:val="26"/>
        </w:rPr>
        <w:t xml:space="preserve">los cuales </w:t>
      </w:r>
      <w:r w:rsidR="00122985" w:rsidRPr="009F6409">
        <w:rPr>
          <w:rFonts w:ascii="Arial" w:hAnsi="Arial" w:cs="Arial"/>
          <w:bCs/>
          <w:color w:val="000000"/>
          <w:sz w:val="26"/>
          <w:szCs w:val="26"/>
        </w:rPr>
        <w:t>son imprescriptibles y debe computarse de momento a momento.</w:t>
      </w:r>
      <w:r w:rsidR="00A905FF">
        <w:rPr>
          <w:rFonts w:ascii="Arial" w:hAnsi="Arial" w:cs="Arial"/>
          <w:bCs/>
          <w:color w:val="000000"/>
          <w:sz w:val="26"/>
          <w:szCs w:val="26"/>
        </w:rPr>
        <w:t xml:space="preserve"> </w:t>
      </w:r>
      <w:r w:rsidR="00A905FF">
        <w:rPr>
          <w:rFonts w:ascii="Arial" w:hAnsi="Arial" w:cs="Arial"/>
          <w:sz w:val="26"/>
          <w:szCs w:val="26"/>
        </w:rPr>
        <w:t>Pues</w:t>
      </w:r>
      <w:r w:rsidRPr="009F6409">
        <w:rPr>
          <w:rFonts w:ascii="Arial" w:hAnsi="Arial" w:cs="Arial"/>
          <w:sz w:val="26"/>
          <w:szCs w:val="26"/>
        </w:rPr>
        <w:t xml:space="preserve"> </w:t>
      </w:r>
      <w:r w:rsidR="001C524D" w:rsidRPr="009F6409">
        <w:rPr>
          <w:rFonts w:ascii="Arial" w:hAnsi="Arial" w:cs="Arial"/>
          <w:sz w:val="26"/>
          <w:szCs w:val="26"/>
        </w:rPr>
        <w:t>las pensiones son derechos de tracto sucesivo y perduran durante toda la vida del trabajador, ya que su naturaleza jurídica es idéntica a la denominada renta vitalicia, de ahí que</w:t>
      </w:r>
      <w:r w:rsidRPr="009F6409">
        <w:rPr>
          <w:rFonts w:ascii="Arial" w:hAnsi="Arial" w:cs="Arial"/>
          <w:sz w:val="26"/>
          <w:szCs w:val="26"/>
        </w:rPr>
        <w:t xml:space="preserve"> </w:t>
      </w:r>
      <w:r w:rsidRPr="009F6409">
        <w:rPr>
          <w:rFonts w:ascii="Arial" w:hAnsi="Arial" w:cs="Arial"/>
          <w:bCs/>
          <w:color w:val="000000"/>
          <w:sz w:val="26"/>
          <w:szCs w:val="26"/>
        </w:rPr>
        <w:t>es de considerarse que las pensiones se van actualizando de momento a momento, cada día, durante la vida del trabajador</w:t>
      </w:r>
      <w:r w:rsidR="002C6FF2">
        <w:rPr>
          <w:rFonts w:ascii="Arial" w:hAnsi="Arial" w:cs="Arial"/>
          <w:bCs/>
          <w:color w:val="000000"/>
          <w:sz w:val="26"/>
          <w:szCs w:val="26"/>
        </w:rPr>
        <w:t>;</w:t>
      </w:r>
      <w:r w:rsidRPr="009F6409">
        <w:rPr>
          <w:rFonts w:ascii="Arial" w:hAnsi="Arial" w:cs="Arial"/>
          <w:bCs/>
          <w:color w:val="000000"/>
          <w:sz w:val="26"/>
          <w:szCs w:val="26"/>
        </w:rPr>
        <w:t xml:space="preserve"> por ello,</w:t>
      </w:r>
      <w:r w:rsidR="00A905FF">
        <w:rPr>
          <w:rFonts w:ascii="Arial" w:hAnsi="Arial" w:cs="Arial"/>
          <w:bCs/>
          <w:color w:val="000000"/>
          <w:sz w:val="26"/>
          <w:szCs w:val="26"/>
        </w:rPr>
        <w:t xml:space="preserve"> procede la devolución de dichas </w:t>
      </w:r>
      <w:r w:rsidR="00A905FF">
        <w:rPr>
          <w:rFonts w:ascii="Arial" w:hAnsi="Arial" w:cs="Arial"/>
          <w:bCs/>
          <w:color w:val="000000"/>
          <w:sz w:val="26"/>
          <w:szCs w:val="26"/>
        </w:rPr>
        <w:lastRenderedPageBreak/>
        <w:t xml:space="preserve">prestaciones o descuentos. </w:t>
      </w:r>
      <w:r w:rsidRPr="009F6409">
        <w:rPr>
          <w:rFonts w:ascii="Arial" w:hAnsi="Arial" w:cs="Arial"/>
          <w:bCs/>
          <w:color w:val="000000"/>
          <w:sz w:val="26"/>
          <w:szCs w:val="26"/>
        </w:rPr>
        <w:t xml:space="preserve"> </w:t>
      </w:r>
      <w:r w:rsidR="001C524D" w:rsidRPr="009F6409">
        <w:rPr>
          <w:rFonts w:ascii="Arial" w:hAnsi="Arial" w:cs="Arial"/>
          <w:sz w:val="26"/>
          <w:szCs w:val="26"/>
        </w:rPr>
        <w:t>Así lo definió la Cuarta Sala de la Suprema Corte de Justicia de la Nación en la Quinta época, en la tesis aislada publicada en el Semanario Judicial de la Federación en el tomo CXXV, y que está visible a página 1229, con el rubro y texto siguientes:</w:t>
      </w:r>
    </w:p>
    <w:p w:rsidR="004578DD" w:rsidRPr="009F6409" w:rsidRDefault="004578DD" w:rsidP="004578DD">
      <w:pPr>
        <w:spacing w:line="360" w:lineRule="auto"/>
        <w:ind w:firstLine="708"/>
        <w:jc w:val="both"/>
        <w:rPr>
          <w:rFonts w:ascii="Arial" w:hAnsi="Arial" w:cs="Arial"/>
          <w:sz w:val="26"/>
          <w:szCs w:val="26"/>
        </w:rPr>
      </w:pPr>
    </w:p>
    <w:p w:rsidR="001C524D" w:rsidRDefault="001C524D" w:rsidP="004578DD">
      <w:pPr>
        <w:spacing w:after="120"/>
        <w:ind w:left="851" w:right="900"/>
        <w:jc w:val="both"/>
        <w:rPr>
          <w:rFonts w:ascii="Arial" w:hAnsi="Arial" w:cs="Arial"/>
          <w:i/>
        </w:rPr>
      </w:pPr>
      <w:r>
        <w:rPr>
          <w:rFonts w:ascii="Arial" w:hAnsi="Arial" w:cs="Arial"/>
          <w:i/>
        </w:rPr>
        <w:t>“</w:t>
      </w:r>
      <w:r w:rsidRPr="00302AF8">
        <w:rPr>
          <w:rFonts w:ascii="Arial" w:hAnsi="Arial" w:cs="Arial"/>
          <w:b/>
          <w:i/>
        </w:rPr>
        <w:t>JUBILACIÓN, NATURALEZA DE LA (PRESCRIPCIÓN)</w:t>
      </w:r>
      <w:r w:rsidRPr="00302AF8">
        <w:rPr>
          <w:rFonts w:ascii="Arial" w:hAnsi="Arial" w:cs="Arial"/>
          <w:i/>
        </w:rPr>
        <w:t>.-El derecho a la jubilación impone a la parte patronal una obligación de tracto sucesivo, que perdura por toda la vida del trabajador, de naturaleza jurídica idéntica al fenómeno de orden civil que constituye la renta vitalicia; de donde resulta que el derecho a la jubilación, considerado intrínsecamente, es imprescriptible y sólo pueden prescribir las pensiones que han dejado de cubrirse."</w:t>
      </w:r>
      <w:r w:rsidR="005F68D1">
        <w:rPr>
          <w:rFonts w:ascii="Arial" w:hAnsi="Arial" w:cs="Arial"/>
          <w:i/>
        </w:rPr>
        <w:t xml:space="preserve"> </w:t>
      </w:r>
    </w:p>
    <w:p w:rsidR="004578DD" w:rsidRPr="00450AAD" w:rsidRDefault="004578DD" w:rsidP="00590A8C">
      <w:pPr>
        <w:spacing w:after="120" w:line="360" w:lineRule="auto"/>
        <w:ind w:left="851" w:right="900"/>
        <w:jc w:val="both"/>
        <w:rPr>
          <w:rFonts w:ascii="Arial" w:hAnsi="Arial" w:cs="Arial"/>
          <w:bCs/>
          <w:color w:val="000000"/>
          <w:sz w:val="24"/>
          <w:szCs w:val="24"/>
        </w:rPr>
      </w:pPr>
    </w:p>
    <w:p w:rsidR="004578DD" w:rsidRDefault="00AE5A1B" w:rsidP="004578DD">
      <w:pPr>
        <w:pStyle w:val="Sinespaciado"/>
        <w:spacing w:after="120" w:line="360" w:lineRule="auto"/>
        <w:ind w:firstLine="708"/>
        <w:jc w:val="both"/>
        <w:rPr>
          <w:rFonts w:ascii="Arial" w:hAnsi="Arial" w:cs="Arial"/>
          <w:sz w:val="26"/>
          <w:szCs w:val="26"/>
        </w:rPr>
      </w:pPr>
      <w:r>
        <w:rPr>
          <w:rFonts w:ascii="Arial" w:eastAsia="Calibri" w:hAnsi="Arial" w:cs="Arial"/>
          <w:sz w:val="26"/>
          <w:szCs w:val="26"/>
        </w:rPr>
        <w:t>En esas condiciones</w:t>
      </w:r>
      <w:r w:rsidR="00C31B2B">
        <w:rPr>
          <w:rFonts w:ascii="Arial" w:eastAsia="Calibri" w:hAnsi="Arial" w:cs="Arial"/>
          <w:sz w:val="26"/>
          <w:szCs w:val="26"/>
        </w:rPr>
        <w:t xml:space="preserve">, </w:t>
      </w:r>
      <w:r w:rsidR="00C73584">
        <w:rPr>
          <w:rFonts w:ascii="Arial" w:eastAsia="Calibri" w:hAnsi="Arial" w:cs="Arial"/>
          <w:sz w:val="26"/>
          <w:szCs w:val="26"/>
        </w:rPr>
        <w:t xml:space="preserve">al no existir agravio que reparar lo procedente es </w:t>
      </w:r>
      <w:r w:rsidR="00C73584" w:rsidRPr="00C15B7A">
        <w:rPr>
          <w:rFonts w:ascii="Arial" w:eastAsia="Calibri" w:hAnsi="Arial" w:cs="Arial"/>
          <w:b/>
          <w:sz w:val="26"/>
          <w:szCs w:val="26"/>
        </w:rPr>
        <w:t>CONFIRMAR</w:t>
      </w:r>
      <w:r w:rsidR="00C73584">
        <w:rPr>
          <w:rFonts w:ascii="Arial" w:eastAsia="Calibri" w:hAnsi="Arial" w:cs="Arial"/>
          <w:sz w:val="26"/>
          <w:szCs w:val="26"/>
        </w:rPr>
        <w:t xml:space="preserve"> la sentencia sujeta a revisión</w:t>
      </w:r>
      <w:r>
        <w:rPr>
          <w:rFonts w:ascii="Arial" w:eastAsia="Calibri" w:hAnsi="Arial" w:cs="Arial"/>
          <w:sz w:val="26"/>
          <w:szCs w:val="26"/>
        </w:rPr>
        <w:t>; por tanto,</w:t>
      </w:r>
      <w:r w:rsidR="00C73584">
        <w:rPr>
          <w:rFonts w:ascii="Arial" w:eastAsia="Calibri" w:hAnsi="Arial" w:cs="Arial"/>
          <w:sz w:val="26"/>
          <w:szCs w:val="26"/>
        </w:rPr>
        <w:t xml:space="preserve"> con fundamento en </w:t>
      </w:r>
      <w:r w:rsidR="003B259B">
        <w:rPr>
          <w:rFonts w:ascii="Arial" w:eastAsia="Calibri" w:hAnsi="Arial" w:cs="Arial"/>
          <w:sz w:val="26"/>
          <w:szCs w:val="26"/>
        </w:rPr>
        <w:t xml:space="preserve">los </w:t>
      </w:r>
      <w:r w:rsidR="00C73584">
        <w:rPr>
          <w:rFonts w:ascii="Arial" w:eastAsia="Calibri" w:hAnsi="Arial" w:cs="Arial"/>
          <w:sz w:val="26"/>
          <w:szCs w:val="26"/>
        </w:rPr>
        <w:t>artículo</w:t>
      </w:r>
      <w:r w:rsidR="0072111C">
        <w:rPr>
          <w:rFonts w:ascii="Arial" w:eastAsia="Calibri" w:hAnsi="Arial" w:cs="Arial"/>
          <w:sz w:val="26"/>
          <w:szCs w:val="26"/>
        </w:rPr>
        <w:t>s 237 y</w:t>
      </w:r>
      <w:r w:rsidR="00C73584">
        <w:rPr>
          <w:rFonts w:ascii="Arial" w:eastAsia="Calibri" w:hAnsi="Arial" w:cs="Arial"/>
          <w:sz w:val="26"/>
          <w:szCs w:val="26"/>
        </w:rPr>
        <w:t xml:space="preserve"> </w:t>
      </w:r>
      <w:r w:rsidR="00C73584">
        <w:rPr>
          <w:rFonts w:ascii="Arial" w:hAnsi="Arial" w:cs="Arial"/>
          <w:sz w:val="26"/>
          <w:szCs w:val="26"/>
        </w:rPr>
        <w:t>2</w:t>
      </w:r>
      <w:r w:rsidR="003B259B">
        <w:rPr>
          <w:rFonts w:ascii="Arial" w:hAnsi="Arial" w:cs="Arial"/>
          <w:sz w:val="26"/>
          <w:szCs w:val="26"/>
        </w:rPr>
        <w:t>3</w:t>
      </w:r>
      <w:r w:rsidR="00C73584">
        <w:rPr>
          <w:rFonts w:ascii="Arial" w:hAnsi="Arial" w:cs="Arial"/>
          <w:sz w:val="26"/>
          <w:szCs w:val="26"/>
        </w:rPr>
        <w:t>8</w:t>
      </w:r>
      <w:r w:rsidR="003B259B">
        <w:rPr>
          <w:rFonts w:ascii="Arial" w:hAnsi="Arial" w:cs="Arial"/>
          <w:sz w:val="26"/>
          <w:szCs w:val="26"/>
        </w:rPr>
        <w:t xml:space="preserve"> </w:t>
      </w:r>
      <w:r w:rsidR="00C73584">
        <w:rPr>
          <w:rFonts w:ascii="Arial" w:hAnsi="Arial" w:cs="Arial"/>
          <w:sz w:val="26"/>
          <w:szCs w:val="26"/>
        </w:rPr>
        <w:t xml:space="preserve">de la Ley de </w:t>
      </w:r>
      <w:r w:rsidR="003B259B">
        <w:rPr>
          <w:rFonts w:ascii="Arial" w:hAnsi="Arial" w:cs="Arial"/>
          <w:sz w:val="26"/>
          <w:szCs w:val="26"/>
        </w:rPr>
        <w:t xml:space="preserve">Procedimiento y </w:t>
      </w:r>
      <w:r w:rsidR="00C73584">
        <w:rPr>
          <w:rFonts w:ascii="Arial" w:hAnsi="Arial" w:cs="Arial"/>
          <w:sz w:val="26"/>
          <w:szCs w:val="26"/>
        </w:rPr>
        <w:t>Justicia Administrativa para el Estado de Oaxaca, se:</w:t>
      </w:r>
    </w:p>
    <w:p w:rsidR="004578DD" w:rsidRDefault="00C73584" w:rsidP="004578DD">
      <w:pPr>
        <w:pStyle w:val="Sinespaciado"/>
        <w:spacing w:after="120" w:line="360" w:lineRule="auto"/>
        <w:ind w:firstLine="708"/>
        <w:jc w:val="center"/>
        <w:rPr>
          <w:rFonts w:ascii="Arial" w:hAnsi="Arial" w:cs="Arial"/>
          <w:b/>
          <w:sz w:val="26"/>
          <w:szCs w:val="26"/>
        </w:rPr>
      </w:pPr>
      <w:r w:rsidRPr="00164D1B">
        <w:rPr>
          <w:rFonts w:ascii="Arial" w:hAnsi="Arial" w:cs="Arial"/>
          <w:b/>
          <w:sz w:val="26"/>
          <w:szCs w:val="26"/>
        </w:rPr>
        <w:t>R E S U E L V E</w:t>
      </w:r>
      <w:r w:rsidR="0034525D">
        <w:rPr>
          <w:rFonts w:ascii="Arial" w:hAnsi="Arial" w:cs="Arial"/>
          <w:b/>
          <w:sz w:val="26"/>
          <w:szCs w:val="26"/>
        </w:rPr>
        <w:t>:</w:t>
      </w:r>
    </w:p>
    <w:p w:rsidR="004578DD" w:rsidRDefault="00C73584" w:rsidP="004578DD">
      <w:pPr>
        <w:pStyle w:val="Sinespaciado"/>
        <w:spacing w:after="120"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de </w:t>
      </w:r>
      <w:r w:rsidR="003B259B">
        <w:rPr>
          <w:rFonts w:ascii="Arial" w:hAnsi="Arial" w:cs="Arial"/>
          <w:sz w:val="26"/>
          <w:szCs w:val="26"/>
        </w:rPr>
        <w:t>diez de julio de dos mil diecinueve</w:t>
      </w:r>
      <w:r>
        <w:rPr>
          <w:rFonts w:ascii="Arial" w:hAnsi="Arial" w:cs="Arial"/>
          <w:sz w:val="26"/>
          <w:szCs w:val="26"/>
        </w:rPr>
        <w:t xml:space="preserve">, en los términos expuestos en el considerando tercero de esta resolución. </w:t>
      </w:r>
    </w:p>
    <w:p w:rsidR="004578DD" w:rsidRDefault="00C73584" w:rsidP="004578DD">
      <w:pPr>
        <w:pStyle w:val="Sinespaciado"/>
        <w:spacing w:after="120" w:line="360" w:lineRule="auto"/>
        <w:ind w:firstLine="708"/>
        <w:jc w:val="both"/>
        <w:rPr>
          <w:rFonts w:ascii="Arial" w:hAnsi="Arial" w:cs="Arial"/>
          <w:sz w:val="26"/>
          <w:szCs w:val="26"/>
        </w:rPr>
      </w:pPr>
      <w:r>
        <w:rPr>
          <w:rFonts w:ascii="Arial" w:hAnsi="Arial" w:cs="Arial"/>
          <w:b/>
          <w:sz w:val="26"/>
          <w:szCs w:val="26"/>
        </w:rPr>
        <w:t xml:space="preserve">SEGUNDO. </w:t>
      </w:r>
      <w:r w:rsidRPr="000D4D1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sz w:val="26"/>
          <w:szCs w:val="26"/>
        </w:rPr>
        <w:t xml:space="preserve"> </w:t>
      </w:r>
      <w:r>
        <w:rPr>
          <w:rFonts w:ascii="Arial" w:hAnsi="Arial" w:cs="Arial"/>
          <w:sz w:val="26"/>
          <w:szCs w:val="26"/>
        </w:rPr>
        <w:t xml:space="preserve">con </w:t>
      </w:r>
      <w:r w:rsidRPr="006E349D">
        <w:rPr>
          <w:rFonts w:ascii="Arial" w:hAnsi="Arial" w:cs="Arial"/>
          <w:sz w:val="26"/>
          <w:szCs w:val="26"/>
        </w:rPr>
        <w:t>copia certificada de la presente resolución</w:t>
      </w:r>
      <w:r>
        <w:rPr>
          <w:rFonts w:ascii="Arial" w:hAnsi="Arial" w:cs="Arial"/>
          <w:sz w:val="26"/>
          <w:szCs w:val="26"/>
        </w:rPr>
        <w:t xml:space="preserve">, vuelvan las constancias remitidas, a la Sexta Sala Unitaria de Primera Instancia y, en su oportunidad archívese el presente cuaderno de revisión como asunto concluido. </w:t>
      </w:r>
    </w:p>
    <w:p w:rsidR="004578DD" w:rsidRPr="00873285" w:rsidRDefault="004578DD" w:rsidP="004578DD">
      <w:pPr>
        <w:spacing w:before="240" w:line="360" w:lineRule="auto"/>
        <w:ind w:firstLine="708"/>
        <w:jc w:val="both"/>
        <w:rPr>
          <w:rFonts w:ascii="Arial" w:hAnsi="Arial" w:cs="Arial"/>
          <w:sz w:val="26"/>
          <w:szCs w:val="26"/>
        </w:rPr>
      </w:pPr>
      <w:r>
        <w:rPr>
          <w:rFonts w:ascii="Arial" w:eastAsiaTheme="minorEastAsia" w:hAnsi="Arial" w:cs="Arial"/>
          <w:sz w:val="26"/>
          <w:szCs w:val="26"/>
          <w:lang w:eastAsia="es-MX"/>
        </w:rPr>
        <w:t xml:space="preserve">Así por unanimidad de votos, lo resolvieron y firmaron los Magistrados María Elena Villa de Jarquín, Presidenta, Magistrados Manuel Velasco Alcántara, Raúl Palomares Palomino y Adrián Quiroga Avendaño; con Excusa aprobada del Magistrado Abraham Santiago Soriano, para conocer, discutir y resolver en la presente Resolución; quienes actúan con la Licenciada Felicitas Díaz Vázquez, Secretaria General de Acuerdos de este Tribunal, que autoriza y da fe. </w:t>
      </w:r>
    </w:p>
    <w:p w:rsidR="004578DD" w:rsidRDefault="004578DD" w:rsidP="004578DD">
      <w:pPr>
        <w:pStyle w:val="Sinespaciado"/>
        <w:spacing w:before="240" w:after="120" w:line="360" w:lineRule="auto"/>
        <w:jc w:val="both"/>
        <w:rPr>
          <w:rFonts w:ascii="Arial" w:eastAsiaTheme="minorEastAsia" w:hAnsi="Arial" w:cs="Arial"/>
          <w:sz w:val="26"/>
          <w:szCs w:val="26"/>
          <w:lang w:val="es-MX" w:eastAsia="es-MX"/>
        </w:rPr>
      </w:pPr>
    </w:p>
    <w:p w:rsidR="004578DD" w:rsidRDefault="004578DD" w:rsidP="004578DD">
      <w:pPr>
        <w:pStyle w:val="Sinespaciado"/>
        <w:spacing w:before="240" w:after="120" w:line="360" w:lineRule="auto"/>
        <w:jc w:val="both"/>
        <w:rPr>
          <w:rFonts w:ascii="Arial" w:eastAsia="Calibri" w:hAnsi="Arial" w:cs="Arial"/>
          <w:b/>
          <w:bCs/>
          <w:sz w:val="26"/>
          <w:szCs w:val="26"/>
        </w:rPr>
      </w:pPr>
    </w:p>
    <w:p w:rsidR="004578DD" w:rsidRDefault="004578DD" w:rsidP="004578DD">
      <w:pPr>
        <w:pStyle w:val="Sinespaciado"/>
        <w:spacing w:before="240" w:after="120" w:line="360" w:lineRule="auto"/>
        <w:jc w:val="both"/>
        <w:rPr>
          <w:rFonts w:ascii="Arial" w:eastAsia="Calibri" w:hAnsi="Arial" w:cs="Arial"/>
          <w:b/>
          <w:bCs/>
          <w:sz w:val="26"/>
          <w:szCs w:val="26"/>
        </w:rPr>
      </w:pPr>
    </w:p>
    <w:p w:rsidR="004578DD" w:rsidRDefault="004578DD" w:rsidP="004578DD">
      <w:pPr>
        <w:jc w:val="center"/>
        <w:rPr>
          <w:rFonts w:ascii="Arial" w:eastAsia="Calibri" w:hAnsi="Arial" w:cs="Arial"/>
          <w:sz w:val="26"/>
          <w:szCs w:val="26"/>
        </w:rPr>
      </w:pPr>
    </w:p>
    <w:p w:rsidR="004578DD" w:rsidRDefault="004578DD" w:rsidP="004578DD">
      <w:pPr>
        <w:jc w:val="center"/>
        <w:rPr>
          <w:rFonts w:ascii="Arial" w:eastAsia="Calibri" w:hAnsi="Arial" w:cs="Arial"/>
          <w:sz w:val="26"/>
          <w:szCs w:val="26"/>
        </w:rPr>
      </w:pPr>
      <w:r>
        <w:rPr>
          <w:rFonts w:ascii="Arial" w:eastAsia="Calibri" w:hAnsi="Arial" w:cs="Arial"/>
          <w:sz w:val="26"/>
          <w:szCs w:val="26"/>
        </w:rPr>
        <w:t>MAGISTRADA MARÍA ELENA VILLA DE JARQUÍN</w:t>
      </w:r>
    </w:p>
    <w:p w:rsidR="004578DD" w:rsidRDefault="004578DD" w:rsidP="004578DD">
      <w:pPr>
        <w:jc w:val="center"/>
        <w:rPr>
          <w:rFonts w:ascii="Arial" w:eastAsia="Calibri" w:hAnsi="Arial" w:cs="Arial"/>
          <w:sz w:val="26"/>
          <w:szCs w:val="26"/>
        </w:rPr>
      </w:pPr>
      <w:r>
        <w:rPr>
          <w:rFonts w:ascii="Arial" w:eastAsia="Calibri" w:hAnsi="Arial" w:cs="Arial"/>
          <w:sz w:val="26"/>
          <w:szCs w:val="26"/>
        </w:rPr>
        <w:t>PRESIDENTA</w:t>
      </w:r>
    </w:p>
    <w:p w:rsidR="004578DD" w:rsidRDefault="004578DD" w:rsidP="004578DD">
      <w:pPr>
        <w:spacing w:line="360" w:lineRule="auto"/>
        <w:rPr>
          <w:rFonts w:ascii="Arial" w:eastAsia="Calibri" w:hAnsi="Arial" w:cs="Arial"/>
          <w:sz w:val="26"/>
          <w:szCs w:val="26"/>
        </w:rPr>
      </w:pPr>
    </w:p>
    <w:p w:rsidR="004578DD" w:rsidRPr="00EF2ED8" w:rsidRDefault="00EF2ED8" w:rsidP="00EF2ED8">
      <w:pPr>
        <w:spacing w:line="360" w:lineRule="auto"/>
        <w:jc w:val="center"/>
        <w:rPr>
          <w:rFonts w:ascii="Arial" w:eastAsia="Calibri" w:hAnsi="Arial" w:cs="Arial"/>
          <w:b/>
          <w:bCs/>
          <w:sz w:val="14"/>
          <w:szCs w:val="14"/>
        </w:rPr>
      </w:pPr>
      <w:r w:rsidRPr="00EF2ED8">
        <w:rPr>
          <w:rFonts w:ascii="Arial" w:eastAsia="Calibri" w:hAnsi="Arial" w:cs="Arial"/>
          <w:b/>
          <w:bCs/>
          <w:sz w:val="14"/>
          <w:szCs w:val="14"/>
        </w:rPr>
        <w:lastRenderedPageBreak/>
        <w:t>LAS PRESENTES FIRMAS CORRESPONDEN AL RECURSO DE REVISIÓN 282/2019</w:t>
      </w:r>
    </w:p>
    <w:p w:rsidR="004578DD" w:rsidRDefault="004578DD" w:rsidP="004578DD">
      <w:pPr>
        <w:spacing w:line="360" w:lineRule="auto"/>
        <w:rPr>
          <w:rFonts w:ascii="Arial" w:eastAsia="Calibri" w:hAnsi="Arial" w:cs="Arial"/>
          <w:sz w:val="26"/>
          <w:szCs w:val="26"/>
        </w:rPr>
      </w:pPr>
    </w:p>
    <w:p w:rsidR="004578DD" w:rsidRDefault="004578DD"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4578DD" w:rsidRDefault="004578DD" w:rsidP="004578DD">
      <w:pPr>
        <w:spacing w:line="360" w:lineRule="auto"/>
        <w:jc w:val="center"/>
        <w:rPr>
          <w:rFonts w:ascii="Arial" w:eastAsia="Calibri" w:hAnsi="Arial" w:cs="Arial"/>
          <w:sz w:val="26"/>
          <w:szCs w:val="26"/>
        </w:rPr>
      </w:pPr>
      <w:r>
        <w:rPr>
          <w:rFonts w:ascii="Arial" w:eastAsia="Calibri" w:hAnsi="Arial" w:cs="Arial"/>
          <w:sz w:val="26"/>
          <w:szCs w:val="26"/>
        </w:rPr>
        <w:t>MAGISTRADO MANUEL VELASCO ALCÁNTARA</w:t>
      </w:r>
    </w:p>
    <w:p w:rsidR="004578DD" w:rsidRDefault="004578DD" w:rsidP="004578DD">
      <w:pPr>
        <w:spacing w:line="360" w:lineRule="auto"/>
        <w:jc w:val="center"/>
        <w:rPr>
          <w:rFonts w:ascii="Arial" w:eastAsia="Calibri" w:hAnsi="Arial" w:cs="Arial"/>
          <w:sz w:val="26"/>
          <w:szCs w:val="26"/>
        </w:rPr>
      </w:pPr>
    </w:p>
    <w:p w:rsidR="004578DD" w:rsidRDefault="004578DD" w:rsidP="004578DD">
      <w:pPr>
        <w:spacing w:line="360" w:lineRule="auto"/>
        <w:jc w:val="center"/>
        <w:rPr>
          <w:rFonts w:ascii="Arial" w:eastAsia="Calibri" w:hAnsi="Arial" w:cs="Arial"/>
          <w:sz w:val="26"/>
          <w:szCs w:val="26"/>
        </w:rPr>
      </w:pPr>
    </w:p>
    <w:p w:rsidR="004578DD" w:rsidRDefault="004578DD" w:rsidP="004578DD">
      <w:pPr>
        <w:spacing w:line="360" w:lineRule="auto"/>
        <w:jc w:val="center"/>
        <w:rPr>
          <w:rFonts w:ascii="Arial" w:eastAsia="Calibri" w:hAnsi="Arial" w:cs="Arial"/>
          <w:sz w:val="26"/>
          <w:szCs w:val="26"/>
        </w:rPr>
      </w:pPr>
    </w:p>
    <w:p w:rsidR="00EF2ED8" w:rsidRDefault="00EF2ED8" w:rsidP="004578DD">
      <w:pPr>
        <w:spacing w:line="360" w:lineRule="auto"/>
        <w:jc w:val="center"/>
        <w:rPr>
          <w:rFonts w:ascii="Arial" w:eastAsia="Calibri" w:hAnsi="Arial" w:cs="Arial"/>
          <w:sz w:val="26"/>
          <w:szCs w:val="26"/>
        </w:rPr>
      </w:pPr>
    </w:p>
    <w:p w:rsidR="004578DD" w:rsidRDefault="004578DD" w:rsidP="004578DD">
      <w:pPr>
        <w:spacing w:line="360" w:lineRule="auto"/>
        <w:jc w:val="center"/>
        <w:rPr>
          <w:rFonts w:ascii="Arial" w:eastAsia="Calibri" w:hAnsi="Arial" w:cs="Arial"/>
          <w:sz w:val="26"/>
          <w:szCs w:val="26"/>
        </w:rPr>
      </w:pPr>
    </w:p>
    <w:p w:rsidR="004578DD" w:rsidRDefault="004578DD" w:rsidP="004578DD">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rsidR="004578DD" w:rsidRDefault="004578DD" w:rsidP="004578DD">
      <w:pPr>
        <w:jc w:val="center"/>
        <w:rPr>
          <w:rFonts w:ascii="Arial" w:eastAsia="Calibri" w:hAnsi="Arial" w:cs="Arial"/>
          <w:sz w:val="26"/>
          <w:szCs w:val="26"/>
        </w:rPr>
      </w:pPr>
    </w:p>
    <w:p w:rsidR="004578DD" w:rsidRDefault="004578DD" w:rsidP="004578DD">
      <w:pPr>
        <w:jc w:val="center"/>
        <w:rPr>
          <w:rFonts w:ascii="Arial" w:eastAsia="Calibri" w:hAnsi="Arial" w:cs="Arial"/>
          <w:sz w:val="26"/>
          <w:szCs w:val="26"/>
        </w:rPr>
      </w:pPr>
    </w:p>
    <w:p w:rsidR="004578DD" w:rsidRDefault="004578DD" w:rsidP="004578DD">
      <w:pPr>
        <w:rPr>
          <w:rFonts w:ascii="Arial" w:eastAsia="Calibri" w:hAnsi="Arial" w:cs="Arial"/>
          <w:sz w:val="26"/>
          <w:szCs w:val="26"/>
        </w:rPr>
      </w:pPr>
    </w:p>
    <w:p w:rsidR="004578DD" w:rsidRDefault="004578DD" w:rsidP="004578DD">
      <w:pPr>
        <w:jc w:val="center"/>
        <w:rPr>
          <w:rFonts w:ascii="Arial" w:eastAsia="Calibri" w:hAnsi="Arial" w:cs="Arial"/>
          <w:sz w:val="26"/>
          <w:szCs w:val="26"/>
        </w:rPr>
      </w:pPr>
    </w:p>
    <w:p w:rsidR="00EF2ED8" w:rsidRDefault="00EF2ED8" w:rsidP="004578DD">
      <w:pPr>
        <w:jc w:val="center"/>
        <w:rPr>
          <w:rFonts w:ascii="Arial" w:eastAsia="Calibri" w:hAnsi="Arial" w:cs="Arial"/>
          <w:sz w:val="26"/>
          <w:szCs w:val="26"/>
        </w:rPr>
      </w:pPr>
    </w:p>
    <w:p w:rsidR="004578DD" w:rsidRDefault="004578DD" w:rsidP="004578DD">
      <w:pPr>
        <w:jc w:val="center"/>
        <w:rPr>
          <w:rFonts w:ascii="Arial" w:eastAsia="Calibri" w:hAnsi="Arial" w:cs="Arial"/>
          <w:sz w:val="26"/>
          <w:szCs w:val="26"/>
        </w:rPr>
      </w:pPr>
    </w:p>
    <w:p w:rsidR="004578DD" w:rsidRDefault="004578DD" w:rsidP="004578DD">
      <w:pPr>
        <w:jc w:val="center"/>
        <w:rPr>
          <w:rFonts w:ascii="Arial" w:eastAsia="Calibri" w:hAnsi="Arial" w:cs="Arial"/>
          <w:sz w:val="26"/>
          <w:szCs w:val="26"/>
        </w:rPr>
      </w:pPr>
    </w:p>
    <w:p w:rsidR="004578DD" w:rsidRDefault="004578DD" w:rsidP="004578DD">
      <w:pPr>
        <w:jc w:val="center"/>
        <w:rPr>
          <w:rFonts w:ascii="Arial" w:eastAsia="Calibri" w:hAnsi="Arial" w:cs="Arial"/>
          <w:sz w:val="26"/>
          <w:szCs w:val="26"/>
        </w:rPr>
      </w:pPr>
      <w:r>
        <w:rPr>
          <w:rFonts w:ascii="Arial" w:eastAsia="Calibri" w:hAnsi="Arial" w:cs="Arial"/>
          <w:sz w:val="26"/>
          <w:szCs w:val="26"/>
        </w:rPr>
        <w:t>MAGISTRADO ADRIÁN QUIROGA AVENDAÑO</w:t>
      </w:r>
    </w:p>
    <w:p w:rsidR="004578DD" w:rsidRDefault="004578DD" w:rsidP="004578DD">
      <w:pPr>
        <w:spacing w:line="360" w:lineRule="auto"/>
        <w:jc w:val="center"/>
        <w:rPr>
          <w:rFonts w:ascii="Arial" w:eastAsia="Calibri" w:hAnsi="Arial" w:cs="Arial"/>
          <w:sz w:val="26"/>
          <w:szCs w:val="26"/>
        </w:rPr>
      </w:pPr>
    </w:p>
    <w:p w:rsidR="004578DD" w:rsidRDefault="004578DD"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EF2ED8" w:rsidRDefault="00EF2ED8" w:rsidP="004578DD">
      <w:pPr>
        <w:spacing w:line="360" w:lineRule="auto"/>
        <w:rPr>
          <w:rFonts w:ascii="Arial" w:eastAsia="Calibri" w:hAnsi="Arial" w:cs="Arial"/>
          <w:sz w:val="26"/>
          <w:szCs w:val="26"/>
        </w:rPr>
      </w:pPr>
    </w:p>
    <w:p w:rsidR="004578DD" w:rsidRDefault="004578DD" w:rsidP="004578DD">
      <w:pPr>
        <w:spacing w:line="360" w:lineRule="auto"/>
        <w:jc w:val="center"/>
        <w:rPr>
          <w:rFonts w:ascii="Arial" w:eastAsia="Calibri" w:hAnsi="Arial" w:cs="Arial"/>
          <w:sz w:val="26"/>
          <w:szCs w:val="26"/>
        </w:rPr>
      </w:pPr>
    </w:p>
    <w:p w:rsidR="004578DD" w:rsidRDefault="004578DD" w:rsidP="004578DD">
      <w:pPr>
        <w:jc w:val="center"/>
        <w:rPr>
          <w:rFonts w:ascii="Arial" w:eastAsia="Calibri" w:hAnsi="Arial" w:cs="Arial"/>
          <w:sz w:val="26"/>
          <w:szCs w:val="26"/>
        </w:rPr>
      </w:pPr>
      <w:r>
        <w:rPr>
          <w:rFonts w:ascii="Arial" w:eastAsia="Calibri" w:hAnsi="Arial" w:cs="Arial"/>
          <w:sz w:val="26"/>
          <w:szCs w:val="26"/>
        </w:rPr>
        <w:t>LICENCIADA FELICITAS DIAZ VÁZQUEZ</w:t>
      </w:r>
    </w:p>
    <w:p w:rsidR="004578DD" w:rsidRDefault="004578DD" w:rsidP="004578DD">
      <w:pPr>
        <w:spacing w:line="360" w:lineRule="auto"/>
        <w:jc w:val="center"/>
        <w:rPr>
          <w:rFonts w:ascii="Arial" w:eastAsia="Calibri" w:hAnsi="Arial" w:cs="Arial"/>
          <w:sz w:val="28"/>
          <w:szCs w:val="28"/>
        </w:rPr>
      </w:pPr>
      <w:r>
        <w:rPr>
          <w:rFonts w:ascii="Arial" w:eastAsia="Calibri" w:hAnsi="Arial" w:cs="Arial"/>
          <w:sz w:val="26"/>
          <w:szCs w:val="26"/>
        </w:rPr>
        <w:t>SECRETARIA GENERAL DE ACUERDOS</w:t>
      </w:r>
    </w:p>
    <w:p w:rsidR="004578DD" w:rsidRDefault="004578DD" w:rsidP="004578DD"/>
    <w:p w:rsidR="004578DD" w:rsidRDefault="004578DD" w:rsidP="004578DD">
      <w:pPr>
        <w:spacing w:line="360" w:lineRule="auto"/>
        <w:jc w:val="both"/>
        <w:rPr>
          <w:rFonts w:ascii="Arial" w:hAnsi="Arial" w:cs="Arial"/>
          <w:sz w:val="26"/>
          <w:szCs w:val="26"/>
        </w:rPr>
      </w:pPr>
    </w:p>
    <w:p w:rsidR="003E7C49" w:rsidRPr="000B541A" w:rsidRDefault="003E7C49" w:rsidP="004578DD">
      <w:pPr>
        <w:pStyle w:val="corte4fondo"/>
        <w:spacing w:before="240"/>
        <w:ind w:left="-284" w:right="51" w:firstLine="710"/>
        <w:rPr>
          <w:sz w:val="26"/>
          <w:szCs w:val="26"/>
        </w:rPr>
      </w:pPr>
    </w:p>
    <w:sectPr w:rsidR="003E7C49" w:rsidRPr="000B541A" w:rsidSect="004578DD">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C60" w:rsidRDefault="00996C60" w:rsidP="00432B13">
      <w:r>
        <w:separator/>
      </w:r>
    </w:p>
  </w:endnote>
  <w:endnote w:type="continuationSeparator" w:id="0">
    <w:p w:rsidR="00996C60" w:rsidRDefault="00996C60"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C60" w:rsidRDefault="00996C60" w:rsidP="00432B13">
      <w:r>
        <w:separator/>
      </w:r>
    </w:p>
  </w:footnote>
  <w:footnote w:type="continuationSeparator" w:id="0">
    <w:p w:rsidR="00996C60" w:rsidRDefault="00996C60"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B523DF">
          <w:rPr>
            <w:noProof/>
          </w:rPr>
          <w:t>8</w:t>
        </w:r>
        <w:r>
          <w:fldChar w:fldCharType="end"/>
        </w:r>
      </w:p>
    </w:sdtContent>
  </w:sdt>
  <w:p w:rsidR="002A6EF0" w:rsidRDefault="00996C6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D05DF" w:rsidRDefault="00411E80" w:rsidP="007D05DF">
        <w:pPr>
          <w:pStyle w:val="Encabezado"/>
          <w:jc w:val="center"/>
          <w:rPr>
            <w:noProof/>
          </w:rPr>
        </w:pPr>
        <w:r>
          <w:fldChar w:fldCharType="begin"/>
        </w:r>
        <w:r>
          <w:instrText xml:space="preserve"> PAGE   \* MERGEFORMAT </w:instrText>
        </w:r>
        <w:r>
          <w:fldChar w:fldCharType="separate"/>
        </w:r>
        <w:r w:rsidR="00B523DF">
          <w:rPr>
            <w:noProof/>
          </w:rPr>
          <w:t>7</w:t>
        </w:r>
        <w:r>
          <w:rPr>
            <w:noProof/>
          </w:rPr>
          <w:fldChar w:fldCharType="end"/>
        </w:r>
      </w:p>
    </w:sdtContent>
  </w:sdt>
  <w:p w:rsidR="00655BA3" w:rsidRDefault="00DB27E4" w:rsidP="007D05DF">
    <w:pPr>
      <w:pStyle w:val="Encabezado"/>
      <w:jc w:val="center"/>
    </w:pPr>
    <w:r>
      <w:rPr>
        <w:noProof/>
        <w:lang w:val="es-MX" w:eastAsia="es-MX"/>
      </w:rPr>
      <w:drawing>
        <wp:anchor distT="0" distB="0" distL="114300" distR="114300" simplePos="0" relativeHeight="251659264" behindDoc="1" locked="0" layoutInCell="1" allowOverlap="1" wp14:anchorId="7A11CDB3" wp14:editId="180D4CD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B95D1B" w:rsidRPr="003E6AD7">
      <w:rPr>
        <w:noProof/>
        <w:lang w:val="es-MX" w:eastAsia="es-MX"/>
      </w:rPr>
      <w:drawing>
        <wp:anchor distT="0" distB="0" distL="114300" distR="114300" simplePos="0" relativeHeight="251657216" behindDoc="0" locked="0" layoutInCell="1" allowOverlap="1" wp14:anchorId="51494425" wp14:editId="02C8253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5"/>
  </w:num>
  <w:num w:numId="3">
    <w:abstractNumId w:val="8"/>
  </w:num>
  <w:num w:numId="4">
    <w:abstractNumId w:val="7"/>
  </w:num>
  <w:num w:numId="5">
    <w:abstractNumId w:val="6"/>
  </w:num>
  <w:num w:numId="6">
    <w:abstractNumId w:val="4"/>
  </w:num>
  <w:num w:numId="7">
    <w:abstractNumId w:val="2"/>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13"/>
    <w:rsid w:val="00011F08"/>
    <w:rsid w:val="0002163E"/>
    <w:rsid w:val="00046448"/>
    <w:rsid w:val="00062162"/>
    <w:rsid w:val="00070E90"/>
    <w:rsid w:val="000762FC"/>
    <w:rsid w:val="00077151"/>
    <w:rsid w:val="00090AAC"/>
    <w:rsid w:val="00092F9A"/>
    <w:rsid w:val="00095951"/>
    <w:rsid w:val="00097C1D"/>
    <w:rsid w:val="000B2F03"/>
    <w:rsid w:val="000B541A"/>
    <w:rsid w:val="000B620E"/>
    <w:rsid w:val="000C6DEA"/>
    <w:rsid w:val="000C70CE"/>
    <w:rsid w:val="000D0AA1"/>
    <w:rsid w:val="000D7908"/>
    <w:rsid w:val="000E0EDE"/>
    <w:rsid w:val="000E1EEB"/>
    <w:rsid w:val="000E2F51"/>
    <w:rsid w:val="000F184A"/>
    <w:rsid w:val="000F7C11"/>
    <w:rsid w:val="00105830"/>
    <w:rsid w:val="00107229"/>
    <w:rsid w:val="00114E1C"/>
    <w:rsid w:val="00122393"/>
    <w:rsid w:val="00122985"/>
    <w:rsid w:val="00130925"/>
    <w:rsid w:val="00133A98"/>
    <w:rsid w:val="00134AF4"/>
    <w:rsid w:val="001500DD"/>
    <w:rsid w:val="001503F0"/>
    <w:rsid w:val="00156DFD"/>
    <w:rsid w:val="0016116D"/>
    <w:rsid w:val="00165170"/>
    <w:rsid w:val="00167497"/>
    <w:rsid w:val="00173309"/>
    <w:rsid w:val="00174742"/>
    <w:rsid w:val="00175238"/>
    <w:rsid w:val="00182EC0"/>
    <w:rsid w:val="00184503"/>
    <w:rsid w:val="00187A2C"/>
    <w:rsid w:val="00190C82"/>
    <w:rsid w:val="001A53CB"/>
    <w:rsid w:val="001B49DB"/>
    <w:rsid w:val="001C524D"/>
    <w:rsid w:val="001C6780"/>
    <w:rsid w:val="001C6C0E"/>
    <w:rsid w:val="001E1B7F"/>
    <w:rsid w:val="001E2EF4"/>
    <w:rsid w:val="001E6B72"/>
    <w:rsid w:val="001E7087"/>
    <w:rsid w:val="00211656"/>
    <w:rsid w:val="00217657"/>
    <w:rsid w:val="00221869"/>
    <w:rsid w:val="00225F51"/>
    <w:rsid w:val="00227312"/>
    <w:rsid w:val="00232FB3"/>
    <w:rsid w:val="00236830"/>
    <w:rsid w:val="00241F3D"/>
    <w:rsid w:val="002430D5"/>
    <w:rsid w:val="00247DED"/>
    <w:rsid w:val="00262147"/>
    <w:rsid w:val="00264D1B"/>
    <w:rsid w:val="00284C2D"/>
    <w:rsid w:val="0029080C"/>
    <w:rsid w:val="00290EE7"/>
    <w:rsid w:val="002A573D"/>
    <w:rsid w:val="002C0042"/>
    <w:rsid w:val="002C2E78"/>
    <w:rsid w:val="002C65AA"/>
    <w:rsid w:val="002C6FF2"/>
    <w:rsid w:val="002D2669"/>
    <w:rsid w:val="002D542B"/>
    <w:rsid w:val="002F42EF"/>
    <w:rsid w:val="002F5C58"/>
    <w:rsid w:val="00301690"/>
    <w:rsid w:val="00306E09"/>
    <w:rsid w:val="0034525D"/>
    <w:rsid w:val="00346500"/>
    <w:rsid w:val="00350A14"/>
    <w:rsid w:val="003622EC"/>
    <w:rsid w:val="00380718"/>
    <w:rsid w:val="0038090E"/>
    <w:rsid w:val="00393EE5"/>
    <w:rsid w:val="003B259B"/>
    <w:rsid w:val="003C3B8C"/>
    <w:rsid w:val="003D0A35"/>
    <w:rsid w:val="003E06B1"/>
    <w:rsid w:val="003E1CF5"/>
    <w:rsid w:val="003E5B73"/>
    <w:rsid w:val="003E7C49"/>
    <w:rsid w:val="003F4CA8"/>
    <w:rsid w:val="004108F7"/>
    <w:rsid w:val="00411E80"/>
    <w:rsid w:val="00412213"/>
    <w:rsid w:val="00424C6C"/>
    <w:rsid w:val="00426EB8"/>
    <w:rsid w:val="004326C4"/>
    <w:rsid w:val="00432B13"/>
    <w:rsid w:val="00434F3F"/>
    <w:rsid w:val="00441EE1"/>
    <w:rsid w:val="00454F38"/>
    <w:rsid w:val="004578DD"/>
    <w:rsid w:val="00464D36"/>
    <w:rsid w:val="00466743"/>
    <w:rsid w:val="004777BE"/>
    <w:rsid w:val="00482AA6"/>
    <w:rsid w:val="00482D56"/>
    <w:rsid w:val="00484F65"/>
    <w:rsid w:val="004920D9"/>
    <w:rsid w:val="004A00AB"/>
    <w:rsid w:val="004A3262"/>
    <w:rsid w:val="004C3079"/>
    <w:rsid w:val="004E053F"/>
    <w:rsid w:val="004E7D5A"/>
    <w:rsid w:val="004F1786"/>
    <w:rsid w:val="00504719"/>
    <w:rsid w:val="00517500"/>
    <w:rsid w:val="0052161B"/>
    <w:rsid w:val="00525D1A"/>
    <w:rsid w:val="00530347"/>
    <w:rsid w:val="00532D35"/>
    <w:rsid w:val="00545876"/>
    <w:rsid w:val="005607D2"/>
    <w:rsid w:val="00565774"/>
    <w:rsid w:val="005676F5"/>
    <w:rsid w:val="00590A8C"/>
    <w:rsid w:val="00592E43"/>
    <w:rsid w:val="005A01AA"/>
    <w:rsid w:val="005B2F66"/>
    <w:rsid w:val="005C6FA9"/>
    <w:rsid w:val="005E28F5"/>
    <w:rsid w:val="005F0485"/>
    <w:rsid w:val="005F15C3"/>
    <w:rsid w:val="005F27C6"/>
    <w:rsid w:val="005F68D1"/>
    <w:rsid w:val="005F7150"/>
    <w:rsid w:val="006068E5"/>
    <w:rsid w:val="00625066"/>
    <w:rsid w:val="006353C4"/>
    <w:rsid w:val="0063790D"/>
    <w:rsid w:val="00640AB3"/>
    <w:rsid w:val="00644C23"/>
    <w:rsid w:val="00650E59"/>
    <w:rsid w:val="00667BC9"/>
    <w:rsid w:val="0067167C"/>
    <w:rsid w:val="006777EC"/>
    <w:rsid w:val="00694192"/>
    <w:rsid w:val="006C3052"/>
    <w:rsid w:val="006C35FD"/>
    <w:rsid w:val="006D08B6"/>
    <w:rsid w:val="006D3015"/>
    <w:rsid w:val="006D5682"/>
    <w:rsid w:val="006E2BA4"/>
    <w:rsid w:val="006F0F58"/>
    <w:rsid w:val="006F25B0"/>
    <w:rsid w:val="006F2D43"/>
    <w:rsid w:val="006F35A7"/>
    <w:rsid w:val="00703219"/>
    <w:rsid w:val="007061AD"/>
    <w:rsid w:val="00711381"/>
    <w:rsid w:val="00715B44"/>
    <w:rsid w:val="0072111C"/>
    <w:rsid w:val="00727566"/>
    <w:rsid w:val="00727CF7"/>
    <w:rsid w:val="00730CF5"/>
    <w:rsid w:val="00733C2A"/>
    <w:rsid w:val="007353AB"/>
    <w:rsid w:val="00737A13"/>
    <w:rsid w:val="00750363"/>
    <w:rsid w:val="00752BAA"/>
    <w:rsid w:val="00753193"/>
    <w:rsid w:val="0075776A"/>
    <w:rsid w:val="0076306F"/>
    <w:rsid w:val="00764398"/>
    <w:rsid w:val="00783EFF"/>
    <w:rsid w:val="00796B0B"/>
    <w:rsid w:val="007A6E76"/>
    <w:rsid w:val="007B3974"/>
    <w:rsid w:val="007C2AA1"/>
    <w:rsid w:val="007C3B3C"/>
    <w:rsid w:val="007D05DF"/>
    <w:rsid w:val="007E034C"/>
    <w:rsid w:val="007E0B9C"/>
    <w:rsid w:val="007E3761"/>
    <w:rsid w:val="007E57F6"/>
    <w:rsid w:val="007F39A7"/>
    <w:rsid w:val="00803B2D"/>
    <w:rsid w:val="00810AC2"/>
    <w:rsid w:val="00814A33"/>
    <w:rsid w:val="00820495"/>
    <w:rsid w:val="00832FEA"/>
    <w:rsid w:val="008346CC"/>
    <w:rsid w:val="00841CA9"/>
    <w:rsid w:val="008475B3"/>
    <w:rsid w:val="00853021"/>
    <w:rsid w:val="00856744"/>
    <w:rsid w:val="00862402"/>
    <w:rsid w:val="00885852"/>
    <w:rsid w:val="0089290E"/>
    <w:rsid w:val="00893003"/>
    <w:rsid w:val="00893BF7"/>
    <w:rsid w:val="008A5961"/>
    <w:rsid w:val="008C22E6"/>
    <w:rsid w:val="008D029F"/>
    <w:rsid w:val="008D404B"/>
    <w:rsid w:val="008D4157"/>
    <w:rsid w:val="008E1337"/>
    <w:rsid w:val="00932763"/>
    <w:rsid w:val="00936B34"/>
    <w:rsid w:val="00951194"/>
    <w:rsid w:val="00956213"/>
    <w:rsid w:val="00967A68"/>
    <w:rsid w:val="00970D0A"/>
    <w:rsid w:val="00972535"/>
    <w:rsid w:val="00974636"/>
    <w:rsid w:val="009756B6"/>
    <w:rsid w:val="00983363"/>
    <w:rsid w:val="00995962"/>
    <w:rsid w:val="00996C60"/>
    <w:rsid w:val="009A5526"/>
    <w:rsid w:val="009B21D2"/>
    <w:rsid w:val="009D7E7B"/>
    <w:rsid w:val="009F6409"/>
    <w:rsid w:val="00A13983"/>
    <w:rsid w:val="00A13EAB"/>
    <w:rsid w:val="00A3616A"/>
    <w:rsid w:val="00A561B0"/>
    <w:rsid w:val="00A576AF"/>
    <w:rsid w:val="00A62E72"/>
    <w:rsid w:val="00A64BD5"/>
    <w:rsid w:val="00A905FF"/>
    <w:rsid w:val="00A91115"/>
    <w:rsid w:val="00A93B0E"/>
    <w:rsid w:val="00A94E8C"/>
    <w:rsid w:val="00AA65CD"/>
    <w:rsid w:val="00AB2D77"/>
    <w:rsid w:val="00AB3791"/>
    <w:rsid w:val="00AB5F4F"/>
    <w:rsid w:val="00AB6E9C"/>
    <w:rsid w:val="00AC632A"/>
    <w:rsid w:val="00AC67BB"/>
    <w:rsid w:val="00AC70A1"/>
    <w:rsid w:val="00AE5A1B"/>
    <w:rsid w:val="00AF04B9"/>
    <w:rsid w:val="00AF052B"/>
    <w:rsid w:val="00AF31BF"/>
    <w:rsid w:val="00AF3701"/>
    <w:rsid w:val="00AF53E7"/>
    <w:rsid w:val="00B021E1"/>
    <w:rsid w:val="00B34879"/>
    <w:rsid w:val="00B36BBF"/>
    <w:rsid w:val="00B446E4"/>
    <w:rsid w:val="00B4722E"/>
    <w:rsid w:val="00B510AB"/>
    <w:rsid w:val="00B523DF"/>
    <w:rsid w:val="00B649B7"/>
    <w:rsid w:val="00B770E8"/>
    <w:rsid w:val="00B90771"/>
    <w:rsid w:val="00B90AE2"/>
    <w:rsid w:val="00B93F29"/>
    <w:rsid w:val="00B95D1B"/>
    <w:rsid w:val="00BA0F0F"/>
    <w:rsid w:val="00BB0353"/>
    <w:rsid w:val="00BB6531"/>
    <w:rsid w:val="00BC3BF3"/>
    <w:rsid w:val="00BD3A9F"/>
    <w:rsid w:val="00BE31A6"/>
    <w:rsid w:val="00C00305"/>
    <w:rsid w:val="00C00796"/>
    <w:rsid w:val="00C05E23"/>
    <w:rsid w:val="00C06D4C"/>
    <w:rsid w:val="00C14970"/>
    <w:rsid w:val="00C17C50"/>
    <w:rsid w:val="00C202AB"/>
    <w:rsid w:val="00C30292"/>
    <w:rsid w:val="00C31B2B"/>
    <w:rsid w:val="00C31B78"/>
    <w:rsid w:val="00C32A61"/>
    <w:rsid w:val="00C3351B"/>
    <w:rsid w:val="00C36F27"/>
    <w:rsid w:val="00C53277"/>
    <w:rsid w:val="00C53DBD"/>
    <w:rsid w:val="00C608E8"/>
    <w:rsid w:val="00C73584"/>
    <w:rsid w:val="00C75218"/>
    <w:rsid w:val="00C764A1"/>
    <w:rsid w:val="00C81B33"/>
    <w:rsid w:val="00C8439F"/>
    <w:rsid w:val="00CB723C"/>
    <w:rsid w:val="00CC203F"/>
    <w:rsid w:val="00CD49F2"/>
    <w:rsid w:val="00CE341F"/>
    <w:rsid w:val="00CE52E1"/>
    <w:rsid w:val="00CE6B8E"/>
    <w:rsid w:val="00CF5893"/>
    <w:rsid w:val="00D14DAF"/>
    <w:rsid w:val="00D3461D"/>
    <w:rsid w:val="00D34A90"/>
    <w:rsid w:val="00D44BF8"/>
    <w:rsid w:val="00D46FC2"/>
    <w:rsid w:val="00D56467"/>
    <w:rsid w:val="00D6261A"/>
    <w:rsid w:val="00D75B8D"/>
    <w:rsid w:val="00D837FB"/>
    <w:rsid w:val="00D9032B"/>
    <w:rsid w:val="00DA010E"/>
    <w:rsid w:val="00DB0C05"/>
    <w:rsid w:val="00DB27E4"/>
    <w:rsid w:val="00DB3196"/>
    <w:rsid w:val="00DC43F5"/>
    <w:rsid w:val="00DC5F70"/>
    <w:rsid w:val="00DD0E3B"/>
    <w:rsid w:val="00DE3F0E"/>
    <w:rsid w:val="00DF656F"/>
    <w:rsid w:val="00E37410"/>
    <w:rsid w:val="00E41098"/>
    <w:rsid w:val="00E41A88"/>
    <w:rsid w:val="00E46F00"/>
    <w:rsid w:val="00E5209F"/>
    <w:rsid w:val="00E5269B"/>
    <w:rsid w:val="00E53DE8"/>
    <w:rsid w:val="00E569CE"/>
    <w:rsid w:val="00E605F3"/>
    <w:rsid w:val="00E63771"/>
    <w:rsid w:val="00E67138"/>
    <w:rsid w:val="00E672D6"/>
    <w:rsid w:val="00E7239E"/>
    <w:rsid w:val="00E77566"/>
    <w:rsid w:val="00E819D4"/>
    <w:rsid w:val="00E81FE1"/>
    <w:rsid w:val="00E86BFA"/>
    <w:rsid w:val="00E91F10"/>
    <w:rsid w:val="00E9529D"/>
    <w:rsid w:val="00EA5126"/>
    <w:rsid w:val="00EB00CF"/>
    <w:rsid w:val="00EB421B"/>
    <w:rsid w:val="00EB524F"/>
    <w:rsid w:val="00EC0E6D"/>
    <w:rsid w:val="00EF2ED8"/>
    <w:rsid w:val="00F049AD"/>
    <w:rsid w:val="00F23B73"/>
    <w:rsid w:val="00F25A19"/>
    <w:rsid w:val="00F25F2D"/>
    <w:rsid w:val="00F40ED6"/>
    <w:rsid w:val="00F4334A"/>
    <w:rsid w:val="00F51C31"/>
    <w:rsid w:val="00F53FFF"/>
    <w:rsid w:val="00F568C7"/>
    <w:rsid w:val="00F662E4"/>
    <w:rsid w:val="00F75105"/>
    <w:rsid w:val="00F8408C"/>
    <w:rsid w:val="00F873AA"/>
    <w:rsid w:val="00F93F34"/>
    <w:rsid w:val="00FA1146"/>
    <w:rsid w:val="00FC445D"/>
    <w:rsid w:val="00FD1D98"/>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7A9A4-3D1F-416F-9394-D71A2817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customStyle="1" w:styleId="corte4fondoCar3">
    <w:name w:val="corte4 fondo Car3"/>
    <w:link w:val="corte4fondo"/>
    <w:locked/>
    <w:rsid w:val="004578DD"/>
    <w:rPr>
      <w:rFonts w:ascii="Arial" w:hAnsi="Arial" w:cs="Arial"/>
      <w:sz w:val="30"/>
      <w:szCs w:val="30"/>
      <w:lang w:val="es-ES_tradnl"/>
    </w:rPr>
  </w:style>
  <w:style w:type="paragraph" w:customStyle="1" w:styleId="corte4fondo">
    <w:name w:val="corte4 fondo"/>
    <w:basedOn w:val="Normal"/>
    <w:link w:val="corte4fondoCar3"/>
    <w:qFormat/>
    <w:rsid w:val="004578DD"/>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A2906-EBF3-4A46-9915-E9BE72A65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2595</Words>
  <Characters>14273</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2017-07-06T19:03:00Z</cp:lastPrinted>
  <dcterms:created xsi:type="dcterms:W3CDTF">2020-09-22T18:09:00Z</dcterms:created>
  <dcterms:modified xsi:type="dcterms:W3CDTF">2020-09-24T16:31:00Z</dcterms:modified>
</cp:coreProperties>
</file>