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C2AFF" w14:textId="77777777" w:rsidR="005977CD" w:rsidRPr="00CB6405" w:rsidRDefault="005977CD" w:rsidP="005977CD">
      <w:pPr>
        <w:spacing w:line="240" w:lineRule="auto"/>
        <w:ind w:left="2124"/>
        <w:jc w:val="both"/>
        <w:rPr>
          <w:rFonts w:ascii="Arial" w:hAnsi="Arial" w:cs="Arial"/>
          <w:b/>
          <w:sz w:val="26"/>
          <w:szCs w:val="26"/>
        </w:rPr>
      </w:pPr>
      <w:bookmarkStart w:id="0" w:name="_Hlk30078419"/>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77CA383F" w14:textId="77777777" w:rsidR="005977CD" w:rsidRPr="00CB6405" w:rsidRDefault="005977CD" w:rsidP="005977CD">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0305/2019.</w:t>
      </w:r>
    </w:p>
    <w:p w14:paraId="23DCD142" w14:textId="77777777" w:rsidR="005977CD" w:rsidRPr="00CB6405" w:rsidRDefault="005977CD" w:rsidP="005977CD">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0056/2019</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r>
        <w:rPr>
          <w:rFonts w:ascii="Arial" w:hAnsi="Arial" w:cs="Arial"/>
          <w:b/>
          <w:sz w:val="26"/>
          <w:szCs w:val="26"/>
        </w:rPr>
        <w:t>.</w:t>
      </w:r>
    </w:p>
    <w:p w14:paraId="69549AEE" w14:textId="77777777" w:rsidR="005977CD" w:rsidRDefault="005977CD" w:rsidP="005977CD">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DC88103" w14:textId="77777777" w:rsidR="005977CD" w:rsidRPr="00CB6405" w:rsidRDefault="005977CD" w:rsidP="005977CD">
      <w:pPr>
        <w:spacing w:line="240" w:lineRule="auto"/>
        <w:ind w:left="2124"/>
        <w:jc w:val="both"/>
        <w:rPr>
          <w:rFonts w:ascii="Arial" w:hAnsi="Arial" w:cs="Arial"/>
          <w:b/>
          <w:sz w:val="26"/>
          <w:szCs w:val="26"/>
        </w:rPr>
      </w:pPr>
    </w:p>
    <w:p w14:paraId="400A4727" w14:textId="31EA6E35" w:rsidR="005977CD" w:rsidRDefault="005977CD" w:rsidP="005977CD">
      <w:pPr>
        <w:spacing w:before="240" w:line="360" w:lineRule="auto"/>
        <w:jc w:val="both"/>
        <w:rPr>
          <w:rFonts w:ascii="Arial" w:hAnsi="Arial" w:cs="Arial"/>
          <w:b/>
          <w:sz w:val="26"/>
          <w:szCs w:val="26"/>
        </w:rPr>
      </w:pPr>
      <w:r>
        <w:rPr>
          <w:rFonts w:ascii="Arial" w:hAnsi="Arial" w:cs="Arial"/>
          <w:b/>
          <w:sz w:val="26"/>
          <w:szCs w:val="26"/>
        </w:rPr>
        <w:t>OAXACA DE JUÁREZ, OAXACA</w:t>
      </w:r>
      <w:r w:rsidR="0063620C">
        <w:rPr>
          <w:rFonts w:ascii="Arial" w:hAnsi="Arial" w:cs="Arial"/>
          <w:b/>
          <w:sz w:val="26"/>
          <w:szCs w:val="26"/>
        </w:rPr>
        <w:t>, A VEINTE DE</w:t>
      </w:r>
      <w:r>
        <w:rPr>
          <w:rFonts w:ascii="Arial" w:hAnsi="Arial" w:cs="Arial"/>
          <w:b/>
          <w:sz w:val="26"/>
          <w:szCs w:val="26"/>
        </w:rPr>
        <w:t xml:space="preserve"> FEBRERO DE DOS MIL VEINTE. </w:t>
      </w:r>
    </w:p>
    <w:p w14:paraId="65586EC5" w14:textId="6AC22109" w:rsidR="005977CD" w:rsidRDefault="005977CD" w:rsidP="0063620C">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sidRPr="00403348">
        <w:rPr>
          <w:rFonts w:ascii="Arial" w:hAnsi="Arial" w:cs="Arial"/>
          <w:b/>
          <w:sz w:val="26"/>
          <w:szCs w:val="26"/>
        </w:rPr>
        <w:t>0</w:t>
      </w:r>
      <w:r>
        <w:rPr>
          <w:rFonts w:ascii="Arial" w:hAnsi="Arial" w:cs="Arial"/>
          <w:b/>
          <w:sz w:val="26"/>
          <w:szCs w:val="26"/>
        </w:rPr>
        <w:t>305</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Pr>
          <w:rFonts w:ascii="Arial" w:hAnsi="Arial" w:cs="Arial"/>
          <w:b/>
          <w:bCs/>
          <w:sz w:val="26"/>
          <w:szCs w:val="26"/>
        </w:rPr>
        <w:t xml:space="preserve"> </w:t>
      </w:r>
      <w:r w:rsidR="00431C30">
        <w:rPr>
          <w:rFonts w:ascii="Arial" w:hAnsi="Arial" w:cs="Arial"/>
          <w:b/>
          <w:bCs/>
          <w:sz w:val="26"/>
          <w:szCs w:val="26"/>
        </w:rPr>
        <w:t>**********</w:t>
      </w:r>
      <w:r w:rsidRPr="001213C8">
        <w:rPr>
          <w:rFonts w:ascii="Arial" w:hAnsi="Arial" w:cs="Arial"/>
          <w:b/>
          <w:sz w:val="26"/>
          <w:szCs w:val="26"/>
        </w:rPr>
        <w:t>,</w:t>
      </w:r>
      <w:r w:rsidRPr="00CB6405">
        <w:rPr>
          <w:rFonts w:ascii="Arial" w:hAnsi="Arial" w:cs="Arial"/>
          <w:sz w:val="26"/>
          <w:szCs w:val="26"/>
        </w:rPr>
        <w:t xml:space="preserve"> en contra </w:t>
      </w:r>
      <w:r>
        <w:rPr>
          <w:rFonts w:ascii="Arial" w:hAnsi="Arial" w:cs="Arial"/>
          <w:sz w:val="26"/>
          <w:szCs w:val="26"/>
        </w:rPr>
        <w:t>del acuerdo de diez de junio de dos mil diecinueve, dictada</w:t>
      </w:r>
      <w:r w:rsidRPr="00CB6405">
        <w:rPr>
          <w:rFonts w:ascii="Arial" w:hAnsi="Arial" w:cs="Arial"/>
          <w:sz w:val="26"/>
          <w:szCs w:val="26"/>
        </w:rPr>
        <w:t xml:space="preserve"> en el expediente </w:t>
      </w:r>
      <w:r w:rsidRPr="009A270A">
        <w:rPr>
          <w:rFonts w:ascii="Arial" w:hAnsi="Arial" w:cs="Arial"/>
          <w:b/>
          <w:sz w:val="26"/>
          <w:szCs w:val="26"/>
        </w:rPr>
        <w:t>0</w:t>
      </w:r>
      <w:r>
        <w:rPr>
          <w:rFonts w:ascii="Arial" w:hAnsi="Arial" w:cs="Arial"/>
          <w:b/>
          <w:sz w:val="26"/>
          <w:szCs w:val="26"/>
        </w:rPr>
        <w:t>056/2019</w:t>
      </w:r>
      <w:r w:rsidRPr="00CB6405">
        <w:rPr>
          <w:rFonts w:ascii="Arial" w:hAnsi="Arial" w:cs="Arial"/>
          <w:b/>
          <w:sz w:val="26"/>
          <w:szCs w:val="26"/>
        </w:rPr>
        <w:t xml:space="preserve"> </w:t>
      </w:r>
      <w:r w:rsidRPr="00CB6405">
        <w:rPr>
          <w:rFonts w:ascii="Arial" w:hAnsi="Arial" w:cs="Arial"/>
          <w:sz w:val="26"/>
          <w:szCs w:val="26"/>
        </w:rPr>
        <w:t>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Pr="00C459D4">
        <w:rPr>
          <w:rFonts w:ascii="Arial" w:hAnsi="Arial" w:cs="Arial"/>
          <w:bCs/>
          <w:sz w:val="26"/>
          <w:szCs w:val="26"/>
        </w:rPr>
        <w:t>la</w:t>
      </w:r>
      <w:r>
        <w:rPr>
          <w:rFonts w:ascii="Arial" w:hAnsi="Arial" w:cs="Arial"/>
          <w:b/>
          <w:sz w:val="26"/>
          <w:szCs w:val="26"/>
        </w:rPr>
        <w:t xml:space="preserve"> </w:t>
      </w:r>
      <w:r w:rsidRPr="009A270A">
        <w:rPr>
          <w:rFonts w:ascii="Arial" w:hAnsi="Arial" w:cs="Arial"/>
          <w:sz w:val="26"/>
          <w:szCs w:val="26"/>
        </w:rPr>
        <w:t>propia recurrente,</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w:t>
      </w:r>
      <w:r w:rsidRPr="00C459D4">
        <w:rPr>
          <w:rFonts w:ascii="Arial" w:hAnsi="Arial" w:cs="Arial"/>
          <w:b/>
          <w:bCs/>
          <w:sz w:val="26"/>
          <w:szCs w:val="26"/>
        </w:rPr>
        <w:t>CONSEJO DIRECTIVO DE LA OFICINA DE PENSIONES</w:t>
      </w:r>
      <w:r w:rsidRPr="006B3BEA">
        <w:rPr>
          <w:rFonts w:ascii="Arial" w:hAnsi="Arial" w:cs="Arial"/>
          <w:sz w:val="26"/>
          <w:szCs w:val="26"/>
        </w:rPr>
        <w:t>;</w:t>
      </w:r>
      <w:r w:rsidRPr="00CB6405">
        <w:rPr>
          <w:rFonts w:ascii="Arial" w:hAnsi="Arial" w:cs="Arial"/>
          <w:b/>
          <w:sz w:val="26"/>
          <w:szCs w:val="26"/>
        </w:rPr>
        <w:t xml:space="preserve"> </w:t>
      </w:r>
      <w:r>
        <w:rPr>
          <w:rFonts w:ascii="Arial" w:hAnsi="Arial" w:cs="Arial"/>
          <w:sz w:val="26"/>
          <w:szCs w:val="26"/>
        </w:rPr>
        <w:t>por lo que, con fundamento en los artículos 236 y 237 de la Ley de Procedimiento y Justicia Administrativa para el Estado de Oaxaca vigente, se admite. Por consiguiente, se procede a dictar resolución en los siguientes términos:</w:t>
      </w:r>
    </w:p>
    <w:p w14:paraId="0C9E5FF9" w14:textId="77777777" w:rsidR="005977CD" w:rsidRPr="00CB6405" w:rsidRDefault="005977CD" w:rsidP="005977C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2D49638" w14:textId="61D4F140" w:rsidR="005977CD" w:rsidRPr="00CB6405" w:rsidRDefault="005977CD" w:rsidP="005977C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el acuerdo de fecha diez de junio de dos mil diecinueve</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sz w:val="26"/>
          <w:szCs w:val="26"/>
        </w:rPr>
        <w:t xml:space="preserve">la ciudadana </w:t>
      </w:r>
      <w:r w:rsidR="00431C30">
        <w:rPr>
          <w:rFonts w:ascii="Arial" w:hAnsi="Arial" w:cs="Arial"/>
          <w:b/>
          <w:bCs/>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p>
    <w:p w14:paraId="2093B61E" w14:textId="77777777" w:rsidR="005977CD" w:rsidRDefault="005977CD" w:rsidP="005977CD">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 xml:space="preserve">El contenido </w:t>
      </w:r>
      <w:r w:rsidRPr="00C37A09">
        <w:rPr>
          <w:rFonts w:ascii="Arial" w:hAnsi="Arial" w:cs="Arial"/>
          <w:bCs/>
          <w:sz w:val="26"/>
          <w:szCs w:val="26"/>
        </w:rPr>
        <w:t>de</w:t>
      </w:r>
      <w:r>
        <w:rPr>
          <w:rFonts w:ascii="Arial" w:hAnsi="Arial" w:cs="Arial"/>
          <w:bCs/>
          <w:sz w:val="26"/>
          <w:szCs w:val="26"/>
        </w:rPr>
        <w:t xml:space="preserve">l acuerdo </w:t>
      </w:r>
      <w:r w:rsidRPr="00C37A09">
        <w:rPr>
          <w:rFonts w:ascii="Arial" w:hAnsi="Arial" w:cs="Arial"/>
          <w:bCs/>
          <w:sz w:val="26"/>
          <w:szCs w:val="26"/>
        </w:rPr>
        <w:t>recurrid</w:t>
      </w:r>
      <w:r>
        <w:rPr>
          <w:rFonts w:ascii="Arial" w:hAnsi="Arial" w:cs="Arial"/>
          <w:bCs/>
          <w:sz w:val="26"/>
          <w:szCs w:val="26"/>
        </w:rPr>
        <w:t>o</w:t>
      </w:r>
      <w:r w:rsidRPr="00C37A09">
        <w:rPr>
          <w:rFonts w:ascii="Arial" w:hAnsi="Arial" w:cs="Arial"/>
          <w:bCs/>
          <w:sz w:val="26"/>
          <w:szCs w:val="26"/>
        </w:rPr>
        <w:t xml:space="preserve"> </w:t>
      </w:r>
      <w:r>
        <w:rPr>
          <w:rFonts w:ascii="Arial" w:hAnsi="Arial" w:cs="Arial"/>
          <w:bCs/>
          <w:sz w:val="26"/>
          <w:szCs w:val="26"/>
        </w:rPr>
        <w:t>es el siguiente:</w:t>
      </w:r>
    </w:p>
    <w:p w14:paraId="5DBE5338" w14:textId="571670A4" w:rsidR="005977CD" w:rsidRDefault="005977CD" w:rsidP="005977C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Se da cuenta con el escrito de </w:t>
      </w:r>
      <w:r w:rsidR="00431C30">
        <w:rPr>
          <w:rFonts w:ascii="Arial" w:hAnsi="Arial" w:cs="Arial"/>
          <w:b/>
          <w:bCs/>
          <w:sz w:val="26"/>
          <w:szCs w:val="26"/>
        </w:rPr>
        <w:t>**********</w:t>
      </w:r>
      <w:r w:rsidRPr="00A11863">
        <w:rPr>
          <w:rFonts w:ascii="Arial" w:eastAsia="Times New Roman" w:hAnsi="Arial" w:cs="Arial"/>
          <w:b/>
          <w:bCs/>
          <w:i/>
          <w:iCs/>
          <w:sz w:val="24"/>
          <w:szCs w:val="24"/>
          <w:lang w:eastAsia="es-ES"/>
        </w:rPr>
        <w:t>,</w:t>
      </w:r>
      <w:r>
        <w:rPr>
          <w:rFonts w:ascii="Arial" w:eastAsia="Times New Roman" w:hAnsi="Arial" w:cs="Arial"/>
          <w:bCs/>
          <w:i/>
          <w:iCs/>
          <w:sz w:val="24"/>
          <w:szCs w:val="24"/>
          <w:lang w:eastAsia="es-ES"/>
        </w:rPr>
        <w:t xml:space="preserve"> recibido en la Oficialía de Partes Común de Primera Instancia de este Tribunal el día viernes siete de junio de año en curso, quien por su propio derecho demanda la nulidad del oficio número </w:t>
      </w:r>
      <w:r w:rsidR="00431C30">
        <w:rPr>
          <w:rFonts w:ascii="Arial" w:hAnsi="Arial" w:cs="Arial"/>
          <w:b/>
          <w:bCs/>
          <w:sz w:val="26"/>
          <w:szCs w:val="26"/>
        </w:rPr>
        <w:t>**********</w:t>
      </w:r>
      <w:r>
        <w:rPr>
          <w:rFonts w:ascii="Arial" w:eastAsia="Times New Roman" w:hAnsi="Arial" w:cs="Arial"/>
          <w:bCs/>
          <w:i/>
          <w:iCs/>
          <w:sz w:val="24"/>
          <w:szCs w:val="24"/>
          <w:lang w:eastAsia="es-ES"/>
        </w:rPr>
        <w:t xml:space="preserve">, de 30 treinta de diciembre de 2015 dos mil quince, así como el pago retroactivo de las prestaciones previstas en el artículo 54, fracción I, de la Ley de Pensiones para los Trabajadores del Gobierno del Estado de Oaxaca, como son la previsión social múltiple, despensa, vida cara, quinquenios, aguinaldo, estimulo del día del jubilado, día de las madres y </w:t>
      </w:r>
      <w:r>
        <w:rPr>
          <w:rFonts w:ascii="Arial" w:eastAsia="Times New Roman" w:hAnsi="Arial" w:cs="Arial"/>
          <w:bCs/>
          <w:i/>
          <w:iCs/>
          <w:sz w:val="24"/>
          <w:szCs w:val="24"/>
          <w:lang w:eastAsia="es-ES"/>
        </w:rPr>
        <w:lastRenderedPageBreak/>
        <w:t xml:space="preserve">canasta navideña; quien manifiesta bajo protesta de decir verdad que tuvo conocimiento del acto impugnado el día </w:t>
      </w:r>
      <w:r w:rsidRPr="002A4DFA">
        <w:rPr>
          <w:rFonts w:ascii="Arial" w:eastAsia="Times New Roman" w:hAnsi="Arial" w:cs="Arial"/>
          <w:b/>
          <w:bCs/>
          <w:i/>
          <w:iCs/>
          <w:sz w:val="24"/>
          <w:szCs w:val="24"/>
          <w:lang w:eastAsia="es-ES"/>
        </w:rPr>
        <w:t>veintisiete de julio de dos mil dieciséis</w:t>
      </w:r>
      <w:r>
        <w:rPr>
          <w:rFonts w:ascii="Arial" w:eastAsia="Times New Roman" w:hAnsi="Arial" w:cs="Arial"/>
          <w:bCs/>
          <w:i/>
          <w:iCs/>
          <w:sz w:val="24"/>
          <w:szCs w:val="24"/>
          <w:lang w:eastAsia="es-ES"/>
        </w:rPr>
        <w:t xml:space="preserve">. - - - - - - - - - - - - - - - - - - - - - - - - Ahora bien, del análisis integral del escrito de demanda y anexos, esta Sala Unitaria advierte, lo siguiente:  - - - - - - - - “… </w:t>
      </w:r>
      <w:r w:rsidRPr="00542955">
        <w:rPr>
          <w:rFonts w:ascii="Arial" w:eastAsia="Times New Roman" w:hAnsi="Arial" w:cs="Arial"/>
          <w:b/>
          <w:i/>
          <w:iCs/>
          <w:sz w:val="24"/>
          <w:szCs w:val="24"/>
          <w:lang w:eastAsia="es-ES"/>
        </w:rPr>
        <w:t>V. FECHA EN QUE TUVO CON</w:t>
      </w:r>
      <w:r>
        <w:rPr>
          <w:rFonts w:ascii="Arial" w:eastAsia="Times New Roman" w:hAnsi="Arial" w:cs="Arial"/>
          <w:b/>
          <w:i/>
          <w:iCs/>
          <w:sz w:val="24"/>
          <w:szCs w:val="24"/>
          <w:lang w:eastAsia="es-ES"/>
        </w:rPr>
        <w:t xml:space="preserve">OCIMIENTO DE LA RESOLUCIÓN O ACTO COMBATIDO: bajo protesta de decir verdad manifiesto que el oficio número </w:t>
      </w:r>
      <w:r w:rsidR="00431C30">
        <w:rPr>
          <w:rFonts w:ascii="Arial" w:hAnsi="Arial" w:cs="Arial"/>
          <w:b/>
          <w:bCs/>
          <w:sz w:val="26"/>
          <w:szCs w:val="26"/>
        </w:rPr>
        <w:t>**********</w:t>
      </w:r>
      <w:r w:rsidRPr="002A4DFA">
        <w:rPr>
          <w:rFonts w:ascii="Arial" w:eastAsia="Times New Roman" w:hAnsi="Arial" w:cs="Arial"/>
          <w:b/>
          <w:bCs/>
          <w:i/>
          <w:iCs/>
          <w:sz w:val="24"/>
          <w:szCs w:val="24"/>
          <w:lang w:eastAsia="es-ES"/>
        </w:rPr>
        <w:t>,</w:t>
      </w:r>
      <w:r>
        <w:rPr>
          <w:rFonts w:ascii="Arial" w:eastAsia="Times New Roman" w:hAnsi="Arial" w:cs="Arial"/>
          <w:bCs/>
          <w:i/>
          <w:iCs/>
          <w:sz w:val="24"/>
          <w:szCs w:val="24"/>
          <w:lang w:eastAsia="es-ES"/>
        </w:rPr>
        <w:t xml:space="preserve"> de 30  de diciembre de 2015, me fue entregado el día 27 de julio de 2016 (sic)…”</w:t>
      </w:r>
    </w:p>
    <w:p w14:paraId="698B7FA1" w14:textId="77777777" w:rsidR="005977CD" w:rsidRPr="005F299B" w:rsidRDefault="005977CD" w:rsidP="005977CD">
      <w:pPr>
        <w:widowControl w:val="0"/>
        <w:tabs>
          <w:tab w:val="left" w:pos="7938"/>
        </w:tabs>
        <w:spacing w:before="240" w:after="0" w:line="360" w:lineRule="auto"/>
        <w:ind w:left="1134" w:right="616"/>
        <w:jc w:val="both"/>
        <w:rPr>
          <w:rFonts w:ascii="Arial" w:eastAsia="Times New Roman" w:hAnsi="Arial" w:cs="Arial"/>
          <w:b/>
          <w:i/>
          <w:iCs/>
          <w:sz w:val="24"/>
          <w:szCs w:val="24"/>
          <w:lang w:eastAsia="es-ES"/>
        </w:rPr>
      </w:pPr>
      <w:r w:rsidRPr="005F299B">
        <w:rPr>
          <w:rFonts w:ascii="Arial" w:eastAsia="Times New Roman" w:hAnsi="Arial" w:cs="Arial"/>
          <w:b/>
          <w:i/>
          <w:iCs/>
          <w:sz w:val="24"/>
          <w:szCs w:val="24"/>
          <w:lang w:eastAsia="es-ES"/>
        </w:rPr>
        <w:t>*Énfasis añadido. - - - - - - - - - - - - -</w:t>
      </w:r>
      <w:r>
        <w:rPr>
          <w:rFonts w:ascii="Arial" w:eastAsia="Times New Roman" w:hAnsi="Arial" w:cs="Arial"/>
          <w:b/>
          <w:i/>
          <w:iCs/>
          <w:sz w:val="24"/>
          <w:szCs w:val="24"/>
          <w:lang w:eastAsia="es-ES"/>
        </w:rPr>
        <w:t xml:space="preserve"> - - - - - - - - - - - - - - - - </w:t>
      </w:r>
    </w:p>
    <w:p w14:paraId="27AC4019" w14:textId="77777777" w:rsidR="005977CD" w:rsidRDefault="005977CD" w:rsidP="005977C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De lo anterior, esta Sala Unitaria determina que el plazo de </w:t>
      </w:r>
      <w:r w:rsidRPr="005F299B">
        <w:rPr>
          <w:rFonts w:ascii="Arial" w:eastAsia="Times New Roman" w:hAnsi="Arial" w:cs="Arial"/>
          <w:b/>
          <w:i/>
          <w:iCs/>
          <w:sz w:val="24"/>
          <w:szCs w:val="24"/>
          <w:lang w:eastAsia="es-ES"/>
        </w:rPr>
        <w:t>treinta días hábiles</w:t>
      </w:r>
      <w:r>
        <w:rPr>
          <w:rFonts w:ascii="Arial" w:eastAsia="Times New Roman" w:hAnsi="Arial" w:cs="Arial"/>
          <w:bCs/>
          <w:i/>
          <w:iCs/>
          <w:sz w:val="24"/>
          <w:szCs w:val="24"/>
          <w:lang w:eastAsia="es-ES"/>
        </w:rPr>
        <w:t xml:space="preserve"> que tuvo la </w:t>
      </w:r>
      <w:r w:rsidRPr="005C3C9A">
        <w:rPr>
          <w:rFonts w:ascii="Arial" w:eastAsia="Times New Roman" w:hAnsi="Arial" w:cs="Arial"/>
          <w:b/>
          <w:i/>
          <w:iCs/>
          <w:sz w:val="24"/>
          <w:szCs w:val="24"/>
          <w:lang w:eastAsia="es-ES"/>
        </w:rPr>
        <w:t>promovente</w:t>
      </w:r>
      <w:r>
        <w:rPr>
          <w:rFonts w:ascii="Arial" w:eastAsia="Times New Roman" w:hAnsi="Arial" w:cs="Arial"/>
          <w:bCs/>
          <w:i/>
          <w:iCs/>
          <w:sz w:val="24"/>
          <w:szCs w:val="24"/>
          <w:lang w:eastAsia="es-ES"/>
        </w:rPr>
        <w:t xml:space="preserve"> para interponer su demanda de nulidad transcurrió del cinco de agosto al diecinueve de septiembre de dos mil dieciséis, descontándose los días seis, siete, trece , catorce, veinte, veintiuno, veintisiete y veintiocho de agosto de dos mil dieciséis, así como los días tres, cuatro, diez, once, diecisiete y dieciocho de septiembre de dos mil dieciséis, por haber correspondido a los días sábado y domingo, respectivamente; así como los días quince y dieciséis de septiembre de dos mil dieciséis, por haber correspondido a los días sábado y domingo, respectivamente; así como los días quince y dieciséis de septiembre de dos mil dieciséis, con motivo e (sic) conmemoración del día de la independencia; lo anterior, conforme a lo establecido por los artículos 165, y  166, primer párrafo, de la Ley de Procedimiento y Justicia Administrativa para el Estado de Oaxaca. - - - - - - - - - - - - - - - - - - - - - - - - - </w:t>
      </w:r>
    </w:p>
    <w:p w14:paraId="1623B52F" w14:textId="01176B94" w:rsidR="005977CD" w:rsidRDefault="005977CD" w:rsidP="005977C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Por lo tanto, y toda vez que la </w:t>
      </w:r>
      <w:r w:rsidRPr="00A85087">
        <w:rPr>
          <w:rFonts w:ascii="Arial" w:eastAsia="Times New Roman" w:hAnsi="Arial" w:cs="Arial"/>
          <w:b/>
          <w:i/>
          <w:iCs/>
          <w:sz w:val="24"/>
          <w:szCs w:val="24"/>
          <w:lang w:eastAsia="es-ES"/>
        </w:rPr>
        <w:t>promovente</w:t>
      </w:r>
      <w:r>
        <w:rPr>
          <w:rFonts w:ascii="Arial" w:eastAsia="Times New Roman" w:hAnsi="Arial" w:cs="Arial"/>
          <w:bCs/>
          <w:i/>
          <w:iCs/>
          <w:sz w:val="24"/>
          <w:szCs w:val="24"/>
          <w:lang w:eastAsia="es-ES"/>
        </w:rPr>
        <w:t xml:space="preserve"> tuvo conocimiento fehacientemente del acto impugnado desde el día </w:t>
      </w:r>
      <w:r w:rsidRPr="00A85087">
        <w:rPr>
          <w:rFonts w:ascii="Arial" w:eastAsia="Times New Roman" w:hAnsi="Arial" w:cs="Arial"/>
          <w:b/>
          <w:i/>
          <w:iCs/>
          <w:sz w:val="24"/>
          <w:szCs w:val="24"/>
          <w:lang w:eastAsia="es-ES"/>
        </w:rPr>
        <w:t>veintisiete de julio del año dos mil dieciséis</w:t>
      </w:r>
      <w:r>
        <w:rPr>
          <w:rFonts w:ascii="Arial" w:eastAsia="Times New Roman" w:hAnsi="Arial" w:cs="Arial"/>
          <w:bCs/>
          <w:i/>
          <w:iCs/>
          <w:sz w:val="24"/>
          <w:szCs w:val="24"/>
          <w:lang w:eastAsia="es-ES"/>
        </w:rPr>
        <w:t xml:space="preserve">, y su demanda de nulidad fue presentada en la Oficialía de Partes Común de Primera Instancia de este Tribunal el día siete de junio de dos mil diecinueve, de ahí la extemporaneidad de la demanda de nulidad; y al ser el juicio de nulidad de estricto derecho, en consecuencia </w:t>
      </w:r>
      <w:r w:rsidRPr="006F56E5">
        <w:rPr>
          <w:rFonts w:ascii="Arial" w:eastAsia="Times New Roman" w:hAnsi="Arial" w:cs="Arial"/>
          <w:b/>
          <w:bCs/>
          <w:i/>
          <w:iCs/>
          <w:sz w:val="24"/>
          <w:szCs w:val="24"/>
          <w:lang w:eastAsia="es-ES"/>
        </w:rPr>
        <w:t xml:space="preserve">SE DESECHA </w:t>
      </w:r>
      <w:r>
        <w:rPr>
          <w:rFonts w:ascii="Arial" w:eastAsia="Times New Roman" w:hAnsi="Arial" w:cs="Arial"/>
          <w:bCs/>
          <w:i/>
          <w:iCs/>
          <w:sz w:val="24"/>
          <w:szCs w:val="24"/>
          <w:lang w:eastAsia="es-ES"/>
        </w:rPr>
        <w:t xml:space="preserve">la demanda de nulidad interpuesta por </w:t>
      </w:r>
      <w:r w:rsidR="00431C30">
        <w:rPr>
          <w:rFonts w:ascii="Arial" w:hAnsi="Arial" w:cs="Arial"/>
          <w:b/>
          <w:bCs/>
          <w:sz w:val="26"/>
          <w:szCs w:val="26"/>
        </w:rPr>
        <w:t>**********</w:t>
      </w:r>
      <w:r>
        <w:rPr>
          <w:rFonts w:ascii="Arial" w:eastAsia="Times New Roman" w:hAnsi="Arial" w:cs="Arial"/>
          <w:bCs/>
          <w:i/>
          <w:iCs/>
          <w:sz w:val="24"/>
          <w:szCs w:val="24"/>
          <w:lang w:eastAsia="es-ES"/>
        </w:rPr>
        <w:t xml:space="preserve">, por encontrarse motivo manifiesto e indudable procedencia, conforme a lo establecido por los artículos 161, fracción VI y X, 162, fracciones II, y VI, 166, primer párrafo y 182, fracción I, de la Ley de Procedimiento y Justicia Administrativa del Estado de Oaxaca, que a la letra </w:t>
      </w:r>
      <w:r>
        <w:rPr>
          <w:rFonts w:ascii="Arial" w:eastAsia="Times New Roman" w:hAnsi="Arial" w:cs="Arial"/>
          <w:bCs/>
          <w:i/>
          <w:iCs/>
          <w:sz w:val="24"/>
          <w:szCs w:val="24"/>
          <w:lang w:eastAsia="es-ES"/>
        </w:rPr>
        <w:lastRenderedPageBreak/>
        <w:t xml:space="preserve">dice:  - - </w:t>
      </w:r>
    </w:p>
    <w:p w14:paraId="72EA8518" w14:textId="77777777" w:rsidR="005977CD" w:rsidRPr="006F56E5" w:rsidRDefault="005977CD" w:rsidP="005977CD">
      <w:pPr>
        <w:widowControl w:val="0"/>
        <w:tabs>
          <w:tab w:val="left" w:pos="7938"/>
        </w:tabs>
        <w:spacing w:before="240" w:after="0" w:line="360" w:lineRule="auto"/>
        <w:ind w:left="1134" w:right="616"/>
        <w:jc w:val="both"/>
        <w:rPr>
          <w:rFonts w:ascii="Arial" w:eastAsia="Times New Roman" w:hAnsi="Arial" w:cs="Arial"/>
          <w:bCs/>
          <w:i/>
          <w:sz w:val="24"/>
          <w:szCs w:val="24"/>
          <w:lang w:eastAsia="es-ES"/>
        </w:rPr>
      </w:pPr>
      <w:r w:rsidRPr="006F56E5">
        <w:rPr>
          <w:rFonts w:ascii="Arial" w:eastAsia="Times New Roman" w:hAnsi="Arial" w:cs="Arial"/>
          <w:b/>
          <w:i/>
          <w:sz w:val="24"/>
          <w:szCs w:val="24"/>
          <w:lang w:eastAsia="es-ES"/>
        </w:rPr>
        <w:t>“…ARTICULO 166.</w:t>
      </w:r>
      <w:r w:rsidRPr="006F56E5">
        <w:rPr>
          <w:rFonts w:ascii="Arial" w:eastAsia="Times New Roman" w:hAnsi="Arial" w:cs="Arial"/>
          <w:bCs/>
          <w:i/>
          <w:sz w:val="24"/>
          <w:szCs w:val="24"/>
          <w:lang w:eastAsia="es-ES"/>
        </w:rPr>
        <w:t xml:space="preserve"> El plazo para interponer la demanda ante el tribunal será de </w:t>
      </w:r>
      <w:r w:rsidRPr="006F56E5">
        <w:rPr>
          <w:rFonts w:ascii="Arial" w:eastAsia="Times New Roman" w:hAnsi="Arial" w:cs="Arial"/>
          <w:b/>
          <w:i/>
          <w:sz w:val="24"/>
          <w:szCs w:val="24"/>
          <w:lang w:eastAsia="es-ES"/>
        </w:rPr>
        <w:t>treinta días hábiles</w:t>
      </w:r>
      <w:r w:rsidRPr="006F56E5">
        <w:rPr>
          <w:rFonts w:ascii="Arial" w:eastAsia="Times New Roman" w:hAnsi="Arial" w:cs="Arial"/>
          <w:bCs/>
          <w:i/>
          <w:sz w:val="24"/>
          <w:szCs w:val="24"/>
          <w:lang w:eastAsia="es-ES"/>
        </w:rPr>
        <w:t xml:space="preserve">, contados a partir del día siguiente al en que surta efectos, conforme a la ley aplicable al acto, la notificación de la resolución o acto que se combata; o conste fehacientemente que el o los interesados o afectados tienen conocimiento del acto…”. - - - </w:t>
      </w:r>
    </w:p>
    <w:p w14:paraId="2A00CC53" w14:textId="77777777" w:rsidR="005977CD" w:rsidRDefault="005977CD" w:rsidP="005977C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Con fundamento en el artículo 171, de la Ley de la Materia (sic), se tiene a la promovente señalando domicilio para oír y recibir notificaciones el ubicado en la calle Rio Usumacinta numero ciento quince, Fraccionamiento Los Sauces, Oaxaca de Juárez, Oaxaca; y autorizando </w:t>
      </w:r>
      <w:r w:rsidRPr="00C0344A">
        <w:rPr>
          <w:rFonts w:ascii="Arial" w:eastAsia="Times New Roman" w:hAnsi="Arial" w:cs="Arial"/>
          <w:b/>
          <w:i/>
          <w:iCs/>
          <w:sz w:val="24"/>
          <w:szCs w:val="24"/>
          <w:lang w:eastAsia="es-ES"/>
        </w:rPr>
        <w:t>únicamente</w:t>
      </w:r>
      <w:r>
        <w:rPr>
          <w:rFonts w:ascii="Arial" w:eastAsia="Times New Roman" w:hAnsi="Arial" w:cs="Arial"/>
          <w:b/>
          <w:i/>
          <w:iCs/>
          <w:sz w:val="24"/>
          <w:szCs w:val="24"/>
          <w:lang w:eastAsia="es-ES"/>
        </w:rPr>
        <w:t xml:space="preserve"> </w:t>
      </w:r>
      <w:r w:rsidRPr="00C0344A">
        <w:rPr>
          <w:rFonts w:ascii="Arial" w:eastAsia="Times New Roman" w:hAnsi="Arial" w:cs="Arial"/>
          <w:bCs/>
          <w:i/>
          <w:iCs/>
          <w:sz w:val="24"/>
          <w:szCs w:val="24"/>
          <w:lang w:eastAsia="es-ES"/>
        </w:rPr>
        <w:t xml:space="preserve">para imponerse </w:t>
      </w:r>
      <w:r>
        <w:rPr>
          <w:rFonts w:ascii="Arial" w:eastAsia="Times New Roman" w:hAnsi="Arial" w:cs="Arial"/>
          <w:bCs/>
          <w:i/>
          <w:iCs/>
          <w:sz w:val="24"/>
          <w:szCs w:val="24"/>
          <w:lang w:eastAsia="es-ES"/>
        </w:rPr>
        <w:t xml:space="preserve">de los autos y recibir notificaciones a las personas que para tal efecto faculta, toda vez, que no acreditan contar con cedula de licenciados en derecho, legalmente expedidas por autoridad competente, y que las mismas se encuentren inscritas en el Libro de Registros de cedulas y licenciados en Derecho, de la Secretaría General de Acuerdos de este Tribunal, lo anterior conforme a lo dispuesto en el artículo 148, último párrafo de la Ley de Procedimiento y Justicia Administrativa para el Estado de Oaxaca. - - - - - - - - - - - - - - </w:t>
      </w:r>
    </w:p>
    <w:p w14:paraId="7BAB677D" w14:textId="77777777" w:rsidR="005977CD" w:rsidRDefault="005977CD" w:rsidP="005977C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Por otra parte, y ante el desechamiento se deja a disposición de </w:t>
      </w:r>
      <w:r w:rsidRPr="00C0344A">
        <w:rPr>
          <w:rFonts w:ascii="Arial" w:eastAsia="Times New Roman" w:hAnsi="Arial" w:cs="Arial"/>
          <w:bCs/>
          <w:i/>
          <w:iCs/>
          <w:sz w:val="24"/>
          <w:szCs w:val="24"/>
          <w:lang w:eastAsia="es-ES"/>
        </w:rPr>
        <w:t>la</w:t>
      </w:r>
      <w:r w:rsidRPr="00C0344A">
        <w:rPr>
          <w:rFonts w:ascii="Arial" w:eastAsia="Times New Roman" w:hAnsi="Arial" w:cs="Arial"/>
          <w:b/>
          <w:i/>
          <w:iCs/>
          <w:sz w:val="24"/>
          <w:szCs w:val="24"/>
          <w:lang w:eastAsia="es-ES"/>
        </w:rPr>
        <w:t xml:space="preserve"> promovente</w:t>
      </w:r>
      <w:r>
        <w:rPr>
          <w:rFonts w:ascii="Arial" w:eastAsia="Times New Roman" w:hAnsi="Arial" w:cs="Arial"/>
          <w:bCs/>
          <w:i/>
          <w:iCs/>
          <w:sz w:val="24"/>
          <w:szCs w:val="24"/>
          <w:lang w:eastAsia="es-ES"/>
        </w:rPr>
        <w:t xml:space="preserve"> las copias certificadas por Notario Público, que exhibió con escrito de demanda, para que en el término de </w:t>
      </w:r>
      <w:r w:rsidRPr="00AB1CF7">
        <w:rPr>
          <w:rFonts w:ascii="Arial" w:eastAsia="Times New Roman" w:hAnsi="Arial" w:cs="Arial"/>
          <w:b/>
          <w:i/>
          <w:iCs/>
          <w:sz w:val="24"/>
          <w:szCs w:val="24"/>
          <w:lang w:eastAsia="es-ES"/>
        </w:rPr>
        <w:t>tres días hábiles</w:t>
      </w:r>
      <w:r>
        <w:rPr>
          <w:rFonts w:ascii="Arial" w:eastAsia="Times New Roman" w:hAnsi="Arial" w:cs="Arial"/>
          <w:bCs/>
          <w:i/>
          <w:iCs/>
          <w:sz w:val="24"/>
          <w:szCs w:val="24"/>
          <w:lang w:eastAsia="es-ES"/>
        </w:rPr>
        <w:t xml:space="preserve"> contados a partir del día hábil siguiente aquel en que surta efectos su notificación, y si a sus intereses conviene, comparezca ante la Secretaria de Acuerdos de esta Sala Unitaria, a recogerlos, previa diligencia forma (sic), y copia certificada que se agregue a los autos; apercibida que para el caso de omisión, se remitirá el presente expediente al archivo con que cuenta el Tribunal, con los documentos antes descritos; lo anterior, de conformidad con lo establecido por el artículo 127 del Código de Procedimientos Civiles, aplicado supletoriamente a la Ley de la Materia (sic). - - - - - - - - - - - - - </w:t>
      </w:r>
    </w:p>
    <w:p w14:paraId="79AE105B" w14:textId="77777777" w:rsidR="005977CD" w:rsidRDefault="005977CD" w:rsidP="005977C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Por último, una vez que cause estado el presente auto, </w:t>
      </w:r>
      <w:r w:rsidRPr="00CE2B02">
        <w:rPr>
          <w:rFonts w:ascii="Arial" w:eastAsia="Times New Roman" w:hAnsi="Arial" w:cs="Arial"/>
          <w:b/>
          <w:i/>
          <w:iCs/>
          <w:sz w:val="24"/>
          <w:szCs w:val="24"/>
          <w:lang w:eastAsia="es-ES"/>
        </w:rPr>
        <w:t>se ordenara dar de baja del libro de control de expedientes de esta Sala Unitaria</w:t>
      </w:r>
      <w:r>
        <w:rPr>
          <w:rFonts w:ascii="Arial" w:eastAsia="Times New Roman" w:hAnsi="Arial" w:cs="Arial"/>
          <w:bCs/>
          <w:i/>
          <w:iCs/>
          <w:sz w:val="24"/>
          <w:szCs w:val="24"/>
          <w:lang w:eastAsia="es-ES"/>
        </w:rPr>
        <w:t xml:space="preserve"> y en consecuencia </w:t>
      </w:r>
      <w:r w:rsidRPr="00CE2B02">
        <w:rPr>
          <w:rFonts w:ascii="Arial" w:eastAsia="Times New Roman" w:hAnsi="Arial" w:cs="Arial"/>
          <w:b/>
          <w:i/>
          <w:iCs/>
          <w:sz w:val="24"/>
          <w:szCs w:val="24"/>
          <w:lang w:eastAsia="es-ES"/>
        </w:rPr>
        <w:t>su archivo</w:t>
      </w:r>
      <w:r>
        <w:rPr>
          <w:rFonts w:ascii="Arial" w:eastAsia="Times New Roman" w:hAnsi="Arial" w:cs="Arial"/>
          <w:bCs/>
          <w:i/>
          <w:iCs/>
          <w:sz w:val="24"/>
          <w:szCs w:val="24"/>
          <w:lang w:eastAsia="es-ES"/>
        </w:rPr>
        <w:t xml:space="preserve">, y mediante oficio que se gire a la Secretaría General de Acuerdos de este Tribunal, remítase el original de expediente </w:t>
      </w:r>
      <w:r>
        <w:rPr>
          <w:rFonts w:ascii="Arial" w:eastAsia="Times New Roman" w:hAnsi="Arial" w:cs="Arial"/>
          <w:bCs/>
          <w:i/>
          <w:iCs/>
          <w:sz w:val="24"/>
          <w:szCs w:val="24"/>
          <w:lang w:eastAsia="es-ES"/>
        </w:rPr>
        <w:lastRenderedPageBreak/>
        <w:t xml:space="preserve">al Archivo General de este Tribunal, de conformidad con lo dispuesto por los artículos 57, 58, (sic) y 62 del Reglamento Interno del Tribunal de Justicia Administrativa del Estado de Oaxaca. - - - - - - - - - - - - - - - - - - - - - - - - - - - - - - - - - - - - - - Notifíquese personalmente a la promovente, en términos de los artículos 172 fracción I y 173 fracción I, de la Ley de Procedimiento y Justicia Administrativa para el Estado de Oaxaca. - - - - - - - - - - - - - - - - - - - - - - - - - - - - - - - - - - - - - - </w:t>
      </w:r>
    </w:p>
    <w:p w14:paraId="25B66D45" w14:textId="77777777" w:rsidR="005977CD" w:rsidRDefault="005977CD" w:rsidP="005977CD">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 - - - - - - - - - - -</w:t>
      </w:r>
    </w:p>
    <w:p w14:paraId="628AAD6E" w14:textId="77777777" w:rsidR="005977CD" w:rsidRPr="00CB6405" w:rsidRDefault="005977CD" w:rsidP="005977C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D2C4C18" w14:textId="77777777" w:rsidR="005977CD" w:rsidRDefault="005977CD" w:rsidP="005977CD">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artículos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artículos</w:t>
      </w:r>
      <w:r w:rsidRPr="00403CFB">
        <w:rPr>
          <w:rFonts w:ascii="Arial" w:hAnsi="Arial" w:cs="Arial"/>
          <w:bCs/>
          <w:iCs/>
          <w:sz w:val="26"/>
          <w:szCs w:val="26"/>
          <w:lang w:eastAsia="es-ES"/>
        </w:rPr>
        <w:t xml:space="preserve"> 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w:t>
      </w:r>
      <w:r w:rsidRPr="00535FF3">
        <w:rPr>
          <w:rFonts w:ascii="Arial" w:hAnsi="Arial" w:cs="Arial"/>
          <w:sz w:val="26"/>
          <w:szCs w:val="26"/>
        </w:rPr>
        <w:t xml:space="preserve"> </w:t>
      </w:r>
      <w:r>
        <w:rPr>
          <w:rFonts w:ascii="Arial" w:hAnsi="Arial" w:cs="Arial"/>
          <w:sz w:val="26"/>
          <w:szCs w:val="26"/>
        </w:rPr>
        <w:t>del acuerdo de diez de junio de dos mil diecinueve</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Pr>
          <w:rFonts w:ascii="Arial" w:hAnsi="Arial" w:cs="Arial"/>
          <w:b/>
          <w:sz w:val="26"/>
          <w:szCs w:val="26"/>
        </w:rPr>
        <w:t>0056/2019</w:t>
      </w:r>
      <w:r w:rsidRPr="00DD4D5B">
        <w:rPr>
          <w:rFonts w:ascii="Arial" w:hAnsi="Arial" w:cs="Arial"/>
          <w:b/>
          <w:bCs/>
          <w:iCs/>
          <w:sz w:val="26"/>
          <w:szCs w:val="26"/>
        </w:rPr>
        <w:t>.</w:t>
      </w:r>
    </w:p>
    <w:p w14:paraId="27702D94" w14:textId="77777777" w:rsidR="005977CD" w:rsidRDefault="005977CD" w:rsidP="005977C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15916028" w14:textId="77777777" w:rsidR="005977CD" w:rsidRDefault="005977CD" w:rsidP="005977CD">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esis emitida por los Tribunales Colegiados de Circuito, con número de registro 254280, publicada en la Gaceta del Semanario Judicial de la Federación, Volumen 81, Sexta Parte, Séptima Época, pagina 23, bajo el rubro y texto siguiente:</w:t>
      </w:r>
    </w:p>
    <w:p w14:paraId="0522ACC3" w14:textId="77777777" w:rsidR="005977CD" w:rsidRDefault="005977CD" w:rsidP="005977CD">
      <w:pPr>
        <w:widowControl w:val="0"/>
        <w:tabs>
          <w:tab w:val="left" w:pos="7938"/>
        </w:tabs>
        <w:spacing w:after="0" w:line="360" w:lineRule="auto"/>
        <w:ind w:right="18" w:firstLine="709"/>
        <w:jc w:val="both"/>
        <w:rPr>
          <w:rFonts w:ascii="Arial" w:hAnsi="Arial" w:cs="Arial"/>
          <w:sz w:val="26"/>
          <w:szCs w:val="26"/>
        </w:rPr>
      </w:pPr>
    </w:p>
    <w:p w14:paraId="1E4A5A3B" w14:textId="77777777" w:rsidR="005977CD" w:rsidRDefault="005977CD" w:rsidP="005977CD">
      <w:pPr>
        <w:ind w:left="1134" w:right="900"/>
        <w:jc w:val="both"/>
        <w:rPr>
          <w:rFonts w:ascii="Arial" w:eastAsia="Times New Roman" w:hAnsi="Arial" w:cs="Arial"/>
          <w:sz w:val="26"/>
          <w:szCs w:val="26"/>
          <w:lang w:val="es-MX" w:eastAsia="es-MX"/>
        </w:rPr>
      </w:pPr>
      <w:r>
        <w:rPr>
          <w:rFonts w:ascii="Arial" w:eastAsia="Times New Roman" w:hAnsi="Arial" w:cs="Arial"/>
          <w:b/>
          <w:bCs/>
          <w:sz w:val="26"/>
          <w:szCs w:val="26"/>
          <w:lang w:val="es-MX" w:eastAsia="es-MX"/>
        </w:rPr>
        <w:lastRenderedPageBreak/>
        <w:t>“</w:t>
      </w:r>
      <w:r>
        <w:rPr>
          <w:rFonts w:ascii="Arial" w:eastAsia="Times New Roman" w:hAnsi="Arial" w:cs="Arial"/>
          <w:b/>
          <w:i/>
          <w:sz w:val="26"/>
          <w:szCs w:val="26"/>
          <w:lang w:val="es-MX" w:eastAsia="es-MX"/>
        </w:rPr>
        <w:t xml:space="preserve">CONCEPTOS DE VIOLACIÓN. NO ES OBLIGATORIO TRANSCRIBIRLOS EN LA SENTENCIA. </w:t>
      </w:r>
      <w:r>
        <w:rPr>
          <w:rFonts w:ascii="Arial" w:eastAsia="Times New Roman" w:hAnsi="Arial" w:cs="Arial"/>
          <w:i/>
          <w:sz w:val="26"/>
          <w:szCs w:val="26"/>
          <w:lang w:val="es-MX" w:eastAsia="es-MX"/>
        </w:rPr>
        <w:t>Aun cuando sea verdad que el juzgador no transcriba en su integridad los conceptos de violación externados por la quejosa en su demanda de garantías, a pesar de indicarlo así en su sentencia, también lo </w:t>
      </w:r>
      <w:r>
        <w:rPr>
          <w:rFonts w:ascii="Arial" w:eastAsia="Times New Roman" w:hAnsi="Arial" w:cs="Arial"/>
          <w:bCs/>
          <w:i/>
          <w:sz w:val="26"/>
          <w:szCs w:val="26"/>
          <w:bdr w:val="none" w:sz="0" w:space="0" w:color="auto" w:frame="1"/>
          <w:lang w:val="es-MX" w:eastAsia="es-MX"/>
        </w:rPr>
        <w:t>es</w:t>
      </w:r>
      <w:r>
        <w:rPr>
          <w:rFonts w:ascii="Arial" w:eastAsia="Times New Roman" w:hAnsi="Arial" w:cs="Arial"/>
          <w:i/>
          <w:sz w:val="26"/>
          <w:szCs w:val="2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sz w:val="26"/>
          <w:szCs w:val="26"/>
          <w:lang w:val="es-MX" w:eastAsia="es-MX"/>
        </w:rPr>
        <w:t>(sic).”</w:t>
      </w:r>
    </w:p>
    <w:p w14:paraId="2574556A" w14:textId="77777777" w:rsidR="005977CD" w:rsidRDefault="005977CD" w:rsidP="005977CD">
      <w:pPr>
        <w:spacing w:after="0" w:line="360" w:lineRule="auto"/>
        <w:ind w:firstLine="708"/>
        <w:jc w:val="both"/>
        <w:rPr>
          <w:rFonts w:ascii="Arial" w:hAnsi="Arial" w:cs="Arial"/>
          <w:bCs/>
          <w:iCs/>
          <w:sz w:val="26"/>
          <w:szCs w:val="26"/>
          <w:lang w:val="es-MX"/>
        </w:rPr>
      </w:pPr>
      <w:r>
        <w:rPr>
          <w:rFonts w:ascii="Arial" w:hAnsi="Arial" w:cs="Arial"/>
          <w:b/>
          <w:bCs/>
          <w:iCs/>
          <w:sz w:val="26"/>
          <w:szCs w:val="26"/>
          <w:lang w:val="es-MX"/>
        </w:rPr>
        <w:t xml:space="preserve">TERCERO.- </w:t>
      </w:r>
      <w:r w:rsidRPr="00FB2B04">
        <w:rPr>
          <w:rFonts w:ascii="Arial" w:hAnsi="Arial" w:cs="Arial"/>
          <w:bCs/>
          <w:iCs/>
          <w:sz w:val="26"/>
          <w:szCs w:val="26"/>
          <w:lang w:val="es-MX"/>
        </w:rPr>
        <w:t xml:space="preserve">La recurrente </w:t>
      </w:r>
      <w:r>
        <w:rPr>
          <w:rFonts w:ascii="Arial" w:hAnsi="Arial" w:cs="Arial"/>
          <w:bCs/>
          <w:iCs/>
          <w:sz w:val="26"/>
          <w:szCs w:val="26"/>
          <w:lang w:val="es-MX"/>
        </w:rPr>
        <w:t>argumenta</w:t>
      </w:r>
      <w:r w:rsidRPr="00FB2B04">
        <w:rPr>
          <w:rFonts w:ascii="Arial" w:hAnsi="Arial" w:cs="Arial"/>
          <w:bCs/>
          <w:iCs/>
          <w:sz w:val="26"/>
          <w:szCs w:val="26"/>
          <w:lang w:val="es-MX"/>
        </w:rPr>
        <w:t xml:space="preserve"> que </w:t>
      </w:r>
      <w:r>
        <w:rPr>
          <w:rFonts w:ascii="Arial" w:hAnsi="Arial" w:cs="Arial"/>
          <w:bCs/>
          <w:iCs/>
          <w:sz w:val="26"/>
          <w:szCs w:val="26"/>
          <w:lang w:val="es-MX"/>
        </w:rPr>
        <w:t xml:space="preserve">le agravia la indebida fundamentación y motivación de la </w:t>
      </w:r>
      <w:r w:rsidRPr="008E385A">
        <w:rPr>
          <w:rFonts w:ascii="Arial" w:hAnsi="Arial" w:cs="Arial"/>
          <w:bCs/>
          <w:i/>
          <w:iCs/>
          <w:sz w:val="26"/>
          <w:szCs w:val="26"/>
          <w:lang w:val="es-MX"/>
        </w:rPr>
        <w:t>A quo</w:t>
      </w:r>
      <w:r>
        <w:rPr>
          <w:rFonts w:ascii="Arial" w:hAnsi="Arial" w:cs="Arial"/>
          <w:bCs/>
          <w:iCs/>
          <w:sz w:val="26"/>
          <w:szCs w:val="26"/>
          <w:lang w:val="es-MX"/>
        </w:rPr>
        <w:t>, pues viola lo dispuesto en los artículos 207 fracción II y 166 de la Ley de Procedimiento y Justicia Administrativa para el Estado de Oaxaca, así como lo establecido en los artículos 14 y 16 de la Constitución Política de los Estados Unidos Mexicanos, ya que en el acuerdo de fecha diez de junio de dos mil diecinueve, argumenta que el plazo de treinta días hábiles que establece el artículo 166 de la Ley de Procedimiento y Justicia Administrativa para el Estado de Oaxaca, ya transcurrió y por ende desecha la demanda de nulidad.</w:t>
      </w:r>
    </w:p>
    <w:p w14:paraId="7AFD7E06" w14:textId="77777777" w:rsidR="005977CD" w:rsidRDefault="005977CD" w:rsidP="005977CD">
      <w:pPr>
        <w:spacing w:after="0" w:line="360" w:lineRule="auto"/>
        <w:ind w:firstLine="708"/>
        <w:jc w:val="both"/>
        <w:rPr>
          <w:rFonts w:ascii="Arial" w:hAnsi="Arial" w:cs="Arial"/>
          <w:bCs/>
          <w:iCs/>
          <w:sz w:val="26"/>
          <w:szCs w:val="26"/>
          <w:lang w:val="es-MX"/>
        </w:rPr>
      </w:pPr>
      <w:r>
        <w:rPr>
          <w:rFonts w:ascii="Arial" w:hAnsi="Arial" w:cs="Arial"/>
          <w:bCs/>
          <w:iCs/>
          <w:sz w:val="26"/>
          <w:szCs w:val="26"/>
          <w:lang w:val="es-MX"/>
        </w:rPr>
        <w:t xml:space="preserve">Continúa alegando la inconforme que la </w:t>
      </w:r>
      <w:r w:rsidRPr="00001F59">
        <w:rPr>
          <w:rFonts w:ascii="Arial" w:hAnsi="Arial" w:cs="Arial"/>
          <w:bCs/>
          <w:i/>
          <w:iCs/>
          <w:sz w:val="26"/>
          <w:szCs w:val="26"/>
          <w:lang w:val="es-MX"/>
        </w:rPr>
        <w:t>A quo</w:t>
      </w:r>
      <w:r>
        <w:rPr>
          <w:rFonts w:ascii="Arial" w:hAnsi="Arial" w:cs="Arial"/>
          <w:bCs/>
          <w:iCs/>
          <w:sz w:val="26"/>
          <w:szCs w:val="26"/>
          <w:lang w:val="es-MX"/>
        </w:rPr>
        <w:t xml:space="preserve"> pasa por alto que en la demanda, en el capítulo </w:t>
      </w:r>
      <w:r w:rsidRPr="00001F59">
        <w:rPr>
          <w:rFonts w:ascii="Arial" w:hAnsi="Arial" w:cs="Arial"/>
          <w:bCs/>
          <w:i/>
          <w:iCs/>
          <w:sz w:val="26"/>
          <w:szCs w:val="26"/>
          <w:lang w:val="es-MX"/>
        </w:rPr>
        <w:t>“VIII.- PROCEDENCIA DEL JUICIO”,</w:t>
      </w:r>
      <w:r>
        <w:rPr>
          <w:rFonts w:ascii="Arial" w:hAnsi="Arial" w:cs="Arial"/>
          <w:bCs/>
          <w:iCs/>
          <w:sz w:val="26"/>
          <w:szCs w:val="26"/>
          <w:lang w:val="es-MX"/>
        </w:rPr>
        <w:t xml:space="preserve"> se le manifestó que tratándose de derechos a una pensión, éstos son imprescriptibles, pues por su naturaleza son de tracto sucesivo y se actualizan de momento a momento, de ahí que debe entenderse que es imprescriptible el derecho para obtener su fijación correcta, por lo que la acción para combatir su indebida cuantificación puede intentarse en cualquier tiempo al percatarse el agraviado de su incorrección.</w:t>
      </w:r>
    </w:p>
    <w:p w14:paraId="69D8A70F" w14:textId="77777777" w:rsidR="005977CD" w:rsidRDefault="005977CD" w:rsidP="005977CD">
      <w:pPr>
        <w:spacing w:after="0" w:line="360" w:lineRule="auto"/>
        <w:ind w:firstLine="708"/>
        <w:jc w:val="both"/>
        <w:rPr>
          <w:rFonts w:ascii="Arial" w:hAnsi="Arial" w:cs="Arial"/>
          <w:bCs/>
          <w:iCs/>
          <w:sz w:val="26"/>
          <w:szCs w:val="26"/>
          <w:lang w:val="es-MX"/>
        </w:rPr>
      </w:pPr>
      <w:r>
        <w:rPr>
          <w:rFonts w:ascii="Arial" w:hAnsi="Arial" w:cs="Arial"/>
          <w:bCs/>
          <w:iCs/>
          <w:sz w:val="26"/>
          <w:szCs w:val="26"/>
          <w:lang w:val="es-MX"/>
        </w:rPr>
        <w:t>Sigue diciendo la recurrente que las acciones que tienden a obtener dicha prestación o la fijación correcta de la misma, no prescriben, pues la privación del pago de la pensión o el otorgamiento de una inferior a la que realmente corresponde, son actos de tracto sucesivo que se producen día a día, por lo que en realidad el término para ejercitar tales acciones comienza a computarse todos los días, lo que hace que sea imprescriptible el derecho a ejercitarlas.</w:t>
      </w:r>
    </w:p>
    <w:p w14:paraId="378DE675" w14:textId="77777777" w:rsidR="005977CD" w:rsidRDefault="005977CD" w:rsidP="005977CD">
      <w:pPr>
        <w:spacing w:before="240" w:line="360" w:lineRule="auto"/>
        <w:ind w:firstLine="708"/>
        <w:jc w:val="both"/>
        <w:rPr>
          <w:rFonts w:ascii="Arial" w:hAnsi="Arial" w:cs="Arial"/>
          <w:b/>
          <w:bCs/>
          <w:iCs/>
          <w:sz w:val="26"/>
          <w:szCs w:val="26"/>
        </w:rPr>
      </w:pPr>
      <w:r w:rsidRPr="00E5261F">
        <w:rPr>
          <w:rFonts w:ascii="Arial" w:hAnsi="Arial" w:cs="Arial"/>
          <w:bCs/>
          <w:iCs/>
          <w:sz w:val="26"/>
          <w:szCs w:val="26"/>
        </w:rPr>
        <w:t>Esta</w:t>
      </w:r>
      <w:r>
        <w:rPr>
          <w:rFonts w:ascii="Arial" w:hAnsi="Arial" w:cs="Arial"/>
          <w:bCs/>
          <w:iCs/>
          <w:sz w:val="26"/>
          <w:szCs w:val="26"/>
        </w:rPr>
        <w:t xml:space="preserve"> Sala Superior estima que los</w:t>
      </w:r>
      <w:r w:rsidRPr="00E5261F">
        <w:rPr>
          <w:rFonts w:ascii="Arial" w:hAnsi="Arial" w:cs="Arial"/>
          <w:bCs/>
          <w:iCs/>
          <w:sz w:val="26"/>
          <w:szCs w:val="26"/>
        </w:rPr>
        <w:t xml:space="preserve"> argumentos </w:t>
      </w:r>
      <w:r>
        <w:rPr>
          <w:rFonts w:ascii="Arial" w:hAnsi="Arial" w:cs="Arial"/>
          <w:bCs/>
          <w:iCs/>
          <w:sz w:val="26"/>
          <w:szCs w:val="26"/>
        </w:rPr>
        <w:t xml:space="preserve">esgrimidos son </w:t>
      </w:r>
      <w:r w:rsidRPr="00C60530">
        <w:rPr>
          <w:rFonts w:ascii="Arial" w:hAnsi="Arial" w:cs="Arial"/>
          <w:b/>
          <w:bCs/>
          <w:iCs/>
          <w:sz w:val="26"/>
          <w:szCs w:val="26"/>
        </w:rPr>
        <w:t xml:space="preserve">infundados. </w:t>
      </w:r>
    </w:p>
    <w:p w14:paraId="59CEE195" w14:textId="4B6786E6" w:rsidR="005977CD" w:rsidRDefault="005977CD" w:rsidP="005977CD">
      <w:pPr>
        <w:spacing w:before="240" w:line="360" w:lineRule="auto"/>
        <w:ind w:firstLine="708"/>
        <w:jc w:val="both"/>
        <w:rPr>
          <w:rFonts w:ascii="Arial" w:hAnsi="Arial" w:cs="Arial"/>
          <w:color w:val="000000"/>
          <w:sz w:val="26"/>
          <w:szCs w:val="26"/>
        </w:rPr>
      </w:pPr>
      <w:r>
        <w:rPr>
          <w:rFonts w:ascii="Arial" w:hAnsi="Arial" w:cs="Arial"/>
          <w:bCs/>
          <w:iCs/>
          <w:sz w:val="26"/>
          <w:szCs w:val="26"/>
        </w:rPr>
        <w:lastRenderedPageBreak/>
        <w:t xml:space="preserve">En primer término, es oportuno precisar que la recurrente demandó en el juicio natural la resolución contenida en el oficio número </w:t>
      </w:r>
      <w:r w:rsidR="00431C30">
        <w:rPr>
          <w:rFonts w:ascii="Arial" w:hAnsi="Arial" w:cs="Arial"/>
          <w:b/>
          <w:bCs/>
          <w:sz w:val="26"/>
          <w:szCs w:val="26"/>
        </w:rPr>
        <w:t>**********</w:t>
      </w:r>
      <w:r w:rsidR="00431C30">
        <w:rPr>
          <w:rFonts w:ascii="Arial" w:hAnsi="Arial" w:cs="Arial"/>
          <w:b/>
          <w:bCs/>
          <w:sz w:val="26"/>
          <w:szCs w:val="26"/>
        </w:rPr>
        <w:t xml:space="preserve"> </w:t>
      </w:r>
      <w:r>
        <w:rPr>
          <w:rFonts w:ascii="Arial" w:hAnsi="Arial" w:cs="Arial"/>
          <w:color w:val="000000"/>
          <w:sz w:val="26"/>
          <w:szCs w:val="26"/>
        </w:rPr>
        <w:t xml:space="preserve">de fecha treinta de diciembre de dos mil quince, emitido por el Director General de la Oficina de Pensiones del Estado de Oaxaca, por el cual se le concedió la jubilación al 100% del sueldo base que percibió como un analista especializado en cantidad de </w:t>
      </w:r>
      <w:r w:rsidR="00431C30">
        <w:rPr>
          <w:rFonts w:ascii="Arial" w:hAnsi="Arial" w:cs="Arial"/>
          <w:b/>
          <w:bCs/>
          <w:sz w:val="26"/>
          <w:szCs w:val="26"/>
        </w:rPr>
        <w:t>**********</w:t>
      </w:r>
      <w:r w:rsidR="00431C30">
        <w:rPr>
          <w:rFonts w:ascii="Arial" w:hAnsi="Arial" w:cs="Arial"/>
          <w:b/>
          <w:bCs/>
          <w:sz w:val="26"/>
          <w:szCs w:val="26"/>
        </w:rPr>
        <w:t xml:space="preserve"> </w:t>
      </w:r>
      <w:r>
        <w:rPr>
          <w:rFonts w:ascii="Arial" w:hAnsi="Arial" w:cs="Arial"/>
          <w:color w:val="000000"/>
          <w:sz w:val="26"/>
          <w:szCs w:val="26"/>
        </w:rPr>
        <w:t>pero sin integrar a dicho monto, las prestaciones previstas en el artículo 54 de la Ley de Pensiones para los Trabajadores del Gobierno del Estado de Oaxaca, que se les otorgan a los trabajadores que fueron de base, como lo son: previsión social múltiple, despensa, vida cara, quinquenios, aguinaldo, estímulo del día del jubilado, día de las madres, y canasta navideña. Cabe agregar que la actora manifestó en su demanda de nulidad, que el acto impugnado le fue entregado el día veintisiete de julio de dos mil dieciséis.</w:t>
      </w:r>
    </w:p>
    <w:p w14:paraId="70B0EB1D" w14:textId="77777777" w:rsidR="005977CD" w:rsidRDefault="005977CD" w:rsidP="005977CD">
      <w:pPr>
        <w:spacing w:before="240" w:line="360" w:lineRule="auto"/>
        <w:ind w:firstLine="708"/>
        <w:jc w:val="both"/>
        <w:rPr>
          <w:rFonts w:ascii="Arial" w:hAnsi="Arial" w:cs="Arial"/>
          <w:color w:val="000000"/>
          <w:sz w:val="26"/>
          <w:szCs w:val="26"/>
        </w:rPr>
      </w:pPr>
      <w:r>
        <w:rPr>
          <w:rFonts w:ascii="Arial" w:hAnsi="Arial" w:cs="Arial"/>
          <w:color w:val="000000"/>
          <w:sz w:val="26"/>
          <w:szCs w:val="26"/>
        </w:rPr>
        <w:t>En ese mismo orden de ideas, la actora expresó en su escrito de demanda lo siguiente:</w:t>
      </w:r>
    </w:p>
    <w:p w14:paraId="4E38BD82" w14:textId="77777777" w:rsidR="005977CD" w:rsidRPr="00EB41F8" w:rsidRDefault="005977CD" w:rsidP="005977CD">
      <w:pPr>
        <w:spacing w:before="240" w:line="360" w:lineRule="auto"/>
        <w:ind w:left="567" w:right="616"/>
        <w:jc w:val="both"/>
        <w:rPr>
          <w:rFonts w:ascii="Arial" w:hAnsi="Arial" w:cs="Arial"/>
          <w:i/>
          <w:color w:val="000000"/>
          <w:sz w:val="24"/>
          <w:szCs w:val="24"/>
        </w:rPr>
      </w:pPr>
      <w:r w:rsidRPr="00EB41F8">
        <w:rPr>
          <w:rFonts w:ascii="Arial" w:hAnsi="Arial" w:cs="Arial"/>
          <w:i/>
          <w:color w:val="000000"/>
          <w:sz w:val="24"/>
          <w:szCs w:val="24"/>
        </w:rPr>
        <w:t>“Se pone de manifiesto que el acto administrativo que se controvierte es ilegal ya que no cumple cabalmente con los elementos y requisitos que la ley prevé, de conformidad con lo dispuesto por el artículo 17 de la Ley de Procedimiento y Justicia Administrativa para el Estado de Oaxaca, pues es con éste documento con el que me doy cuenta fehacientemente de que el Consejo Directivo y el Director General, ambos de la Oficina de Pensiones del Estado de Oaxaca materializan la afectación a mi esfera jurídica y la flagrante violación de mis garantías individuales, pues los motivos sobre los cuales se establecen los términos para el otorgamiento de mi pensión por jubilación, el monto de la misma, las condiciones y términos en que me fue concedida inicialmente, y sus alcances jurídicos contravienen los Derechos  Humanos previstos en la Constitución Política de los Estados Unidos Mexicanos, así como el Convenio número 102 de la Organización Internacional del Trabajo que más adelante se señalan; ya que fueron omisos y no integraron al monto de mi pensión las cantidades relativas a las prestaciones de previsión social múltiple, despensa, vida cara, quinquenios, aguinaldo, estímulo del día del jubilado, día de las madres y canasta navideña…”</w:t>
      </w:r>
    </w:p>
    <w:p w14:paraId="71CAF55F" w14:textId="5E536C1A" w:rsidR="005977CD" w:rsidRDefault="005977CD" w:rsidP="005977CD">
      <w:pPr>
        <w:spacing w:before="240" w:line="360" w:lineRule="auto"/>
        <w:ind w:firstLine="567"/>
        <w:jc w:val="both"/>
        <w:rPr>
          <w:rFonts w:ascii="Arial" w:hAnsi="Arial" w:cs="Arial"/>
          <w:color w:val="000000"/>
          <w:sz w:val="26"/>
          <w:szCs w:val="26"/>
        </w:rPr>
      </w:pPr>
      <w:r>
        <w:rPr>
          <w:rFonts w:ascii="Arial" w:hAnsi="Arial" w:cs="Arial"/>
          <w:color w:val="000000"/>
          <w:sz w:val="26"/>
          <w:szCs w:val="26"/>
        </w:rPr>
        <w:t xml:space="preserve">Como se advierte de la transcripción anterior, la actora demandó la  nulidad del oficio </w:t>
      </w:r>
      <w:r w:rsidR="00431C30">
        <w:rPr>
          <w:rFonts w:ascii="Arial" w:hAnsi="Arial" w:cs="Arial"/>
          <w:b/>
          <w:bCs/>
          <w:sz w:val="26"/>
          <w:szCs w:val="26"/>
        </w:rPr>
        <w:t>**********</w:t>
      </w:r>
      <w:r w:rsidR="00431C30">
        <w:rPr>
          <w:rFonts w:ascii="Arial" w:hAnsi="Arial" w:cs="Arial"/>
          <w:b/>
          <w:bCs/>
          <w:sz w:val="26"/>
          <w:szCs w:val="26"/>
        </w:rPr>
        <w:t xml:space="preserve"> </w:t>
      </w:r>
      <w:r>
        <w:rPr>
          <w:rFonts w:ascii="Arial" w:hAnsi="Arial" w:cs="Arial"/>
          <w:color w:val="000000"/>
          <w:sz w:val="26"/>
          <w:szCs w:val="26"/>
        </w:rPr>
        <w:t xml:space="preserve">de fecha treinta de diciembre de dos mil quince, porque estima que este acto administrativo carece de los elementos y requisitos de validez previstos en el artículo 17 de la Ley de </w:t>
      </w:r>
      <w:r>
        <w:rPr>
          <w:rFonts w:ascii="Arial" w:hAnsi="Arial" w:cs="Arial"/>
          <w:color w:val="000000"/>
          <w:sz w:val="26"/>
          <w:szCs w:val="26"/>
        </w:rPr>
        <w:lastRenderedPageBreak/>
        <w:t>Procedimiento y Justicia Administrativa para el Estado de Oaxaca, que se invoca enseguida:</w:t>
      </w:r>
    </w:p>
    <w:p w14:paraId="123432DA"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Pr>
          <w:rFonts w:ascii="Arial" w:hAnsi="Arial" w:cs="Arial"/>
          <w:b/>
          <w:bCs/>
          <w:i/>
          <w:color w:val="000000"/>
          <w:sz w:val="24"/>
          <w:szCs w:val="24"/>
        </w:rPr>
        <w:t>“</w:t>
      </w:r>
      <w:r w:rsidRPr="00FD30DE">
        <w:rPr>
          <w:rFonts w:ascii="Arial" w:hAnsi="Arial" w:cs="Arial"/>
          <w:b/>
          <w:bCs/>
          <w:i/>
          <w:color w:val="000000"/>
          <w:sz w:val="24"/>
          <w:szCs w:val="24"/>
        </w:rPr>
        <w:t xml:space="preserve">ARTÍCULO 17.- </w:t>
      </w:r>
      <w:r w:rsidRPr="00FD30DE">
        <w:rPr>
          <w:rFonts w:ascii="Arial" w:hAnsi="Arial" w:cs="Arial"/>
          <w:i/>
          <w:color w:val="000000"/>
          <w:sz w:val="24"/>
          <w:szCs w:val="24"/>
        </w:rPr>
        <w:t xml:space="preserve">Son elementos y requisitos de validez del acto administrativo: </w:t>
      </w:r>
    </w:p>
    <w:p w14:paraId="778F9A0D"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I. Ser expedido por órgano competente, a través de servidor público, y en caso de que dicho órgano fuere colegiado, reúna las formalidades de la ley o decreto en que se funde para emitirlo; </w:t>
      </w:r>
    </w:p>
    <w:p w14:paraId="5B15E227"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II. Que el objeto materia del mismo, sea determinado o determinable; preciso en cuanto a las circunstancias de tiempo y lugar, y previsto por la ley; </w:t>
      </w:r>
    </w:p>
    <w:p w14:paraId="7191CEB4"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III. Cumplir con la finalidad de interés público, regulado por las normas en que se concreta, sin que puedan perseguirse otros fines distintos; </w:t>
      </w:r>
    </w:p>
    <w:p w14:paraId="01B3B5BF"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IV. Constar por escrito y con la firma autógrafa de la autoridad que lo expida, salvo en aquellos casos en que la ley autorice otra forma de expedición o se trate de negativa ficta; </w:t>
      </w:r>
    </w:p>
    <w:p w14:paraId="665018A8"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V. Estar fundado y motivado; </w:t>
      </w:r>
    </w:p>
    <w:p w14:paraId="29CECEAF"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VI. Ser expedido sujetándose a las disposiciones relativas al procedimiento administrativo previstas en esta Ley; </w:t>
      </w:r>
    </w:p>
    <w:p w14:paraId="7DDBDE65"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VII. Ser expedido sin que medie error sobre el objeto, causa o motivo, o sobre el fin del acto; </w:t>
      </w:r>
    </w:p>
    <w:p w14:paraId="76EFCC30"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VIII. Ser expedido sin que medie dolo o violencia en su emisión; </w:t>
      </w:r>
    </w:p>
    <w:p w14:paraId="6879453F"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IX. Mencionar el órgano del cual emana; </w:t>
      </w:r>
    </w:p>
    <w:p w14:paraId="0F626CD0"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X. Ser expedido sin que medie error respecto a la referencia específica de identificación del expediente, documentos o nombre completo de las personas; </w:t>
      </w:r>
    </w:p>
    <w:p w14:paraId="4DF522C1"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XI. Ser expedido señalando lugar y fecha de emisión; </w:t>
      </w:r>
    </w:p>
    <w:p w14:paraId="504332FC"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XII. Tratándose de actos administrativos que deban notificarse, deberá hacerse mención de la oficina en donde se encuentra y pueda ser consultado el expediente respectivo; </w:t>
      </w:r>
    </w:p>
    <w:p w14:paraId="3D07C477" w14:textId="77777777" w:rsidR="005977CD" w:rsidRPr="00FD30DE" w:rsidRDefault="005977CD" w:rsidP="005977CD">
      <w:pPr>
        <w:autoSpaceDE w:val="0"/>
        <w:autoSpaceDN w:val="0"/>
        <w:adjustRightInd w:val="0"/>
        <w:spacing w:after="0" w:line="360" w:lineRule="auto"/>
        <w:ind w:left="567" w:right="333"/>
        <w:jc w:val="both"/>
        <w:rPr>
          <w:rFonts w:ascii="Arial" w:hAnsi="Arial" w:cs="Arial"/>
          <w:i/>
          <w:color w:val="000000"/>
          <w:sz w:val="24"/>
          <w:szCs w:val="24"/>
        </w:rPr>
      </w:pPr>
      <w:r w:rsidRPr="00FD30DE">
        <w:rPr>
          <w:rFonts w:ascii="Arial" w:hAnsi="Arial" w:cs="Arial"/>
          <w:i/>
          <w:color w:val="000000"/>
          <w:sz w:val="24"/>
          <w:szCs w:val="24"/>
        </w:rPr>
        <w:t xml:space="preserve">XIII. Tratándose de actos administrativos recurribles deberá hacerse mención de los recursos que procedan y el plazo de interposición de los mismos; </w:t>
      </w:r>
    </w:p>
    <w:p w14:paraId="6E08D7AE" w14:textId="77777777" w:rsidR="005977CD" w:rsidRDefault="005977CD" w:rsidP="005977CD">
      <w:pPr>
        <w:autoSpaceDE w:val="0"/>
        <w:autoSpaceDN w:val="0"/>
        <w:adjustRightInd w:val="0"/>
        <w:spacing w:after="0" w:line="360" w:lineRule="auto"/>
        <w:ind w:left="567" w:right="333"/>
        <w:rPr>
          <w:rFonts w:ascii="Arial" w:hAnsi="Arial" w:cs="Arial"/>
          <w:i/>
          <w:color w:val="000000"/>
          <w:sz w:val="24"/>
          <w:szCs w:val="24"/>
        </w:rPr>
      </w:pPr>
      <w:r w:rsidRPr="00FD30DE">
        <w:rPr>
          <w:rFonts w:ascii="Arial" w:hAnsi="Arial" w:cs="Arial"/>
          <w:i/>
          <w:color w:val="000000"/>
          <w:sz w:val="24"/>
          <w:szCs w:val="24"/>
        </w:rPr>
        <w:t>XIV. Ser expedido mencionando expresamente t</w:t>
      </w:r>
      <w:r>
        <w:rPr>
          <w:rFonts w:ascii="Arial" w:hAnsi="Arial" w:cs="Arial"/>
          <w:i/>
          <w:color w:val="000000"/>
          <w:sz w:val="24"/>
          <w:szCs w:val="24"/>
        </w:rPr>
        <w:t>o</w:t>
      </w:r>
      <w:r w:rsidRPr="00FD30DE">
        <w:rPr>
          <w:rFonts w:ascii="Arial" w:hAnsi="Arial" w:cs="Arial"/>
          <w:i/>
          <w:color w:val="000000"/>
          <w:sz w:val="24"/>
          <w:szCs w:val="24"/>
        </w:rPr>
        <w:t xml:space="preserve">dos los puntos propuestos por las partes o establecidos por la ley; y </w:t>
      </w:r>
    </w:p>
    <w:p w14:paraId="64470EDE" w14:textId="77777777" w:rsidR="005977CD" w:rsidRPr="00FD30DE" w:rsidRDefault="005977CD" w:rsidP="005977CD">
      <w:pPr>
        <w:autoSpaceDE w:val="0"/>
        <w:autoSpaceDN w:val="0"/>
        <w:adjustRightInd w:val="0"/>
        <w:spacing w:after="0" w:line="360" w:lineRule="auto"/>
        <w:ind w:left="567" w:right="333"/>
        <w:rPr>
          <w:rFonts w:ascii="Arial" w:hAnsi="Arial" w:cs="Arial"/>
          <w:bCs/>
          <w:i/>
          <w:iCs/>
          <w:sz w:val="24"/>
          <w:szCs w:val="24"/>
        </w:rPr>
      </w:pPr>
      <w:r w:rsidRPr="00FD30DE">
        <w:rPr>
          <w:rFonts w:ascii="Arial" w:hAnsi="Arial" w:cs="Arial"/>
          <w:i/>
          <w:color w:val="000000"/>
          <w:sz w:val="24"/>
          <w:szCs w:val="24"/>
        </w:rPr>
        <w:t>XV. Los demás requisitos y elementos específicos que exijan las leyes o reglamentos aplicables al acto.</w:t>
      </w:r>
      <w:r>
        <w:rPr>
          <w:rFonts w:ascii="Arial" w:hAnsi="Arial" w:cs="Arial"/>
          <w:i/>
          <w:color w:val="000000"/>
          <w:sz w:val="24"/>
          <w:szCs w:val="24"/>
        </w:rPr>
        <w:t>”</w:t>
      </w:r>
    </w:p>
    <w:p w14:paraId="151240C7" w14:textId="77777777" w:rsidR="005977CD" w:rsidRPr="00E5261F" w:rsidRDefault="005977CD" w:rsidP="005977CD">
      <w:pPr>
        <w:spacing w:before="240" w:line="360" w:lineRule="auto"/>
        <w:ind w:firstLine="708"/>
        <w:jc w:val="both"/>
        <w:rPr>
          <w:rFonts w:ascii="Arial" w:hAnsi="Arial" w:cs="Arial"/>
          <w:b/>
          <w:bCs/>
          <w:sz w:val="26"/>
          <w:szCs w:val="26"/>
        </w:rPr>
      </w:pPr>
      <w:r>
        <w:rPr>
          <w:rFonts w:ascii="Arial" w:hAnsi="Arial" w:cs="Arial"/>
          <w:bCs/>
          <w:iCs/>
          <w:sz w:val="26"/>
          <w:szCs w:val="26"/>
        </w:rPr>
        <w:t>En ese orden de ideas</w:t>
      </w:r>
      <w:r w:rsidRPr="00E5261F">
        <w:rPr>
          <w:rFonts w:ascii="Arial" w:hAnsi="Arial" w:cs="Arial"/>
          <w:bCs/>
          <w:iCs/>
          <w:sz w:val="26"/>
          <w:szCs w:val="26"/>
        </w:rPr>
        <w:t xml:space="preserve">, el artículo 166 párrafo primero de la </w:t>
      </w:r>
      <w:r w:rsidRPr="00E5261F">
        <w:rPr>
          <w:rFonts w:ascii="Arial" w:hAnsi="Arial" w:cs="Arial"/>
          <w:sz w:val="26"/>
          <w:szCs w:val="26"/>
        </w:rPr>
        <w:t xml:space="preserve">Ley de Procedimiento y Justicia Administrativa para el Estado de Oaxaca establece: </w:t>
      </w:r>
    </w:p>
    <w:p w14:paraId="784BDBDF" w14:textId="77777777" w:rsidR="005977CD" w:rsidRPr="00E5261F" w:rsidRDefault="005977CD" w:rsidP="005977CD">
      <w:pPr>
        <w:spacing w:before="240" w:line="360" w:lineRule="auto"/>
        <w:ind w:left="567" w:right="900"/>
        <w:jc w:val="both"/>
        <w:rPr>
          <w:rFonts w:ascii="Arial" w:hAnsi="Arial" w:cs="Arial"/>
          <w:bCs/>
          <w:i/>
          <w:sz w:val="26"/>
          <w:szCs w:val="26"/>
        </w:rPr>
      </w:pPr>
      <w:r w:rsidRPr="00E5261F">
        <w:rPr>
          <w:rFonts w:ascii="Arial" w:hAnsi="Arial" w:cs="Arial"/>
          <w:bCs/>
          <w:i/>
          <w:sz w:val="26"/>
          <w:szCs w:val="26"/>
        </w:rPr>
        <w:lastRenderedPageBreak/>
        <w:t>“</w:t>
      </w:r>
      <w:r w:rsidRPr="00E5261F">
        <w:rPr>
          <w:rFonts w:ascii="Arial" w:hAnsi="Arial" w:cs="Arial"/>
          <w:b/>
          <w:bCs/>
          <w:i/>
          <w:sz w:val="26"/>
          <w:szCs w:val="26"/>
        </w:rPr>
        <w:t>ARTÍCULO 166.-</w:t>
      </w:r>
      <w:r w:rsidRPr="00E5261F">
        <w:rPr>
          <w:rFonts w:ascii="Arial" w:hAnsi="Arial" w:cs="Arial"/>
          <w:bCs/>
          <w:i/>
          <w:sz w:val="26"/>
          <w:szCs w:val="26"/>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p w14:paraId="113EE217" w14:textId="77777777" w:rsidR="005977CD" w:rsidRPr="00E5261F" w:rsidRDefault="005977CD" w:rsidP="005977CD">
      <w:pPr>
        <w:spacing w:line="360" w:lineRule="auto"/>
        <w:ind w:right="49"/>
        <w:jc w:val="both"/>
        <w:rPr>
          <w:rFonts w:ascii="Arial" w:hAnsi="Arial" w:cs="Arial"/>
          <w:color w:val="000000"/>
          <w:sz w:val="26"/>
          <w:szCs w:val="26"/>
        </w:rPr>
      </w:pPr>
      <w:r w:rsidRPr="00E5261F">
        <w:rPr>
          <w:rFonts w:ascii="Arial" w:hAnsi="Arial" w:cs="Arial"/>
          <w:color w:val="000000"/>
          <w:sz w:val="26"/>
          <w:szCs w:val="26"/>
        </w:rPr>
        <w:t xml:space="preserve"> </w:t>
      </w:r>
      <w:r w:rsidRPr="00E5261F">
        <w:rPr>
          <w:rFonts w:ascii="Arial" w:hAnsi="Arial" w:cs="Arial"/>
          <w:color w:val="000000"/>
          <w:sz w:val="26"/>
          <w:szCs w:val="26"/>
        </w:rPr>
        <w:tab/>
        <w:t>Y el diverso artículo 170 párrafo segundo de la misma Ley, dispone:</w:t>
      </w:r>
    </w:p>
    <w:p w14:paraId="34744B5F" w14:textId="77777777" w:rsidR="005977CD" w:rsidRPr="00E5261F" w:rsidRDefault="005977CD" w:rsidP="005977CD">
      <w:pPr>
        <w:tabs>
          <w:tab w:val="left" w:pos="7655"/>
        </w:tabs>
        <w:spacing w:line="360" w:lineRule="auto"/>
        <w:ind w:left="851" w:right="900"/>
        <w:jc w:val="both"/>
        <w:rPr>
          <w:rFonts w:ascii="Arial" w:hAnsi="Arial" w:cs="Arial"/>
          <w:i/>
          <w:color w:val="000000"/>
          <w:sz w:val="26"/>
          <w:szCs w:val="26"/>
        </w:rPr>
      </w:pPr>
      <w:r w:rsidRPr="00E5261F">
        <w:rPr>
          <w:rFonts w:ascii="Arial" w:hAnsi="Arial" w:cs="Arial"/>
          <w:i/>
          <w:color w:val="000000"/>
          <w:sz w:val="26"/>
          <w:szCs w:val="26"/>
        </w:rPr>
        <w:t>“</w:t>
      </w:r>
      <w:r w:rsidRPr="00E5261F">
        <w:rPr>
          <w:rFonts w:ascii="Arial" w:hAnsi="Arial" w:cs="Arial"/>
          <w:b/>
          <w:i/>
          <w:color w:val="000000"/>
          <w:sz w:val="26"/>
          <w:szCs w:val="26"/>
        </w:rPr>
        <w:t>ARTÍCULO 170</w:t>
      </w:r>
      <w:r w:rsidRPr="00E5261F">
        <w:rPr>
          <w:rFonts w:ascii="Arial" w:hAnsi="Arial" w:cs="Arial"/>
          <w:i/>
          <w:color w:val="000000"/>
          <w:sz w:val="26"/>
          <w:szCs w:val="26"/>
        </w:rPr>
        <w:t>.-…Las notificaciones surtirán sus efectos el día hábil siguiente de aquel en que se realicen.”</w:t>
      </w:r>
    </w:p>
    <w:p w14:paraId="6C7C4C22" w14:textId="77777777" w:rsidR="005977CD" w:rsidRPr="00E5261F" w:rsidRDefault="005977CD" w:rsidP="005977CD">
      <w:pPr>
        <w:spacing w:line="360" w:lineRule="auto"/>
        <w:ind w:right="333" w:firstLine="709"/>
        <w:jc w:val="both"/>
        <w:rPr>
          <w:rFonts w:ascii="Arial" w:hAnsi="Arial" w:cs="Arial"/>
          <w:color w:val="000000"/>
          <w:sz w:val="26"/>
          <w:szCs w:val="26"/>
        </w:rPr>
      </w:pPr>
      <w:r w:rsidRPr="00E5261F">
        <w:rPr>
          <w:rFonts w:ascii="Arial" w:hAnsi="Arial" w:cs="Arial"/>
          <w:color w:val="000000"/>
          <w:sz w:val="26"/>
          <w:szCs w:val="26"/>
        </w:rPr>
        <w:t>Aunado a lo anterior, el artículo 165 de la Ley invocada establece:</w:t>
      </w:r>
    </w:p>
    <w:p w14:paraId="77819F45" w14:textId="77777777" w:rsidR="005977CD" w:rsidRPr="00E5261F" w:rsidRDefault="005977CD" w:rsidP="005977CD">
      <w:pPr>
        <w:tabs>
          <w:tab w:val="left" w:pos="7655"/>
        </w:tabs>
        <w:spacing w:line="360" w:lineRule="auto"/>
        <w:ind w:left="851" w:right="900"/>
        <w:jc w:val="both"/>
        <w:rPr>
          <w:rFonts w:ascii="Arial" w:hAnsi="Arial" w:cs="Arial"/>
          <w:color w:val="000000"/>
          <w:sz w:val="26"/>
          <w:szCs w:val="26"/>
        </w:rPr>
      </w:pPr>
      <w:r w:rsidRPr="00E5261F">
        <w:rPr>
          <w:rFonts w:ascii="Arial" w:hAnsi="Arial" w:cs="Arial"/>
          <w:b/>
          <w:bCs/>
          <w:i/>
          <w:sz w:val="26"/>
          <w:szCs w:val="26"/>
        </w:rPr>
        <w:t xml:space="preserve">ARTÍCULO 165.- </w:t>
      </w:r>
      <w:r w:rsidRPr="00E5261F">
        <w:rPr>
          <w:rFonts w:ascii="Arial" w:hAnsi="Arial" w:cs="Arial"/>
          <w:i/>
          <w:sz w:val="26"/>
          <w:szCs w:val="26"/>
        </w:rPr>
        <w:t xml:space="preserve">Son días hábiles para la promoción, substanciación y resolución del juicio contencioso administrativo, todos los días del año, con exclusión de los sábados y domingos, así como los señalados en el  calendario oficial del Tribunal. </w:t>
      </w:r>
    </w:p>
    <w:p w14:paraId="42C82210" w14:textId="77777777" w:rsidR="005977CD" w:rsidRPr="00E5261F" w:rsidRDefault="005977CD" w:rsidP="005977CD">
      <w:pPr>
        <w:tabs>
          <w:tab w:val="left" w:pos="7655"/>
        </w:tabs>
        <w:spacing w:line="360" w:lineRule="auto"/>
        <w:ind w:left="851" w:right="900"/>
        <w:jc w:val="both"/>
        <w:rPr>
          <w:rFonts w:ascii="Arial" w:hAnsi="Arial" w:cs="Arial"/>
          <w:i/>
          <w:sz w:val="26"/>
          <w:szCs w:val="26"/>
        </w:rPr>
      </w:pPr>
      <w:r w:rsidRPr="00E5261F">
        <w:rPr>
          <w:rFonts w:ascii="Arial" w:hAnsi="Arial" w:cs="Arial"/>
          <w:i/>
          <w:sz w:val="26"/>
          <w:szCs w:val="26"/>
        </w:rPr>
        <w:t>Se suspenderán las labores y no correrán los plazos, en los días referidos en el artículo 39 y todos aquellos que acuerde el Tribunal.</w:t>
      </w:r>
    </w:p>
    <w:p w14:paraId="12CF8D5E" w14:textId="77777777" w:rsidR="005977CD" w:rsidRPr="00E5261F" w:rsidRDefault="005977CD" w:rsidP="005977CD">
      <w:pPr>
        <w:spacing w:line="360" w:lineRule="auto"/>
        <w:ind w:right="333"/>
        <w:jc w:val="both"/>
        <w:rPr>
          <w:rFonts w:ascii="Arial" w:hAnsi="Arial" w:cs="Arial"/>
          <w:color w:val="000000"/>
          <w:sz w:val="26"/>
          <w:szCs w:val="26"/>
        </w:rPr>
      </w:pPr>
      <w:r w:rsidRPr="00E5261F">
        <w:rPr>
          <w:rFonts w:ascii="Arial" w:hAnsi="Arial" w:cs="Arial"/>
          <w:color w:val="000000"/>
          <w:sz w:val="26"/>
          <w:szCs w:val="26"/>
        </w:rPr>
        <w:tab/>
        <w:t xml:space="preserve">De los preceptos legales transcritos con antelación, se desprende que el plazo para interponer la demanda de nulidad </w:t>
      </w:r>
      <w:r>
        <w:rPr>
          <w:rFonts w:ascii="Arial" w:hAnsi="Arial" w:cs="Arial"/>
          <w:color w:val="000000"/>
          <w:sz w:val="26"/>
          <w:szCs w:val="26"/>
        </w:rPr>
        <w:t xml:space="preserve">en contra de un acto administrativo, en la forma en que lo señaló la actora, </w:t>
      </w:r>
      <w:r w:rsidRPr="00E5261F">
        <w:rPr>
          <w:rFonts w:ascii="Arial" w:hAnsi="Arial" w:cs="Arial"/>
          <w:color w:val="000000"/>
          <w:sz w:val="26"/>
          <w:szCs w:val="26"/>
        </w:rPr>
        <w:t xml:space="preserve">será de treinta días hábiles contados a partir del día siguiente al en que surta efectos la notificación correspondiente o del que se hubiese tenido conocimiento u ostentado sabedor de la misma, descontándose del cómputo del plazo los sábados y domingos por ser inhábiles, y tampoco correrán los plazos en todos aquéllos días que acuerde el Tribunal. </w:t>
      </w:r>
    </w:p>
    <w:p w14:paraId="3F6F028D" w14:textId="77777777" w:rsidR="005977CD" w:rsidRDefault="005977CD" w:rsidP="005977CD">
      <w:pPr>
        <w:spacing w:line="360" w:lineRule="auto"/>
        <w:ind w:right="333"/>
        <w:jc w:val="both"/>
        <w:rPr>
          <w:rFonts w:ascii="Arial" w:hAnsi="Arial" w:cs="Arial"/>
          <w:sz w:val="26"/>
          <w:szCs w:val="26"/>
        </w:rPr>
      </w:pPr>
      <w:r w:rsidRPr="00E5261F">
        <w:rPr>
          <w:rFonts w:ascii="Arial" w:hAnsi="Arial" w:cs="Arial"/>
          <w:color w:val="000000"/>
          <w:sz w:val="26"/>
          <w:szCs w:val="26"/>
        </w:rPr>
        <w:tab/>
        <w:t>Atendiendo a lo anterior,</w:t>
      </w:r>
      <w:r>
        <w:rPr>
          <w:rFonts w:ascii="Arial" w:hAnsi="Arial" w:cs="Arial"/>
          <w:color w:val="000000"/>
          <w:sz w:val="26"/>
          <w:szCs w:val="26"/>
        </w:rPr>
        <w:t xml:space="preserve"> y considerando que la</w:t>
      </w:r>
      <w:r w:rsidRPr="00E5261F">
        <w:rPr>
          <w:rFonts w:ascii="Arial" w:hAnsi="Arial" w:cs="Arial"/>
          <w:color w:val="000000"/>
          <w:sz w:val="26"/>
          <w:szCs w:val="26"/>
        </w:rPr>
        <w:t xml:space="preserve"> recurrente señaló que tuvo conocimiento del acto impugnado </w:t>
      </w:r>
      <w:r w:rsidRPr="00E5261F">
        <w:rPr>
          <w:rFonts w:ascii="Arial" w:hAnsi="Arial" w:cs="Arial"/>
          <w:sz w:val="26"/>
          <w:szCs w:val="26"/>
        </w:rPr>
        <w:t>el</w:t>
      </w:r>
      <w:r>
        <w:rPr>
          <w:rFonts w:ascii="Arial" w:hAnsi="Arial" w:cs="Arial"/>
          <w:sz w:val="26"/>
          <w:szCs w:val="26"/>
        </w:rPr>
        <w:t xml:space="preserve"> día veintisiete de julio de dos mil dieciséis</w:t>
      </w:r>
      <w:r w:rsidRPr="00E5261F">
        <w:rPr>
          <w:rFonts w:ascii="Arial" w:hAnsi="Arial" w:cs="Arial"/>
          <w:sz w:val="26"/>
          <w:szCs w:val="26"/>
        </w:rPr>
        <w:t>, se tiene que</w:t>
      </w:r>
      <w:r w:rsidRPr="00E5261F">
        <w:rPr>
          <w:rFonts w:ascii="Arial" w:hAnsi="Arial" w:cs="Arial"/>
          <w:color w:val="000000"/>
          <w:sz w:val="26"/>
          <w:szCs w:val="26"/>
        </w:rPr>
        <w:t xml:space="preserve"> la Sala de Primera Instancia </w:t>
      </w:r>
      <w:r w:rsidRPr="00E5261F">
        <w:rPr>
          <w:rFonts w:ascii="Arial" w:hAnsi="Arial" w:cs="Arial"/>
          <w:sz w:val="26"/>
          <w:szCs w:val="26"/>
        </w:rPr>
        <w:t xml:space="preserve">determinó </w:t>
      </w:r>
      <w:r w:rsidRPr="00C17CF7">
        <w:rPr>
          <w:rFonts w:ascii="Arial" w:hAnsi="Arial" w:cs="Arial"/>
          <w:sz w:val="26"/>
          <w:szCs w:val="26"/>
        </w:rPr>
        <w:t>acertadamente el desechamiento de la demanda interpuesta,</w:t>
      </w:r>
      <w:r>
        <w:rPr>
          <w:rFonts w:ascii="Arial" w:hAnsi="Arial" w:cs="Arial"/>
          <w:b/>
          <w:sz w:val="26"/>
          <w:szCs w:val="26"/>
        </w:rPr>
        <w:t xml:space="preserve"> </w:t>
      </w:r>
      <w:r>
        <w:rPr>
          <w:rFonts w:ascii="Arial" w:hAnsi="Arial" w:cs="Arial"/>
          <w:sz w:val="26"/>
          <w:szCs w:val="26"/>
        </w:rPr>
        <w:t xml:space="preserve">ya que </w:t>
      </w:r>
      <w:r w:rsidRPr="00E5261F">
        <w:rPr>
          <w:rFonts w:ascii="Arial" w:hAnsi="Arial" w:cs="Arial"/>
          <w:sz w:val="26"/>
          <w:szCs w:val="26"/>
        </w:rPr>
        <w:t xml:space="preserve">el plazo de </w:t>
      </w:r>
      <w:r w:rsidRPr="00E5261F">
        <w:rPr>
          <w:rFonts w:ascii="Arial" w:hAnsi="Arial" w:cs="Arial"/>
          <w:b/>
          <w:sz w:val="26"/>
          <w:szCs w:val="26"/>
        </w:rPr>
        <w:t>treinta días hábiles</w:t>
      </w:r>
      <w:r>
        <w:rPr>
          <w:rFonts w:ascii="Arial" w:hAnsi="Arial" w:cs="Arial"/>
          <w:sz w:val="26"/>
          <w:szCs w:val="26"/>
        </w:rPr>
        <w:t xml:space="preserve"> que tuvo la</w:t>
      </w:r>
      <w:r w:rsidRPr="00E5261F">
        <w:rPr>
          <w:rFonts w:ascii="Arial" w:hAnsi="Arial" w:cs="Arial"/>
          <w:sz w:val="26"/>
          <w:szCs w:val="26"/>
        </w:rPr>
        <w:t xml:space="preserve"> ahora recurrente para interponer su demanda de nulidad, </w:t>
      </w:r>
      <w:r>
        <w:rPr>
          <w:rFonts w:ascii="Arial" w:hAnsi="Arial" w:cs="Arial"/>
          <w:sz w:val="26"/>
          <w:szCs w:val="26"/>
        </w:rPr>
        <w:t xml:space="preserve">efectivamente </w:t>
      </w:r>
      <w:r w:rsidRPr="00E5261F">
        <w:rPr>
          <w:rFonts w:ascii="Arial" w:hAnsi="Arial" w:cs="Arial"/>
          <w:sz w:val="26"/>
          <w:szCs w:val="26"/>
        </w:rPr>
        <w:t>transcurrió del</w:t>
      </w:r>
      <w:r>
        <w:rPr>
          <w:rFonts w:ascii="Arial" w:hAnsi="Arial" w:cs="Arial"/>
          <w:sz w:val="26"/>
          <w:szCs w:val="26"/>
        </w:rPr>
        <w:t xml:space="preserve"> cinco de agosto al diecinueve de septiembre de dos </w:t>
      </w:r>
      <w:r>
        <w:rPr>
          <w:rFonts w:ascii="Arial" w:hAnsi="Arial" w:cs="Arial"/>
          <w:sz w:val="26"/>
          <w:szCs w:val="26"/>
        </w:rPr>
        <w:lastRenderedPageBreak/>
        <w:t xml:space="preserve">mil dieciséis, </w:t>
      </w:r>
      <w:r w:rsidRPr="00E5261F">
        <w:rPr>
          <w:rFonts w:ascii="Arial" w:hAnsi="Arial" w:cs="Arial"/>
          <w:sz w:val="26"/>
          <w:szCs w:val="26"/>
        </w:rPr>
        <w:t>descontándose los días</w:t>
      </w:r>
      <w:r>
        <w:rPr>
          <w:rFonts w:ascii="Arial" w:hAnsi="Arial" w:cs="Arial"/>
          <w:sz w:val="26"/>
          <w:szCs w:val="26"/>
        </w:rPr>
        <w:t xml:space="preserve"> seis, siete, trece, catorce, veinte, veintiuno, veintisiete y veintiocho de agosto de dos mil dieciséis, así como los días tres, cuatro, diez, once, diecisiete y dieciocho de septiembre de dos mil dieciséis, </w:t>
      </w:r>
      <w:r w:rsidRPr="00E5261F">
        <w:rPr>
          <w:rFonts w:ascii="Arial" w:hAnsi="Arial" w:cs="Arial"/>
          <w:sz w:val="26"/>
          <w:szCs w:val="26"/>
        </w:rPr>
        <w:t xml:space="preserve">por haber correspondido a los días sábados y domingos, respectivamente, días inhábiles para este Tribunal, así como los días </w:t>
      </w:r>
      <w:r>
        <w:rPr>
          <w:rFonts w:ascii="Arial" w:hAnsi="Arial" w:cs="Arial"/>
          <w:sz w:val="26"/>
          <w:szCs w:val="26"/>
        </w:rPr>
        <w:t>quince y dieciséis</w:t>
      </w:r>
      <w:r w:rsidRPr="00E5261F">
        <w:rPr>
          <w:rFonts w:ascii="Arial" w:hAnsi="Arial" w:cs="Arial"/>
          <w:sz w:val="26"/>
          <w:szCs w:val="26"/>
        </w:rPr>
        <w:t xml:space="preserve"> de septiembre</w:t>
      </w:r>
      <w:r>
        <w:rPr>
          <w:rFonts w:ascii="Arial" w:hAnsi="Arial" w:cs="Arial"/>
          <w:sz w:val="26"/>
          <w:szCs w:val="26"/>
        </w:rPr>
        <w:t xml:space="preserve"> de dos mil dieciséis</w:t>
      </w:r>
      <w:r w:rsidRPr="00E5261F">
        <w:rPr>
          <w:rFonts w:ascii="Arial" w:hAnsi="Arial" w:cs="Arial"/>
          <w:sz w:val="26"/>
          <w:szCs w:val="26"/>
        </w:rPr>
        <w:t>,</w:t>
      </w:r>
      <w:r>
        <w:rPr>
          <w:rFonts w:ascii="Arial" w:hAnsi="Arial" w:cs="Arial"/>
          <w:sz w:val="26"/>
          <w:szCs w:val="26"/>
        </w:rPr>
        <w:t xml:space="preserve"> con motivo de la conmemoración del día de la Independencia</w:t>
      </w:r>
      <w:r w:rsidRPr="00E5261F">
        <w:rPr>
          <w:rFonts w:ascii="Arial" w:hAnsi="Arial" w:cs="Arial"/>
          <w:sz w:val="26"/>
          <w:szCs w:val="26"/>
        </w:rPr>
        <w:t xml:space="preserve">; lo anterior, conforme a lo establecido por los artículos 165 y 166 primer párrafo, de la Ley de Procedimiento y Justicia Administrativa para el Estado de Oaxaca; y considerando que </w:t>
      </w:r>
      <w:r>
        <w:rPr>
          <w:rFonts w:ascii="Arial" w:hAnsi="Arial" w:cs="Arial"/>
          <w:sz w:val="26"/>
          <w:szCs w:val="26"/>
        </w:rPr>
        <w:t>la recurrente manifestó expresamente en su escrito de demanda que tuvo conocimiento del acto impugnado el día veintisiete de julio de dos mil dieciséis</w:t>
      </w:r>
      <w:r>
        <w:rPr>
          <w:rStyle w:val="Refdenotaalpie"/>
          <w:rFonts w:ascii="Arial" w:hAnsi="Arial" w:cs="Arial"/>
          <w:sz w:val="26"/>
          <w:szCs w:val="26"/>
        </w:rPr>
        <w:footnoteReference w:id="1"/>
      </w:r>
      <w:r>
        <w:rPr>
          <w:rFonts w:ascii="Arial" w:hAnsi="Arial" w:cs="Arial"/>
          <w:sz w:val="26"/>
          <w:szCs w:val="26"/>
        </w:rPr>
        <w:t>, al señalar:</w:t>
      </w:r>
    </w:p>
    <w:p w14:paraId="20C1A5EE" w14:textId="1DC7ABDD" w:rsidR="005977CD" w:rsidRPr="0042488E" w:rsidRDefault="005977CD" w:rsidP="005977CD">
      <w:pPr>
        <w:spacing w:line="360" w:lineRule="auto"/>
        <w:ind w:left="567" w:right="900"/>
        <w:jc w:val="both"/>
        <w:rPr>
          <w:rFonts w:ascii="Arial" w:hAnsi="Arial" w:cs="Arial"/>
          <w:i/>
          <w:sz w:val="24"/>
          <w:szCs w:val="24"/>
        </w:rPr>
      </w:pPr>
      <w:r w:rsidRPr="0042488E">
        <w:rPr>
          <w:rFonts w:ascii="Arial" w:hAnsi="Arial" w:cs="Arial"/>
          <w:i/>
          <w:sz w:val="24"/>
          <w:szCs w:val="24"/>
        </w:rPr>
        <w:t xml:space="preserve">“(…) </w:t>
      </w:r>
      <w:r w:rsidRPr="0042488E">
        <w:rPr>
          <w:rFonts w:ascii="Arial" w:hAnsi="Arial" w:cs="Arial"/>
          <w:b/>
          <w:i/>
          <w:sz w:val="24"/>
          <w:szCs w:val="24"/>
        </w:rPr>
        <w:t xml:space="preserve">V.- FECHA QUE TUVO CONOCIMIENTO DE LA RESOLUCIÓN O ACTO COMBATIDO: </w:t>
      </w:r>
      <w:r w:rsidRPr="0042488E">
        <w:rPr>
          <w:rFonts w:ascii="Arial" w:hAnsi="Arial" w:cs="Arial"/>
          <w:i/>
          <w:sz w:val="24"/>
          <w:szCs w:val="24"/>
        </w:rPr>
        <w:t xml:space="preserve">bajo protesta de decir verdad manifiesto que el oficio número </w:t>
      </w:r>
      <w:r w:rsidR="00431C30">
        <w:rPr>
          <w:rFonts w:ascii="Arial" w:hAnsi="Arial" w:cs="Arial"/>
          <w:b/>
          <w:bCs/>
          <w:sz w:val="26"/>
          <w:szCs w:val="26"/>
        </w:rPr>
        <w:t>**********</w:t>
      </w:r>
      <w:bookmarkStart w:id="1" w:name="_GoBack"/>
      <w:bookmarkEnd w:id="1"/>
      <w:r w:rsidRPr="0042488E">
        <w:rPr>
          <w:rFonts w:ascii="Arial" w:hAnsi="Arial" w:cs="Arial"/>
          <w:i/>
          <w:sz w:val="24"/>
          <w:szCs w:val="24"/>
        </w:rPr>
        <w:t>, de fecha 30 de diciembre de 2015, me fue entregado el día 27 de julio del año 2016”.</w:t>
      </w:r>
    </w:p>
    <w:p w14:paraId="4007529C" w14:textId="77777777" w:rsidR="005977CD" w:rsidRPr="00E5261F" w:rsidRDefault="005977CD" w:rsidP="005977CD">
      <w:pPr>
        <w:spacing w:line="360" w:lineRule="auto"/>
        <w:ind w:right="333" w:firstLine="567"/>
        <w:jc w:val="both"/>
        <w:rPr>
          <w:rFonts w:ascii="Arial" w:hAnsi="Arial" w:cs="Arial"/>
          <w:sz w:val="26"/>
          <w:szCs w:val="26"/>
        </w:rPr>
      </w:pPr>
      <w:r>
        <w:rPr>
          <w:rFonts w:ascii="Arial" w:hAnsi="Arial" w:cs="Arial"/>
          <w:sz w:val="26"/>
          <w:szCs w:val="26"/>
        </w:rPr>
        <w:t xml:space="preserve">Bajo esa consideración, y tomando en cuenta que la recurrente presentó su demanda hasta el día siete de junio de dos mil diecinueve, casi tres años después de haber tenido conocimiento del acto impugnado, </w:t>
      </w:r>
      <w:r w:rsidRPr="00E5261F">
        <w:rPr>
          <w:rFonts w:ascii="Arial" w:hAnsi="Arial" w:cs="Arial"/>
          <w:sz w:val="26"/>
          <w:szCs w:val="26"/>
        </w:rPr>
        <w:t>es evidente la extemporaneidad con la que lo hizo, y en consecuencia, se configura la causal de improcedencia contemplada en el artículo 161 fracción VI de la Ley de Procedimiento y Justicia Administrativa para el Estado de Oaxaca, que se cita enseguida:</w:t>
      </w:r>
    </w:p>
    <w:p w14:paraId="73F8F885" w14:textId="77777777" w:rsidR="005977CD" w:rsidRPr="00E5261F" w:rsidRDefault="005977CD" w:rsidP="005977CD">
      <w:pPr>
        <w:spacing w:line="360" w:lineRule="auto"/>
        <w:ind w:left="567" w:right="900"/>
        <w:jc w:val="both"/>
        <w:rPr>
          <w:rFonts w:ascii="Arial" w:hAnsi="Arial" w:cs="Arial"/>
          <w:i/>
          <w:sz w:val="26"/>
          <w:szCs w:val="26"/>
        </w:rPr>
      </w:pPr>
      <w:r w:rsidRPr="00E5261F">
        <w:rPr>
          <w:rFonts w:ascii="Arial" w:hAnsi="Arial" w:cs="Arial"/>
          <w:i/>
          <w:sz w:val="26"/>
          <w:szCs w:val="26"/>
        </w:rPr>
        <w:t>“</w:t>
      </w:r>
      <w:r w:rsidRPr="00E5261F">
        <w:rPr>
          <w:rFonts w:ascii="Arial" w:hAnsi="Arial" w:cs="Arial"/>
          <w:b/>
          <w:i/>
          <w:sz w:val="26"/>
          <w:szCs w:val="26"/>
        </w:rPr>
        <w:t>ARTÍCULO 161.-</w:t>
      </w:r>
      <w:r w:rsidRPr="00E5261F">
        <w:rPr>
          <w:rFonts w:ascii="Arial" w:hAnsi="Arial" w:cs="Arial"/>
          <w:i/>
          <w:sz w:val="26"/>
          <w:szCs w:val="26"/>
        </w:rPr>
        <w:t xml:space="preserve"> Es improcedente el juicio ante el Tribunal contra actos:</w:t>
      </w:r>
    </w:p>
    <w:p w14:paraId="3162FBF4" w14:textId="77777777" w:rsidR="005977CD" w:rsidRPr="00E5261F" w:rsidRDefault="005977CD" w:rsidP="005977CD">
      <w:pPr>
        <w:spacing w:line="360" w:lineRule="auto"/>
        <w:ind w:left="567" w:right="900"/>
        <w:jc w:val="both"/>
        <w:rPr>
          <w:rFonts w:ascii="Arial" w:hAnsi="Arial" w:cs="Arial"/>
          <w:i/>
          <w:sz w:val="26"/>
          <w:szCs w:val="26"/>
        </w:rPr>
      </w:pPr>
      <w:r w:rsidRPr="00E5261F">
        <w:rPr>
          <w:rFonts w:ascii="Arial" w:hAnsi="Arial" w:cs="Arial"/>
          <w:i/>
          <w:sz w:val="26"/>
          <w:szCs w:val="26"/>
        </w:rPr>
        <w:t>…</w:t>
      </w:r>
    </w:p>
    <w:p w14:paraId="3D68A060" w14:textId="77777777" w:rsidR="005977CD" w:rsidRDefault="005977CD" w:rsidP="005977CD">
      <w:pPr>
        <w:spacing w:line="360" w:lineRule="auto"/>
        <w:ind w:left="567" w:right="900"/>
        <w:jc w:val="both"/>
        <w:rPr>
          <w:rFonts w:ascii="Arial" w:hAnsi="Arial" w:cs="Arial"/>
          <w:i/>
          <w:sz w:val="26"/>
          <w:szCs w:val="26"/>
        </w:rPr>
      </w:pPr>
      <w:r w:rsidRPr="00E5261F">
        <w:rPr>
          <w:rFonts w:ascii="Arial" w:hAnsi="Arial" w:cs="Arial"/>
          <w:b/>
          <w:i/>
          <w:sz w:val="26"/>
          <w:szCs w:val="26"/>
        </w:rPr>
        <w:t>VI.</w:t>
      </w:r>
      <w:r w:rsidRPr="00E5261F">
        <w:rPr>
          <w:rFonts w:ascii="Arial" w:hAnsi="Arial" w:cs="Arial"/>
          <w:i/>
          <w:sz w:val="26"/>
          <w:szCs w:val="26"/>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71DD4974" w14:textId="77777777" w:rsidR="005977CD" w:rsidRPr="00403CFB" w:rsidRDefault="005977CD" w:rsidP="005977CD">
      <w:pPr>
        <w:spacing w:before="240" w:after="0" w:line="360" w:lineRule="auto"/>
        <w:ind w:firstLine="566"/>
        <w:jc w:val="both"/>
        <w:rPr>
          <w:rFonts w:ascii="Arial" w:hAnsi="Arial" w:cs="Arial"/>
          <w:sz w:val="26"/>
          <w:szCs w:val="26"/>
        </w:rPr>
      </w:pPr>
      <w:r w:rsidRPr="00403CFB">
        <w:rPr>
          <w:rFonts w:ascii="Arial" w:hAnsi="Arial" w:cs="Arial"/>
          <w:sz w:val="26"/>
          <w:szCs w:val="26"/>
        </w:rPr>
        <w:lastRenderedPageBreak/>
        <w:t>Por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Pr="00F81EC9">
        <w:rPr>
          <w:rFonts w:ascii="Arial" w:hAnsi="Arial" w:cs="Arial"/>
          <w:b/>
          <w:sz w:val="26"/>
          <w:szCs w:val="26"/>
        </w:rPr>
        <w:t>infundado</w:t>
      </w:r>
      <w:r>
        <w:rPr>
          <w:rFonts w:ascii="Arial" w:hAnsi="Arial" w:cs="Arial"/>
          <w:sz w:val="26"/>
          <w:szCs w:val="26"/>
        </w:rPr>
        <w:t xml:space="preserve"> del</w:t>
      </w:r>
      <w:r w:rsidRPr="00403CFB">
        <w:rPr>
          <w:rFonts w:ascii="Arial" w:hAnsi="Arial" w:cs="Arial"/>
          <w:sz w:val="26"/>
          <w:szCs w:val="26"/>
        </w:rPr>
        <w:t xml:space="preserve"> </w:t>
      </w:r>
      <w:r>
        <w:rPr>
          <w:rFonts w:ascii="Arial" w:hAnsi="Arial" w:cs="Arial"/>
          <w:sz w:val="26"/>
          <w:szCs w:val="26"/>
        </w:rPr>
        <w:t xml:space="preserve">agravio formulado por la inconforme, es </w:t>
      </w:r>
      <w:r w:rsidRPr="00403CFB">
        <w:rPr>
          <w:rFonts w:ascii="Arial" w:hAnsi="Arial" w:cs="Arial"/>
          <w:sz w:val="26"/>
          <w:szCs w:val="26"/>
        </w:rPr>
        <w:t>procede</w:t>
      </w:r>
      <w:r>
        <w:rPr>
          <w:rFonts w:ascii="Arial" w:hAnsi="Arial" w:cs="Arial"/>
          <w:sz w:val="26"/>
          <w:szCs w:val="26"/>
        </w:rPr>
        <w:t>nte</w:t>
      </w:r>
      <w:r w:rsidRPr="00403CFB">
        <w:rPr>
          <w:rFonts w:ascii="Arial" w:hAnsi="Arial" w:cs="Arial"/>
          <w:sz w:val="26"/>
          <w:szCs w:val="26"/>
        </w:rPr>
        <w:t xml:space="preserve"> </w:t>
      </w:r>
      <w:r w:rsidRPr="00403CFB">
        <w:rPr>
          <w:rFonts w:ascii="Arial" w:hAnsi="Arial" w:cs="Arial"/>
          <w:b/>
          <w:sz w:val="26"/>
          <w:szCs w:val="26"/>
        </w:rPr>
        <w:t>CONFIRMAR</w:t>
      </w:r>
      <w:r>
        <w:rPr>
          <w:rFonts w:ascii="Arial" w:hAnsi="Arial" w:cs="Arial"/>
          <w:sz w:val="26"/>
          <w:szCs w:val="26"/>
        </w:rPr>
        <w:t xml:space="preserve"> el acuerdo recurrido</w:t>
      </w:r>
      <w:r w:rsidRPr="00403CFB">
        <w:rPr>
          <w:rFonts w:ascii="Arial" w:hAnsi="Arial" w:cs="Arial"/>
          <w:sz w:val="26"/>
          <w:szCs w:val="26"/>
        </w:rPr>
        <w:t xml:space="preserve">;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p>
    <w:p w14:paraId="5157EB63" w14:textId="77777777" w:rsidR="005977CD" w:rsidRPr="00403CFB" w:rsidRDefault="005977CD" w:rsidP="005977CD">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34EE25BC" w14:textId="77777777" w:rsidR="005977CD" w:rsidRPr="00403CFB" w:rsidRDefault="005977CD" w:rsidP="005977CD">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Pr="00403CFB">
        <w:rPr>
          <w:rFonts w:ascii="Arial" w:eastAsia="Calibri" w:hAnsi="Arial" w:cs="Arial"/>
          <w:b/>
          <w:sz w:val="26"/>
          <w:szCs w:val="26"/>
        </w:rPr>
        <w:t xml:space="preserve">CONFIRMA </w:t>
      </w:r>
      <w:r w:rsidRPr="000946F6">
        <w:rPr>
          <w:rFonts w:ascii="Arial" w:eastAsia="Calibri" w:hAnsi="Arial" w:cs="Arial"/>
          <w:sz w:val="26"/>
          <w:szCs w:val="26"/>
        </w:rPr>
        <w:t xml:space="preserve">el acuerdo de fecha diez de junio de dos mil diecinueve,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14:paraId="2F2A5EEF" w14:textId="77777777" w:rsidR="005977CD" w:rsidRDefault="005977CD" w:rsidP="005977CD">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bookmarkEnd w:id="0"/>
    <w:p w14:paraId="6789CE2A" w14:textId="7A2E378D" w:rsidR="004E6D74" w:rsidRPr="00873285" w:rsidRDefault="004E6D74" w:rsidP="004E6D74">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Así por unanimidad de votos, lo resolvieron y firmaron los Magistrados</w:t>
      </w:r>
      <w:r w:rsidR="005977CD">
        <w:rPr>
          <w:rFonts w:ascii="Arial" w:eastAsiaTheme="minorEastAsia" w:hAnsi="Arial" w:cs="Arial"/>
          <w:sz w:val="26"/>
          <w:szCs w:val="26"/>
          <w:lang w:val="es-MX" w:eastAsia="es-MX"/>
        </w:rPr>
        <w:t xml:space="preserve"> integrantes de la Sala Superior del Tribunal de Justicia Administrativa del Estado</w:t>
      </w:r>
      <w:r>
        <w:rPr>
          <w:rFonts w:ascii="Arial" w:eastAsiaTheme="minorEastAsia" w:hAnsi="Arial" w:cs="Arial"/>
          <w:sz w:val="26"/>
          <w:szCs w:val="26"/>
          <w:lang w:val="es-MX" w:eastAsia="es-MX"/>
        </w:rPr>
        <w:t xml:space="preserve">; quienes actúan con la Secretaria General de Acuerdos de este Tribunal, que autoriza y da fe. </w:t>
      </w:r>
    </w:p>
    <w:p w14:paraId="058C0013" w14:textId="77777777" w:rsidR="004E6D74" w:rsidRDefault="004E6D74" w:rsidP="004E6D74">
      <w:pPr>
        <w:pStyle w:val="Sinespaciado"/>
        <w:spacing w:before="240" w:after="120" w:line="360" w:lineRule="auto"/>
        <w:jc w:val="both"/>
        <w:rPr>
          <w:rFonts w:ascii="Arial" w:eastAsia="Calibri" w:hAnsi="Arial" w:cs="Arial"/>
          <w:b/>
          <w:bCs/>
          <w:sz w:val="26"/>
          <w:szCs w:val="26"/>
        </w:rPr>
      </w:pPr>
    </w:p>
    <w:p w14:paraId="66EB7FB7" w14:textId="77777777" w:rsidR="004E6D74" w:rsidRDefault="004E6D74" w:rsidP="004E6D74">
      <w:pPr>
        <w:pStyle w:val="Sinespaciado"/>
        <w:spacing w:before="240" w:after="120" w:line="360" w:lineRule="auto"/>
        <w:jc w:val="both"/>
        <w:rPr>
          <w:rFonts w:ascii="Arial" w:eastAsia="Calibri" w:hAnsi="Arial" w:cs="Arial"/>
          <w:b/>
          <w:bCs/>
          <w:sz w:val="26"/>
          <w:szCs w:val="26"/>
        </w:rPr>
      </w:pPr>
    </w:p>
    <w:p w14:paraId="738F6CC3" w14:textId="77777777" w:rsidR="004E6D74" w:rsidRDefault="004E6D74" w:rsidP="004E6D74">
      <w:pPr>
        <w:spacing w:after="0" w:line="240" w:lineRule="auto"/>
        <w:jc w:val="center"/>
        <w:rPr>
          <w:rFonts w:ascii="Arial" w:eastAsia="Calibri" w:hAnsi="Arial" w:cs="Arial"/>
          <w:sz w:val="26"/>
          <w:szCs w:val="26"/>
        </w:rPr>
      </w:pPr>
    </w:p>
    <w:p w14:paraId="604C7A83" w14:textId="77777777" w:rsidR="004E6D74" w:rsidRDefault="004E6D74" w:rsidP="004E6D74">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7104CF39" w14:textId="77777777" w:rsidR="004E6D74" w:rsidRDefault="004E6D74" w:rsidP="004E6D74">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608EC387" w14:textId="77777777" w:rsidR="004E6D74" w:rsidRDefault="004E6D74" w:rsidP="004E6D74">
      <w:pPr>
        <w:spacing w:line="360" w:lineRule="auto"/>
        <w:rPr>
          <w:rFonts w:ascii="Arial" w:eastAsia="Calibri" w:hAnsi="Arial" w:cs="Arial"/>
          <w:sz w:val="26"/>
          <w:szCs w:val="26"/>
        </w:rPr>
      </w:pPr>
    </w:p>
    <w:p w14:paraId="5FEFFBC4" w14:textId="77777777" w:rsidR="004E6D74" w:rsidRDefault="004E6D74" w:rsidP="004E6D74">
      <w:pPr>
        <w:spacing w:line="360" w:lineRule="auto"/>
        <w:rPr>
          <w:rFonts w:ascii="Arial" w:eastAsia="Calibri" w:hAnsi="Arial" w:cs="Arial"/>
          <w:sz w:val="26"/>
          <w:szCs w:val="26"/>
        </w:rPr>
      </w:pPr>
    </w:p>
    <w:p w14:paraId="149A735C" w14:textId="77777777" w:rsidR="004E6D74" w:rsidRDefault="004E6D74" w:rsidP="004E6D74">
      <w:pPr>
        <w:spacing w:line="360" w:lineRule="auto"/>
        <w:rPr>
          <w:rFonts w:ascii="Arial" w:eastAsia="Calibri" w:hAnsi="Arial" w:cs="Arial"/>
          <w:sz w:val="26"/>
          <w:szCs w:val="26"/>
        </w:rPr>
      </w:pPr>
    </w:p>
    <w:p w14:paraId="04484C25" w14:textId="77777777" w:rsidR="004E6D74" w:rsidRDefault="004E6D74" w:rsidP="004E6D74">
      <w:pPr>
        <w:spacing w:line="360" w:lineRule="auto"/>
        <w:rPr>
          <w:rFonts w:ascii="Arial" w:eastAsia="Calibri" w:hAnsi="Arial" w:cs="Arial"/>
          <w:sz w:val="26"/>
          <w:szCs w:val="26"/>
        </w:rPr>
      </w:pPr>
    </w:p>
    <w:p w14:paraId="649DD200" w14:textId="77777777" w:rsidR="004E6D74" w:rsidRDefault="004E6D74" w:rsidP="004E6D74">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09FEB566" w14:textId="5AA50FD8" w:rsidR="004E6D74" w:rsidRDefault="004E6D74" w:rsidP="004E6D74">
      <w:pPr>
        <w:spacing w:line="360" w:lineRule="auto"/>
        <w:jc w:val="center"/>
        <w:rPr>
          <w:rFonts w:ascii="Arial" w:eastAsia="Calibri" w:hAnsi="Arial" w:cs="Arial"/>
          <w:sz w:val="26"/>
          <w:szCs w:val="26"/>
        </w:rPr>
      </w:pPr>
    </w:p>
    <w:p w14:paraId="095DB7E6" w14:textId="77777777" w:rsidR="005977CD" w:rsidRDefault="005977CD" w:rsidP="004E6D74">
      <w:pPr>
        <w:spacing w:line="360" w:lineRule="auto"/>
        <w:jc w:val="center"/>
        <w:rPr>
          <w:rFonts w:ascii="Arial" w:eastAsia="Calibri" w:hAnsi="Arial" w:cs="Arial"/>
          <w:sz w:val="26"/>
          <w:szCs w:val="26"/>
        </w:rPr>
      </w:pPr>
    </w:p>
    <w:p w14:paraId="0B81D210" w14:textId="77777777" w:rsidR="004E6D74" w:rsidRDefault="004E6D74" w:rsidP="004E6D74">
      <w:pPr>
        <w:spacing w:line="360" w:lineRule="auto"/>
        <w:jc w:val="center"/>
        <w:rPr>
          <w:rFonts w:ascii="Arial" w:eastAsia="Calibri" w:hAnsi="Arial" w:cs="Arial"/>
          <w:sz w:val="26"/>
          <w:szCs w:val="26"/>
        </w:rPr>
      </w:pPr>
    </w:p>
    <w:p w14:paraId="0E6478A5" w14:textId="77777777" w:rsidR="004E6D74" w:rsidRDefault="004E6D74" w:rsidP="004E6D74">
      <w:pPr>
        <w:spacing w:line="360" w:lineRule="auto"/>
        <w:jc w:val="center"/>
        <w:rPr>
          <w:rFonts w:ascii="Arial" w:eastAsia="Calibri" w:hAnsi="Arial" w:cs="Arial"/>
          <w:sz w:val="26"/>
          <w:szCs w:val="26"/>
        </w:rPr>
      </w:pPr>
    </w:p>
    <w:p w14:paraId="3F751AB2" w14:textId="77777777" w:rsidR="004E6D74" w:rsidRDefault="004E6D74" w:rsidP="004E6D74">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0A8E06D1" w14:textId="77777777" w:rsidR="004E6D74" w:rsidRDefault="004E6D74" w:rsidP="004E6D74">
      <w:pPr>
        <w:jc w:val="center"/>
        <w:rPr>
          <w:rFonts w:ascii="Arial" w:eastAsia="Calibri" w:hAnsi="Arial" w:cs="Arial"/>
          <w:sz w:val="26"/>
          <w:szCs w:val="26"/>
        </w:rPr>
      </w:pPr>
    </w:p>
    <w:p w14:paraId="6B64B1A4" w14:textId="392C8A87" w:rsidR="005977CD" w:rsidRPr="004E6D74" w:rsidRDefault="005977CD" w:rsidP="005977CD">
      <w:pPr>
        <w:spacing w:line="360" w:lineRule="auto"/>
        <w:jc w:val="center"/>
        <w:rPr>
          <w:rFonts w:ascii="Arial" w:eastAsia="Calibri" w:hAnsi="Arial" w:cs="Arial"/>
          <w:b/>
          <w:bCs/>
          <w:sz w:val="14"/>
          <w:szCs w:val="14"/>
        </w:rPr>
      </w:pPr>
      <w:r w:rsidRPr="004E6D74">
        <w:rPr>
          <w:rFonts w:ascii="Arial" w:eastAsia="Calibri" w:hAnsi="Arial" w:cs="Arial"/>
          <w:b/>
          <w:bCs/>
          <w:sz w:val="14"/>
          <w:szCs w:val="14"/>
        </w:rPr>
        <w:lastRenderedPageBreak/>
        <w:t xml:space="preserve">LAS PRESENTES FIRMAS CORRESPONDEN AL RECURSO DE REVISIÓN </w:t>
      </w:r>
      <w:r>
        <w:rPr>
          <w:rFonts w:ascii="Arial" w:eastAsia="Calibri" w:hAnsi="Arial" w:cs="Arial"/>
          <w:b/>
          <w:bCs/>
          <w:sz w:val="14"/>
          <w:szCs w:val="14"/>
        </w:rPr>
        <w:t>305</w:t>
      </w:r>
      <w:r w:rsidRPr="004E6D74">
        <w:rPr>
          <w:rFonts w:ascii="Arial" w:eastAsia="Calibri" w:hAnsi="Arial" w:cs="Arial"/>
          <w:b/>
          <w:bCs/>
          <w:sz w:val="14"/>
          <w:szCs w:val="14"/>
        </w:rPr>
        <w:t>/201</w:t>
      </w:r>
      <w:r>
        <w:rPr>
          <w:rFonts w:ascii="Arial" w:eastAsia="Calibri" w:hAnsi="Arial" w:cs="Arial"/>
          <w:b/>
          <w:bCs/>
          <w:sz w:val="14"/>
          <w:szCs w:val="14"/>
        </w:rPr>
        <w:t>9</w:t>
      </w:r>
    </w:p>
    <w:p w14:paraId="05A845D6" w14:textId="77777777" w:rsidR="004E6D74" w:rsidRDefault="004E6D74" w:rsidP="004E6D74">
      <w:pPr>
        <w:jc w:val="center"/>
        <w:rPr>
          <w:rFonts w:ascii="Arial" w:eastAsia="Calibri" w:hAnsi="Arial" w:cs="Arial"/>
          <w:sz w:val="26"/>
          <w:szCs w:val="26"/>
        </w:rPr>
      </w:pPr>
    </w:p>
    <w:p w14:paraId="238BE847" w14:textId="77777777" w:rsidR="004E6D74" w:rsidRDefault="004E6D74" w:rsidP="004E6D74">
      <w:pPr>
        <w:spacing w:after="0" w:line="240" w:lineRule="auto"/>
        <w:rPr>
          <w:rFonts w:ascii="Arial" w:eastAsia="Calibri" w:hAnsi="Arial" w:cs="Arial"/>
          <w:sz w:val="26"/>
          <w:szCs w:val="26"/>
        </w:rPr>
      </w:pPr>
    </w:p>
    <w:p w14:paraId="495AB4D9" w14:textId="7F202ED1" w:rsidR="004E6D74" w:rsidRDefault="004E6D74" w:rsidP="004E6D74">
      <w:pPr>
        <w:spacing w:after="0" w:line="240" w:lineRule="auto"/>
        <w:jc w:val="center"/>
        <w:rPr>
          <w:rFonts w:ascii="Arial" w:eastAsia="Calibri" w:hAnsi="Arial" w:cs="Arial"/>
          <w:sz w:val="26"/>
          <w:szCs w:val="26"/>
        </w:rPr>
      </w:pPr>
    </w:p>
    <w:p w14:paraId="10B1080E" w14:textId="728ECBF0" w:rsidR="005F50B7" w:rsidRDefault="005F50B7" w:rsidP="004E6D74">
      <w:pPr>
        <w:spacing w:after="0" w:line="240" w:lineRule="auto"/>
        <w:jc w:val="center"/>
        <w:rPr>
          <w:rFonts w:ascii="Arial" w:eastAsia="Calibri" w:hAnsi="Arial" w:cs="Arial"/>
          <w:sz w:val="26"/>
          <w:szCs w:val="26"/>
        </w:rPr>
      </w:pPr>
    </w:p>
    <w:p w14:paraId="6B32A1A2" w14:textId="106FAFFA" w:rsidR="005F50B7" w:rsidRDefault="005F50B7" w:rsidP="004E6D74">
      <w:pPr>
        <w:spacing w:after="0" w:line="240" w:lineRule="auto"/>
        <w:jc w:val="center"/>
        <w:rPr>
          <w:rFonts w:ascii="Arial" w:eastAsia="Calibri" w:hAnsi="Arial" w:cs="Arial"/>
          <w:sz w:val="26"/>
          <w:szCs w:val="26"/>
        </w:rPr>
      </w:pPr>
    </w:p>
    <w:p w14:paraId="27BEC17E" w14:textId="77777777" w:rsidR="005F50B7" w:rsidRDefault="005F50B7" w:rsidP="004E6D74">
      <w:pPr>
        <w:spacing w:after="0" w:line="240" w:lineRule="auto"/>
        <w:jc w:val="center"/>
        <w:rPr>
          <w:rFonts w:ascii="Arial" w:eastAsia="Calibri" w:hAnsi="Arial" w:cs="Arial"/>
          <w:sz w:val="26"/>
          <w:szCs w:val="26"/>
        </w:rPr>
      </w:pPr>
    </w:p>
    <w:p w14:paraId="4308EE48" w14:textId="77777777" w:rsidR="005977CD" w:rsidRDefault="005977CD" w:rsidP="004E6D74">
      <w:pPr>
        <w:spacing w:after="0" w:line="240" w:lineRule="auto"/>
        <w:jc w:val="center"/>
        <w:rPr>
          <w:rFonts w:ascii="Arial" w:eastAsia="Calibri" w:hAnsi="Arial" w:cs="Arial"/>
          <w:sz w:val="26"/>
          <w:szCs w:val="26"/>
        </w:rPr>
      </w:pPr>
    </w:p>
    <w:p w14:paraId="2AEDA939" w14:textId="77777777" w:rsidR="005F50B7" w:rsidRDefault="005F50B7" w:rsidP="005F50B7">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37D8C67E" w14:textId="77777777" w:rsidR="004E6D74" w:rsidRDefault="004E6D74" w:rsidP="004E6D74">
      <w:pPr>
        <w:spacing w:after="0" w:line="240" w:lineRule="auto"/>
        <w:jc w:val="center"/>
        <w:rPr>
          <w:rFonts w:ascii="Arial" w:eastAsia="Calibri" w:hAnsi="Arial" w:cs="Arial"/>
          <w:sz w:val="26"/>
          <w:szCs w:val="26"/>
        </w:rPr>
      </w:pPr>
    </w:p>
    <w:p w14:paraId="1243AB90" w14:textId="77777777" w:rsidR="004E6D74" w:rsidRDefault="004E6D74" w:rsidP="004E6D74">
      <w:pPr>
        <w:spacing w:after="0" w:line="240" w:lineRule="auto"/>
        <w:jc w:val="center"/>
        <w:rPr>
          <w:rFonts w:ascii="Arial" w:eastAsia="Calibri" w:hAnsi="Arial" w:cs="Arial"/>
          <w:sz w:val="26"/>
          <w:szCs w:val="26"/>
        </w:rPr>
      </w:pPr>
    </w:p>
    <w:p w14:paraId="1ED2ABDE" w14:textId="77777777" w:rsidR="005F50B7" w:rsidRDefault="005F50B7" w:rsidP="004E6D74">
      <w:pPr>
        <w:jc w:val="center"/>
        <w:rPr>
          <w:rFonts w:ascii="Arial" w:eastAsia="Calibri" w:hAnsi="Arial" w:cs="Arial"/>
          <w:sz w:val="26"/>
          <w:szCs w:val="26"/>
        </w:rPr>
      </w:pPr>
    </w:p>
    <w:p w14:paraId="30D8F8F1" w14:textId="77777777" w:rsidR="005F50B7" w:rsidRDefault="005F50B7" w:rsidP="005F50B7">
      <w:pPr>
        <w:rPr>
          <w:rFonts w:ascii="Arial" w:eastAsia="Calibri" w:hAnsi="Arial" w:cs="Arial"/>
          <w:sz w:val="26"/>
          <w:szCs w:val="26"/>
        </w:rPr>
      </w:pPr>
    </w:p>
    <w:p w14:paraId="4F02C388" w14:textId="77777777" w:rsidR="005F50B7" w:rsidRDefault="005F50B7" w:rsidP="004E6D74">
      <w:pPr>
        <w:jc w:val="center"/>
        <w:rPr>
          <w:rFonts w:ascii="Arial" w:eastAsia="Calibri" w:hAnsi="Arial" w:cs="Arial"/>
          <w:sz w:val="26"/>
          <w:szCs w:val="26"/>
        </w:rPr>
      </w:pPr>
    </w:p>
    <w:p w14:paraId="49197A58" w14:textId="0ED2FB63" w:rsidR="004E6D74" w:rsidRDefault="004E6D74" w:rsidP="004E6D74">
      <w:pPr>
        <w:jc w:val="center"/>
        <w:rPr>
          <w:rFonts w:ascii="Arial" w:eastAsia="Calibri" w:hAnsi="Arial" w:cs="Arial"/>
          <w:sz w:val="26"/>
          <w:szCs w:val="26"/>
        </w:rPr>
      </w:pPr>
      <w:r>
        <w:rPr>
          <w:rFonts w:ascii="Arial" w:eastAsia="Calibri" w:hAnsi="Arial" w:cs="Arial"/>
          <w:sz w:val="26"/>
          <w:szCs w:val="26"/>
        </w:rPr>
        <w:t>MAGISTRADO ADRIÁN QUIROGA AVENDAÑO</w:t>
      </w:r>
    </w:p>
    <w:p w14:paraId="7177634C" w14:textId="77777777" w:rsidR="004E6D74" w:rsidRDefault="004E6D74" w:rsidP="004E6D74">
      <w:pPr>
        <w:spacing w:line="360" w:lineRule="auto"/>
        <w:jc w:val="center"/>
        <w:rPr>
          <w:rFonts w:ascii="Arial" w:eastAsia="Calibri" w:hAnsi="Arial" w:cs="Arial"/>
          <w:sz w:val="26"/>
          <w:szCs w:val="26"/>
        </w:rPr>
      </w:pPr>
    </w:p>
    <w:p w14:paraId="0C2958F1" w14:textId="48AA290E" w:rsidR="004E6D74" w:rsidRDefault="004E6D74" w:rsidP="004E6D74">
      <w:pPr>
        <w:spacing w:line="360" w:lineRule="auto"/>
        <w:rPr>
          <w:rFonts w:ascii="Arial" w:eastAsia="Calibri" w:hAnsi="Arial" w:cs="Arial"/>
          <w:sz w:val="26"/>
          <w:szCs w:val="26"/>
        </w:rPr>
      </w:pPr>
    </w:p>
    <w:p w14:paraId="42F5E350" w14:textId="77777777" w:rsidR="005977CD" w:rsidRDefault="005977CD" w:rsidP="004E6D74">
      <w:pPr>
        <w:spacing w:line="360" w:lineRule="auto"/>
        <w:rPr>
          <w:rFonts w:ascii="Arial" w:eastAsia="Calibri" w:hAnsi="Arial" w:cs="Arial"/>
          <w:sz w:val="26"/>
          <w:szCs w:val="26"/>
        </w:rPr>
      </w:pPr>
    </w:p>
    <w:p w14:paraId="2945D29E" w14:textId="77777777" w:rsidR="004E6D74" w:rsidRDefault="004E6D74" w:rsidP="004E6D74">
      <w:pPr>
        <w:spacing w:line="360" w:lineRule="auto"/>
        <w:jc w:val="center"/>
        <w:rPr>
          <w:rFonts w:ascii="Arial" w:eastAsia="Calibri" w:hAnsi="Arial" w:cs="Arial"/>
          <w:sz w:val="26"/>
          <w:szCs w:val="26"/>
        </w:rPr>
      </w:pPr>
    </w:p>
    <w:p w14:paraId="76ADD2A8" w14:textId="77777777" w:rsidR="004E6D74" w:rsidRDefault="004E6D74" w:rsidP="004E6D74">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05778061" w14:textId="77777777" w:rsidR="004E6D74" w:rsidRDefault="004E6D74" w:rsidP="004E6D74">
      <w:pPr>
        <w:spacing w:line="360" w:lineRule="auto"/>
        <w:jc w:val="center"/>
        <w:rPr>
          <w:rFonts w:ascii="Arial" w:eastAsia="Calibri" w:hAnsi="Arial" w:cs="Arial"/>
          <w:sz w:val="28"/>
          <w:szCs w:val="28"/>
        </w:rPr>
      </w:pPr>
      <w:r>
        <w:rPr>
          <w:rFonts w:ascii="Arial" w:eastAsia="Calibri" w:hAnsi="Arial" w:cs="Arial"/>
          <w:sz w:val="26"/>
          <w:szCs w:val="26"/>
        </w:rPr>
        <w:t>SECRETARIA GENERAL DE ACUERDOS</w:t>
      </w:r>
    </w:p>
    <w:p w14:paraId="5484BAC4" w14:textId="77777777" w:rsidR="004E6D74" w:rsidRDefault="004E6D74" w:rsidP="004E6D74"/>
    <w:p w14:paraId="02FDCD85" w14:textId="77777777" w:rsidR="004E6D74" w:rsidRDefault="004E6D74" w:rsidP="004E6D74">
      <w:pPr>
        <w:spacing w:line="360" w:lineRule="auto"/>
        <w:jc w:val="both"/>
        <w:rPr>
          <w:rFonts w:ascii="Arial" w:hAnsi="Arial" w:cs="Arial"/>
          <w:sz w:val="26"/>
          <w:szCs w:val="26"/>
        </w:rPr>
      </w:pPr>
    </w:p>
    <w:p w14:paraId="42B093DC" w14:textId="5873A4E5" w:rsidR="006B1B6F" w:rsidRDefault="006B1B6F" w:rsidP="004E6D74">
      <w:pPr>
        <w:spacing w:before="240" w:line="360" w:lineRule="auto"/>
        <w:ind w:firstLine="708"/>
        <w:jc w:val="both"/>
        <w:rPr>
          <w:sz w:val="26"/>
          <w:szCs w:val="26"/>
        </w:rPr>
      </w:pPr>
    </w:p>
    <w:sectPr w:rsidR="006B1B6F" w:rsidSect="00946D28">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F617E" w14:textId="77777777" w:rsidR="00BC428F" w:rsidRDefault="00BC428F">
      <w:pPr>
        <w:spacing w:after="0" w:line="240" w:lineRule="auto"/>
      </w:pPr>
      <w:r>
        <w:separator/>
      </w:r>
    </w:p>
  </w:endnote>
  <w:endnote w:type="continuationSeparator" w:id="0">
    <w:p w14:paraId="6F3C2D3B" w14:textId="77777777" w:rsidR="00BC428F" w:rsidRDefault="00BC4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727E7B" w14:textId="77777777" w:rsidR="00BC428F" w:rsidRDefault="00BC428F">
      <w:pPr>
        <w:spacing w:after="0" w:line="240" w:lineRule="auto"/>
      </w:pPr>
      <w:r>
        <w:separator/>
      </w:r>
    </w:p>
  </w:footnote>
  <w:footnote w:type="continuationSeparator" w:id="0">
    <w:p w14:paraId="4F84311E" w14:textId="77777777" w:rsidR="00BC428F" w:rsidRDefault="00BC428F">
      <w:pPr>
        <w:spacing w:after="0" w:line="240" w:lineRule="auto"/>
      </w:pPr>
      <w:r>
        <w:continuationSeparator/>
      </w:r>
    </w:p>
  </w:footnote>
  <w:footnote w:id="1">
    <w:p w14:paraId="3A6F2741" w14:textId="77777777" w:rsidR="005977CD" w:rsidRPr="00EE07EC" w:rsidRDefault="005977CD" w:rsidP="005977CD">
      <w:pPr>
        <w:pStyle w:val="Textonotapie"/>
        <w:ind w:right="-234"/>
        <w:rPr>
          <w:rFonts w:ascii="Arial" w:hAnsi="Arial" w:cs="Arial"/>
        </w:rPr>
      </w:pPr>
      <w:r w:rsidRPr="00EE07EC">
        <w:rPr>
          <w:rStyle w:val="Refdenotaalpie"/>
          <w:rFonts w:ascii="Arial" w:hAnsi="Arial" w:cs="Arial"/>
        </w:rPr>
        <w:footnoteRef/>
      </w:r>
      <w:r w:rsidRPr="00EE07EC">
        <w:rPr>
          <w:rFonts w:ascii="Arial" w:hAnsi="Arial" w:cs="Arial"/>
        </w:rPr>
        <w:t xml:space="preserve"> Visible a foja 01 del expediente 0056/2019 del índice de la Cuarta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F95E52E" w14:textId="77777777" w:rsidR="00CB15B7" w:rsidRDefault="00CB15B7" w:rsidP="00D25099">
        <w:pPr>
          <w:pStyle w:val="Encabezado"/>
          <w:jc w:val="center"/>
        </w:pPr>
        <w:r>
          <w:fldChar w:fldCharType="begin"/>
        </w:r>
        <w:r>
          <w:instrText>PAGE   \* MERGEFORMAT</w:instrText>
        </w:r>
        <w:r>
          <w:fldChar w:fldCharType="separate"/>
        </w:r>
        <w:r w:rsidR="00431C30">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763D2C9A" w14:textId="77777777" w:rsidR="00CB15B7" w:rsidRDefault="00CB15B7" w:rsidP="00206B99">
        <w:pPr>
          <w:pStyle w:val="Encabezado"/>
          <w:jc w:val="center"/>
          <w:rPr>
            <w:noProof/>
          </w:rPr>
        </w:pPr>
        <w:r>
          <w:fldChar w:fldCharType="begin"/>
        </w:r>
        <w:r>
          <w:instrText xml:space="preserve"> PAGE   \* MERGEFORMAT </w:instrText>
        </w:r>
        <w:r>
          <w:fldChar w:fldCharType="separate"/>
        </w:r>
        <w:r w:rsidR="00431C30">
          <w:rPr>
            <w:noProof/>
          </w:rPr>
          <w:t>1</w:t>
        </w:r>
        <w:r>
          <w:rPr>
            <w:noProof/>
          </w:rPr>
          <w:fldChar w:fldCharType="end"/>
        </w:r>
      </w:p>
      <w:p w14:paraId="23E4F926" w14:textId="77777777" w:rsidR="00CB15B7" w:rsidRDefault="00BC428F" w:rsidP="008C74CA">
        <w:pPr>
          <w:pStyle w:val="Encabezado"/>
          <w:jc w:val="center"/>
        </w:pPr>
      </w:p>
    </w:sdtContent>
  </w:sdt>
  <w:p w14:paraId="2236DB2F" w14:textId="77777777" w:rsidR="00CB15B7" w:rsidRDefault="00CB15B7" w:rsidP="00256B01">
    <w:pPr>
      <w:pStyle w:val="Encabezado"/>
      <w:jc w:val="center"/>
    </w:pPr>
  </w:p>
  <w:p w14:paraId="2D834C47" w14:textId="77777777" w:rsidR="00CB15B7" w:rsidRDefault="00CB15B7" w:rsidP="00256B01">
    <w:pPr>
      <w:pStyle w:val="Encabezado"/>
      <w:jc w:val="center"/>
    </w:pPr>
    <w:r>
      <w:rPr>
        <w:noProof/>
        <w:lang w:val="es-MX" w:eastAsia="es-MX"/>
      </w:rPr>
      <w:drawing>
        <wp:anchor distT="0" distB="0" distL="114300" distR="114300" simplePos="0" relativeHeight="251661312" behindDoc="1" locked="0" layoutInCell="1" allowOverlap="1" wp14:anchorId="1D7993E9" wp14:editId="5C2C0C8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20E9DB22" wp14:editId="4688686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0B06C24"/>
    <w:multiLevelType w:val="hybridMultilevel"/>
    <w:tmpl w:val="FDDC64B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2"/>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3"/>
  </w:num>
  <w:num w:numId="12">
    <w:abstractNumId w:val="2"/>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676"/>
    <w:rsid w:val="00002F5A"/>
    <w:rsid w:val="000042DC"/>
    <w:rsid w:val="00004A31"/>
    <w:rsid w:val="00005C55"/>
    <w:rsid w:val="00006FF3"/>
    <w:rsid w:val="0000725B"/>
    <w:rsid w:val="00011594"/>
    <w:rsid w:val="000169A3"/>
    <w:rsid w:val="00017C09"/>
    <w:rsid w:val="0002022E"/>
    <w:rsid w:val="00021DF1"/>
    <w:rsid w:val="0002236D"/>
    <w:rsid w:val="00026C11"/>
    <w:rsid w:val="00026F35"/>
    <w:rsid w:val="00030D6B"/>
    <w:rsid w:val="000330FB"/>
    <w:rsid w:val="0003331C"/>
    <w:rsid w:val="0003408D"/>
    <w:rsid w:val="00035047"/>
    <w:rsid w:val="00035379"/>
    <w:rsid w:val="00036D01"/>
    <w:rsid w:val="000410A1"/>
    <w:rsid w:val="00041D15"/>
    <w:rsid w:val="00042B31"/>
    <w:rsid w:val="00042D04"/>
    <w:rsid w:val="00043289"/>
    <w:rsid w:val="0004575F"/>
    <w:rsid w:val="00045828"/>
    <w:rsid w:val="00045A11"/>
    <w:rsid w:val="0004718D"/>
    <w:rsid w:val="00047EA4"/>
    <w:rsid w:val="00050B7F"/>
    <w:rsid w:val="00052952"/>
    <w:rsid w:val="00053617"/>
    <w:rsid w:val="00053C13"/>
    <w:rsid w:val="00055CE8"/>
    <w:rsid w:val="00056A38"/>
    <w:rsid w:val="0005701D"/>
    <w:rsid w:val="00057174"/>
    <w:rsid w:val="00057817"/>
    <w:rsid w:val="000612E4"/>
    <w:rsid w:val="000616B5"/>
    <w:rsid w:val="00067BB9"/>
    <w:rsid w:val="00070777"/>
    <w:rsid w:val="000737BF"/>
    <w:rsid w:val="0007458B"/>
    <w:rsid w:val="000752E9"/>
    <w:rsid w:val="00076CEA"/>
    <w:rsid w:val="000803AB"/>
    <w:rsid w:val="00081361"/>
    <w:rsid w:val="000822AF"/>
    <w:rsid w:val="000836A6"/>
    <w:rsid w:val="00083BEB"/>
    <w:rsid w:val="00084C37"/>
    <w:rsid w:val="00085132"/>
    <w:rsid w:val="00085EDB"/>
    <w:rsid w:val="00085F69"/>
    <w:rsid w:val="00090B95"/>
    <w:rsid w:val="00094546"/>
    <w:rsid w:val="0009618C"/>
    <w:rsid w:val="000961D2"/>
    <w:rsid w:val="00097089"/>
    <w:rsid w:val="000A1494"/>
    <w:rsid w:val="000A4E40"/>
    <w:rsid w:val="000A6360"/>
    <w:rsid w:val="000A6EC7"/>
    <w:rsid w:val="000A7BA9"/>
    <w:rsid w:val="000B0E70"/>
    <w:rsid w:val="000B15DC"/>
    <w:rsid w:val="000B1A06"/>
    <w:rsid w:val="000B3B3B"/>
    <w:rsid w:val="000B4122"/>
    <w:rsid w:val="000B58CA"/>
    <w:rsid w:val="000C1F7C"/>
    <w:rsid w:val="000C313C"/>
    <w:rsid w:val="000C3DBF"/>
    <w:rsid w:val="000C672B"/>
    <w:rsid w:val="000C728D"/>
    <w:rsid w:val="000D0E1D"/>
    <w:rsid w:val="000D1BD0"/>
    <w:rsid w:val="000D1E6F"/>
    <w:rsid w:val="000D29A1"/>
    <w:rsid w:val="000D29D8"/>
    <w:rsid w:val="000D2FDE"/>
    <w:rsid w:val="000E12D3"/>
    <w:rsid w:val="000E218B"/>
    <w:rsid w:val="000E26F8"/>
    <w:rsid w:val="000E2E24"/>
    <w:rsid w:val="000E322A"/>
    <w:rsid w:val="000E504E"/>
    <w:rsid w:val="000E6E38"/>
    <w:rsid w:val="000F018A"/>
    <w:rsid w:val="000F14DC"/>
    <w:rsid w:val="000F36E3"/>
    <w:rsid w:val="000F54B0"/>
    <w:rsid w:val="000F5D12"/>
    <w:rsid w:val="000F62C3"/>
    <w:rsid w:val="000F7CF6"/>
    <w:rsid w:val="00100240"/>
    <w:rsid w:val="00103FE7"/>
    <w:rsid w:val="001058D3"/>
    <w:rsid w:val="00105DF0"/>
    <w:rsid w:val="00105EB1"/>
    <w:rsid w:val="0010644A"/>
    <w:rsid w:val="00106B52"/>
    <w:rsid w:val="0010751E"/>
    <w:rsid w:val="00107C10"/>
    <w:rsid w:val="00111B33"/>
    <w:rsid w:val="00111BFC"/>
    <w:rsid w:val="00113374"/>
    <w:rsid w:val="001144A1"/>
    <w:rsid w:val="00114AC5"/>
    <w:rsid w:val="00116579"/>
    <w:rsid w:val="00116CD1"/>
    <w:rsid w:val="00120740"/>
    <w:rsid w:val="001208F4"/>
    <w:rsid w:val="00120E04"/>
    <w:rsid w:val="00121600"/>
    <w:rsid w:val="0012217B"/>
    <w:rsid w:val="00122F5E"/>
    <w:rsid w:val="00122FD2"/>
    <w:rsid w:val="00124A23"/>
    <w:rsid w:val="001252E7"/>
    <w:rsid w:val="0012610A"/>
    <w:rsid w:val="00126F80"/>
    <w:rsid w:val="00127839"/>
    <w:rsid w:val="00127A57"/>
    <w:rsid w:val="00127D14"/>
    <w:rsid w:val="00130500"/>
    <w:rsid w:val="001308D4"/>
    <w:rsid w:val="00131CDF"/>
    <w:rsid w:val="00133C57"/>
    <w:rsid w:val="00133D64"/>
    <w:rsid w:val="00135E8B"/>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5B49"/>
    <w:rsid w:val="0015751B"/>
    <w:rsid w:val="00164061"/>
    <w:rsid w:val="0016450B"/>
    <w:rsid w:val="00164BAD"/>
    <w:rsid w:val="0016739B"/>
    <w:rsid w:val="00171831"/>
    <w:rsid w:val="00172159"/>
    <w:rsid w:val="00172205"/>
    <w:rsid w:val="00172251"/>
    <w:rsid w:val="0017244E"/>
    <w:rsid w:val="00172B29"/>
    <w:rsid w:val="001761CB"/>
    <w:rsid w:val="00176F82"/>
    <w:rsid w:val="00180F55"/>
    <w:rsid w:val="001827CF"/>
    <w:rsid w:val="001843E8"/>
    <w:rsid w:val="0018440A"/>
    <w:rsid w:val="00184B23"/>
    <w:rsid w:val="00185481"/>
    <w:rsid w:val="00187CB8"/>
    <w:rsid w:val="0019080F"/>
    <w:rsid w:val="00190DE9"/>
    <w:rsid w:val="00191A27"/>
    <w:rsid w:val="00191ECF"/>
    <w:rsid w:val="00192287"/>
    <w:rsid w:val="00194A88"/>
    <w:rsid w:val="00194C5C"/>
    <w:rsid w:val="001958E1"/>
    <w:rsid w:val="00195C5B"/>
    <w:rsid w:val="0019600D"/>
    <w:rsid w:val="00196588"/>
    <w:rsid w:val="001A2DD1"/>
    <w:rsid w:val="001A3755"/>
    <w:rsid w:val="001A5951"/>
    <w:rsid w:val="001A5B4D"/>
    <w:rsid w:val="001A608E"/>
    <w:rsid w:val="001A7D56"/>
    <w:rsid w:val="001B0909"/>
    <w:rsid w:val="001B1297"/>
    <w:rsid w:val="001B40F8"/>
    <w:rsid w:val="001B469D"/>
    <w:rsid w:val="001B6227"/>
    <w:rsid w:val="001B73BC"/>
    <w:rsid w:val="001C0740"/>
    <w:rsid w:val="001C085D"/>
    <w:rsid w:val="001C1FCF"/>
    <w:rsid w:val="001C3488"/>
    <w:rsid w:val="001C4AAC"/>
    <w:rsid w:val="001C6A1B"/>
    <w:rsid w:val="001D0A5A"/>
    <w:rsid w:val="001D0EA6"/>
    <w:rsid w:val="001D1DB7"/>
    <w:rsid w:val="001D219E"/>
    <w:rsid w:val="001D2397"/>
    <w:rsid w:val="001D27A6"/>
    <w:rsid w:val="001D3995"/>
    <w:rsid w:val="001D3B81"/>
    <w:rsid w:val="001D5C87"/>
    <w:rsid w:val="001D68F4"/>
    <w:rsid w:val="001D694C"/>
    <w:rsid w:val="001D730F"/>
    <w:rsid w:val="001D7FCD"/>
    <w:rsid w:val="001E1758"/>
    <w:rsid w:val="001E3B11"/>
    <w:rsid w:val="001E503D"/>
    <w:rsid w:val="001E60FE"/>
    <w:rsid w:val="001E631B"/>
    <w:rsid w:val="001E680E"/>
    <w:rsid w:val="001F03C6"/>
    <w:rsid w:val="001F26F7"/>
    <w:rsid w:val="001F72DF"/>
    <w:rsid w:val="001F7C33"/>
    <w:rsid w:val="00200843"/>
    <w:rsid w:val="00200C2A"/>
    <w:rsid w:val="0020247E"/>
    <w:rsid w:val="00203FD3"/>
    <w:rsid w:val="00204B05"/>
    <w:rsid w:val="00205056"/>
    <w:rsid w:val="00206222"/>
    <w:rsid w:val="002069B7"/>
    <w:rsid w:val="00206B99"/>
    <w:rsid w:val="002113FA"/>
    <w:rsid w:val="0021196E"/>
    <w:rsid w:val="00211AEE"/>
    <w:rsid w:val="00211DEF"/>
    <w:rsid w:val="00212CDB"/>
    <w:rsid w:val="00212D0A"/>
    <w:rsid w:val="002142E7"/>
    <w:rsid w:val="002142F8"/>
    <w:rsid w:val="00214AF4"/>
    <w:rsid w:val="00214B69"/>
    <w:rsid w:val="00215294"/>
    <w:rsid w:val="00216474"/>
    <w:rsid w:val="00216595"/>
    <w:rsid w:val="00220A65"/>
    <w:rsid w:val="002214CB"/>
    <w:rsid w:val="0022196F"/>
    <w:rsid w:val="00222DE0"/>
    <w:rsid w:val="00223F75"/>
    <w:rsid w:val="00226A03"/>
    <w:rsid w:val="00227D12"/>
    <w:rsid w:val="0023003B"/>
    <w:rsid w:val="002310A8"/>
    <w:rsid w:val="00231F16"/>
    <w:rsid w:val="002327AF"/>
    <w:rsid w:val="00233034"/>
    <w:rsid w:val="00233130"/>
    <w:rsid w:val="00233214"/>
    <w:rsid w:val="0023434D"/>
    <w:rsid w:val="00236064"/>
    <w:rsid w:val="002366C4"/>
    <w:rsid w:val="002378DE"/>
    <w:rsid w:val="002406EF"/>
    <w:rsid w:val="0024234A"/>
    <w:rsid w:val="00242891"/>
    <w:rsid w:val="002429F6"/>
    <w:rsid w:val="00243181"/>
    <w:rsid w:val="0024497C"/>
    <w:rsid w:val="00245BAC"/>
    <w:rsid w:val="002465CC"/>
    <w:rsid w:val="00246862"/>
    <w:rsid w:val="00246915"/>
    <w:rsid w:val="00246F70"/>
    <w:rsid w:val="00247485"/>
    <w:rsid w:val="00247875"/>
    <w:rsid w:val="00247D11"/>
    <w:rsid w:val="00254ED2"/>
    <w:rsid w:val="00256B01"/>
    <w:rsid w:val="00262666"/>
    <w:rsid w:val="00263720"/>
    <w:rsid w:val="00263EDB"/>
    <w:rsid w:val="002675D0"/>
    <w:rsid w:val="0026762A"/>
    <w:rsid w:val="00267A88"/>
    <w:rsid w:val="002702E2"/>
    <w:rsid w:val="002729E4"/>
    <w:rsid w:val="00273171"/>
    <w:rsid w:val="00273458"/>
    <w:rsid w:val="002741C8"/>
    <w:rsid w:val="00274366"/>
    <w:rsid w:val="00275C7A"/>
    <w:rsid w:val="00277951"/>
    <w:rsid w:val="002802EC"/>
    <w:rsid w:val="002805AC"/>
    <w:rsid w:val="002811D0"/>
    <w:rsid w:val="0028174E"/>
    <w:rsid w:val="0028299E"/>
    <w:rsid w:val="00283967"/>
    <w:rsid w:val="00283B3F"/>
    <w:rsid w:val="0028420C"/>
    <w:rsid w:val="002844AF"/>
    <w:rsid w:val="0028463A"/>
    <w:rsid w:val="00285849"/>
    <w:rsid w:val="00285D63"/>
    <w:rsid w:val="002870CA"/>
    <w:rsid w:val="002908C0"/>
    <w:rsid w:val="00290C9E"/>
    <w:rsid w:val="00291333"/>
    <w:rsid w:val="00292316"/>
    <w:rsid w:val="00292C7D"/>
    <w:rsid w:val="00293597"/>
    <w:rsid w:val="00293688"/>
    <w:rsid w:val="0029542B"/>
    <w:rsid w:val="002961D1"/>
    <w:rsid w:val="00296748"/>
    <w:rsid w:val="00297344"/>
    <w:rsid w:val="00297363"/>
    <w:rsid w:val="002A0B1C"/>
    <w:rsid w:val="002A10CA"/>
    <w:rsid w:val="002A28E5"/>
    <w:rsid w:val="002A2985"/>
    <w:rsid w:val="002A2DCB"/>
    <w:rsid w:val="002A3126"/>
    <w:rsid w:val="002A4088"/>
    <w:rsid w:val="002A411F"/>
    <w:rsid w:val="002A5510"/>
    <w:rsid w:val="002A6EF0"/>
    <w:rsid w:val="002A72DF"/>
    <w:rsid w:val="002B2568"/>
    <w:rsid w:val="002B29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512B"/>
    <w:rsid w:val="002D6763"/>
    <w:rsid w:val="002D7277"/>
    <w:rsid w:val="002D7BCE"/>
    <w:rsid w:val="002E07CB"/>
    <w:rsid w:val="002E26EB"/>
    <w:rsid w:val="002E5A21"/>
    <w:rsid w:val="002E73F5"/>
    <w:rsid w:val="002E796C"/>
    <w:rsid w:val="002F19AF"/>
    <w:rsid w:val="002F45B6"/>
    <w:rsid w:val="002F4F72"/>
    <w:rsid w:val="002F69D0"/>
    <w:rsid w:val="002F7173"/>
    <w:rsid w:val="002F7484"/>
    <w:rsid w:val="00300E65"/>
    <w:rsid w:val="00301F1D"/>
    <w:rsid w:val="00302511"/>
    <w:rsid w:val="00302C57"/>
    <w:rsid w:val="00303020"/>
    <w:rsid w:val="003032E2"/>
    <w:rsid w:val="00304999"/>
    <w:rsid w:val="003076B0"/>
    <w:rsid w:val="00307E06"/>
    <w:rsid w:val="00310AC6"/>
    <w:rsid w:val="00310EFD"/>
    <w:rsid w:val="00312470"/>
    <w:rsid w:val="003124A7"/>
    <w:rsid w:val="00313150"/>
    <w:rsid w:val="0031531C"/>
    <w:rsid w:val="00315C76"/>
    <w:rsid w:val="0031730E"/>
    <w:rsid w:val="0032127F"/>
    <w:rsid w:val="00321AAB"/>
    <w:rsid w:val="00321C10"/>
    <w:rsid w:val="00323613"/>
    <w:rsid w:val="00324B6A"/>
    <w:rsid w:val="003253CA"/>
    <w:rsid w:val="00326003"/>
    <w:rsid w:val="003312FD"/>
    <w:rsid w:val="00331836"/>
    <w:rsid w:val="00331C6C"/>
    <w:rsid w:val="0033426E"/>
    <w:rsid w:val="00334D89"/>
    <w:rsid w:val="00335EF4"/>
    <w:rsid w:val="00337583"/>
    <w:rsid w:val="0034013A"/>
    <w:rsid w:val="0034180B"/>
    <w:rsid w:val="00342CE5"/>
    <w:rsid w:val="003462AA"/>
    <w:rsid w:val="00346CD3"/>
    <w:rsid w:val="003505C2"/>
    <w:rsid w:val="00350F3F"/>
    <w:rsid w:val="003533D9"/>
    <w:rsid w:val="00355E72"/>
    <w:rsid w:val="00360A0B"/>
    <w:rsid w:val="00362E0E"/>
    <w:rsid w:val="003633B9"/>
    <w:rsid w:val="003646B9"/>
    <w:rsid w:val="003708D3"/>
    <w:rsid w:val="00370AD2"/>
    <w:rsid w:val="003731F5"/>
    <w:rsid w:val="0037352A"/>
    <w:rsid w:val="00375176"/>
    <w:rsid w:val="003779D8"/>
    <w:rsid w:val="00380BAC"/>
    <w:rsid w:val="003818BD"/>
    <w:rsid w:val="00381DC3"/>
    <w:rsid w:val="00382B83"/>
    <w:rsid w:val="00382FD0"/>
    <w:rsid w:val="003873E7"/>
    <w:rsid w:val="00387C97"/>
    <w:rsid w:val="00392150"/>
    <w:rsid w:val="003951A8"/>
    <w:rsid w:val="003952CD"/>
    <w:rsid w:val="00395802"/>
    <w:rsid w:val="003965ED"/>
    <w:rsid w:val="003A0ACC"/>
    <w:rsid w:val="003A12AB"/>
    <w:rsid w:val="003A1F55"/>
    <w:rsid w:val="003A3A38"/>
    <w:rsid w:val="003A3DAA"/>
    <w:rsid w:val="003A7955"/>
    <w:rsid w:val="003B1512"/>
    <w:rsid w:val="003B20F0"/>
    <w:rsid w:val="003B2AF4"/>
    <w:rsid w:val="003B2E9F"/>
    <w:rsid w:val="003B2FF4"/>
    <w:rsid w:val="003B373B"/>
    <w:rsid w:val="003B4BAF"/>
    <w:rsid w:val="003B68EA"/>
    <w:rsid w:val="003B6C7E"/>
    <w:rsid w:val="003B7BE7"/>
    <w:rsid w:val="003B7C7A"/>
    <w:rsid w:val="003C0AC1"/>
    <w:rsid w:val="003C3C72"/>
    <w:rsid w:val="003C4A93"/>
    <w:rsid w:val="003C63BE"/>
    <w:rsid w:val="003D1C8C"/>
    <w:rsid w:val="003D1EF2"/>
    <w:rsid w:val="003D5847"/>
    <w:rsid w:val="003D5E2A"/>
    <w:rsid w:val="003D707F"/>
    <w:rsid w:val="003D7F85"/>
    <w:rsid w:val="003E0B3C"/>
    <w:rsid w:val="003E0F2A"/>
    <w:rsid w:val="003E15CF"/>
    <w:rsid w:val="003E2367"/>
    <w:rsid w:val="003E2B2E"/>
    <w:rsid w:val="003E2C06"/>
    <w:rsid w:val="003E4484"/>
    <w:rsid w:val="003E44E8"/>
    <w:rsid w:val="003E52CC"/>
    <w:rsid w:val="003E5B1E"/>
    <w:rsid w:val="003E5FDE"/>
    <w:rsid w:val="003E7801"/>
    <w:rsid w:val="003E7C2E"/>
    <w:rsid w:val="003E7C91"/>
    <w:rsid w:val="003F09E7"/>
    <w:rsid w:val="003F1ACC"/>
    <w:rsid w:val="003F47AD"/>
    <w:rsid w:val="003F5E8A"/>
    <w:rsid w:val="003F7607"/>
    <w:rsid w:val="00400164"/>
    <w:rsid w:val="0040457E"/>
    <w:rsid w:val="00404D0E"/>
    <w:rsid w:val="00407B2F"/>
    <w:rsid w:val="00411707"/>
    <w:rsid w:val="004123F9"/>
    <w:rsid w:val="00412842"/>
    <w:rsid w:val="00412972"/>
    <w:rsid w:val="0041349D"/>
    <w:rsid w:val="004138D3"/>
    <w:rsid w:val="0041760B"/>
    <w:rsid w:val="00423A9D"/>
    <w:rsid w:val="00424229"/>
    <w:rsid w:val="00427081"/>
    <w:rsid w:val="00430646"/>
    <w:rsid w:val="00431C30"/>
    <w:rsid w:val="004328E1"/>
    <w:rsid w:val="00433F5D"/>
    <w:rsid w:val="00433FAD"/>
    <w:rsid w:val="004349FF"/>
    <w:rsid w:val="00436AC2"/>
    <w:rsid w:val="004407BC"/>
    <w:rsid w:val="004407EC"/>
    <w:rsid w:val="00441D6B"/>
    <w:rsid w:val="004426E6"/>
    <w:rsid w:val="00444733"/>
    <w:rsid w:val="00445E83"/>
    <w:rsid w:val="004503A6"/>
    <w:rsid w:val="00451BE8"/>
    <w:rsid w:val="00454494"/>
    <w:rsid w:val="004547D3"/>
    <w:rsid w:val="004567C7"/>
    <w:rsid w:val="00457CC7"/>
    <w:rsid w:val="004633DC"/>
    <w:rsid w:val="004715AF"/>
    <w:rsid w:val="00472037"/>
    <w:rsid w:val="00472E19"/>
    <w:rsid w:val="00474E30"/>
    <w:rsid w:val="0047763B"/>
    <w:rsid w:val="0048005F"/>
    <w:rsid w:val="00480093"/>
    <w:rsid w:val="0048396A"/>
    <w:rsid w:val="00485388"/>
    <w:rsid w:val="004870D8"/>
    <w:rsid w:val="00491DA5"/>
    <w:rsid w:val="004961AD"/>
    <w:rsid w:val="00496D05"/>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691"/>
    <w:rsid w:val="004C57A9"/>
    <w:rsid w:val="004C6B00"/>
    <w:rsid w:val="004D022D"/>
    <w:rsid w:val="004D048D"/>
    <w:rsid w:val="004D316A"/>
    <w:rsid w:val="004D3AC9"/>
    <w:rsid w:val="004D3ADD"/>
    <w:rsid w:val="004D5713"/>
    <w:rsid w:val="004D5934"/>
    <w:rsid w:val="004D6C19"/>
    <w:rsid w:val="004D6FEE"/>
    <w:rsid w:val="004D7564"/>
    <w:rsid w:val="004E154D"/>
    <w:rsid w:val="004E16A4"/>
    <w:rsid w:val="004E661E"/>
    <w:rsid w:val="004E6D74"/>
    <w:rsid w:val="004F03BE"/>
    <w:rsid w:val="004F0AD4"/>
    <w:rsid w:val="004F1CDA"/>
    <w:rsid w:val="004F4970"/>
    <w:rsid w:val="004F4B8D"/>
    <w:rsid w:val="004F5821"/>
    <w:rsid w:val="004F5E60"/>
    <w:rsid w:val="004F6194"/>
    <w:rsid w:val="004F674E"/>
    <w:rsid w:val="004F76F5"/>
    <w:rsid w:val="0050197B"/>
    <w:rsid w:val="00501DFC"/>
    <w:rsid w:val="00501EAB"/>
    <w:rsid w:val="005043E1"/>
    <w:rsid w:val="005053FA"/>
    <w:rsid w:val="005068F2"/>
    <w:rsid w:val="00510956"/>
    <w:rsid w:val="00510C9F"/>
    <w:rsid w:val="005115C3"/>
    <w:rsid w:val="005118A4"/>
    <w:rsid w:val="00512FF2"/>
    <w:rsid w:val="005141FA"/>
    <w:rsid w:val="0051428C"/>
    <w:rsid w:val="00515E05"/>
    <w:rsid w:val="00516F56"/>
    <w:rsid w:val="00517380"/>
    <w:rsid w:val="00517C59"/>
    <w:rsid w:val="00520000"/>
    <w:rsid w:val="00522163"/>
    <w:rsid w:val="00525D18"/>
    <w:rsid w:val="00526DC4"/>
    <w:rsid w:val="005300DF"/>
    <w:rsid w:val="00531A5A"/>
    <w:rsid w:val="00531A6D"/>
    <w:rsid w:val="00531B0F"/>
    <w:rsid w:val="00531B2A"/>
    <w:rsid w:val="00531DE3"/>
    <w:rsid w:val="0053422E"/>
    <w:rsid w:val="00534C95"/>
    <w:rsid w:val="00536E21"/>
    <w:rsid w:val="0053715D"/>
    <w:rsid w:val="005376A9"/>
    <w:rsid w:val="005410B3"/>
    <w:rsid w:val="00541ACF"/>
    <w:rsid w:val="00541B18"/>
    <w:rsid w:val="00541FBC"/>
    <w:rsid w:val="00542671"/>
    <w:rsid w:val="00542EC3"/>
    <w:rsid w:val="005443FC"/>
    <w:rsid w:val="00544A76"/>
    <w:rsid w:val="005459F8"/>
    <w:rsid w:val="00545D35"/>
    <w:rsid w:val="005478F9"/>
    <w:rsid w:val="00551263"/>
    <w:rsid w:val="00551897"/>
    <w:rsid w:val="0055240E"/>
    <w:rsid w:val="00553578"/>
    <w:rsid w:val="00557727"/>
    <w:rsid w:val="005609AA"/>
    <w:rsid w:val="00563B9C"/>
    <w:rsid w:val="0056424E"/>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1850"/>
    <w:rsid w:val="00582630"/>
    <w:rsid w:val="005864C3"/>
    <w:rsid w:val="0058738B"/>
    <w:rsid w:val="00590080"/>
    <w:rsid w:val="005903F7"/>
    <w:rsid w:val="005913ED"/>
    <w:rsid w:val="00593333"/>
    <w:rsid w:val="00594670"/>
    <w:rsid w:val="00595186"/>
    <w:rsid w:val="005977CD"/>
    <w:rsid w:val="00597C5A"/>
    <w:rsid w:val="005A0A32"/>
    <w:rsid w:val="005A0D5F"/>
    <w:rsid w:val="005A1046"/>
    <w:rsid w:val="005A1C28"/>
    <w:rsid w:val="005A3800"/>
    <w:rsid w:val="005A415D"/>
    <w:rsid w:val="005A493F"/>
    <w:rsid w:val="005B13A7"/>
    <w:rsid w:val="005B2365"/>
    <w:rsid w:val="005B4CF5"/>
    <w:rsid w:val="005B74A1"/>
    <w:rsid w:val="005C0B46"/>
    <w:rsid w:val="005C15E7"/>
    <w:rsid w:val="005C2C8E"/>
    <w:rsid w:val="005C32A7"/>
    <w:rsid w:val="005C3AA7"/>
    <w:rsid w:val="005C3D7A"/>
    <w:rsid w:val="005C414F"/>
    <w:rsid w:val="005C770C"/>
    <w:rsid w:val="005C7C2F"/>
    <w:rsid w:val="005D1684"/>
    <w:rsid w:val="005D1C2B"/>
    <w:rsid w:val="005D3F0B"/>
    <w:rsid w:val="005D4300"/>
    <w:rsid w:val="005D536A"/>
    <w:rsid w:val="005D62CD"/>
    <w:rsid w:val="005D65FC"/>
    <w:rsid w:val="005D6C89"/>
    <w:rsid w:val="005D74CC"/>
    <w:rsid w:val="005D751A"/>
    <w:rsid w:val="005E18B0"/>
    <w:rsid w:val="005E3275"/>
    <w:rsid w:val="005E40A8"/>
    <w:rsid w:val="005E48F2"/>
    <w:rsid w:val="005E4D2E"/>
    <w:rsid w:val="005E5273"/>
    <w:rsid w:val="005E76E1"/>
    <w:rsid w:val="005F0B76"/>
    <w:rsid w:val="005F0D57"/>
    <w:rsid w:val="005F1575"/>
    <w:rsid w:val="005F2CD2"/>
    <w:rsid w:val="005F35AE"/>
    <w:rsid w:val="005F435B"/>
    <w:rsid w:val="005F4B52"/>
    <w:rsid w:val="005F50B7"/>
    <w:rsid w:val="005F79E3"/>
    <w:rsid w:val="006012BD"/>
    <w:rsid w:val="00602086"/>
    <w:rsid w:val="0060235F"/>
    <w:rsid w:val="006031E8"/>
    <w:rsid w:val="0060326D"/>
    <w:rsid w:val="0060423E"/>
    <w:rsid w:val="00605D2B"/>
    <w:rsid w:val="006062DA"/>
    <w:rsid w:val="00607309"/>
    <w:rsid w:val="00607F3D"/>
    <w:rsid w:val="006105BC"/>
    <w:rsid w:val="00610C46"/>
    <w:rsid w:val="00611349"/>
    <w:rsid w:val="00611746"/>
    <w:rsid w:val="00611DD6"/>
    <w:rsid w:val="00613D88"/>
    <w:rsid w:val="006146EE"/>
    <w:rsid w:val="006150FB"/>
    <w:rsid w:val="00621035"/>
    <w:rsid w:val="00621070"/>
    <w:rsid w:val="0062239E"/>
    <w:rsid w:val="00624442"/>
    <w:rsid w:val="00630C62"/>
    <w:rsid w:val="00633FA0"/>
    <w:rsid w:val="006345EE"/>
    <w:rsid w:val="006361ED"/>
    <w:rsid w:val="0063620C"/>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67472"/>
    <w:rsid w:val="00670A3B"/>
    <w:rsid w:val="006735F6"/>
    <w:rsid w:val="00674D05"/>
    <w:rsid w:val="00675661"/>
    <w:rsid w:val="00676DFB"/>
    <w:rsid w:val="00677090"/>
    <w:rsid w:val="00680B80"/>
    <w:rsid w:val="00681F17"/>
    <w:rsid w:val="00682164"/>
    <w:rsid w:val="006826DA"/>
    <w:rsid w:val="0068325D"/>
    <w:rsid w:val="00683DC9"/>
    <w:rsid w:val="00685A2A"/>
    <w:rsid w:val="00687B92"/>
    <w:rsid w:val="006921D8"/>
    <w:rsid w:val="00692778"/>
    <w:rsid w:val="00696616"/>
    <w:rsid w:val="006966B0"/>
    <w:rsid w:val="00696F11"/>
    <w:rsid w:val="00697ECB"/>
    <w:rsid w:val="006A141D"/>
    <w:rsid w:val="006A1F3F"/>
    <w:rsid w:val="006A3D29"/>
    <w:rsid w:val="006A4728"/>
    <w:rsid w:val="006A4C24"/>
    <w:rsid w:val="006A5F24"/>
    <w:rsid w:val="006A6FE7"/>
    <w:rsid w:val="006B0886"/>
    <w:rsid w:val="006B0915"/>
    <w:rsid w:val="006B0ABA"/>
    <w:rsid w:val="006B0B08"/>
    <w:rsid w:val="006B10A8"/>
    <w:rsid w:val="006B119B"/>
    <w:rsid w:val="006B1B6F"/>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366"/>
    <w:rsid w:val="006E19FC"/>
    <w:rsid w:val="006E1B16"/>
    <w:rsid w:val="006E22F2"/>
    <w:rsid w:val="006E27BA"/>
    <w:rsid w:val="006E43D3"/>
    <w:rsid w:val="006E44A9"/>
    <w:rsid w:val="006E4B22"/>
    <w:rsid w:val="006E6519"/>
    <w:rsid w:val="006F0897"/>
    <w:rsid w:val="006F0D29"/>
    <w:rsid w:val="006F2412"/>
    <w:rsid w:val="006F3363"/>
    <w:rsid w:val="006F53BB"/>
    <w:rsid w:val="006F5760"/>
    <w:rsid w:val="006F6BE0"/>
    <w:rsid w:val="006F6E86"/>
    <w:rsid w:val="00700013"/>
    <w:rsid w:val="0070099B"/>
    <w:rsid w:val="0070106E"/>
    <w:rsid w:val="00701F7F"/>
    <w:rsid w:val="00701FA5"/>
    <w:rsid w:val="00702862"/>
    <w:rsid w:val="00702D97"/>
    <w:rsid w:val="00703F64"/>
    <w:rsid w:val="00704CD1"/>
    <w:rsid w:val="0070679D"/>
    <w:rsid w:val="00706E9F"/>
    <w:rsid w:val="00707019"/>
    <w:rsid w:val="00707245"/>
    <w:rsid w:val="00710E5B"/>
    <w:rsid w:val="00712EE0"/>
    <w:rsid w:val="00712EEB"/>
    <w:rsid w:val="007146BA"/>
    <w:rsid w:val="0071697F"/>
    <w:rsid w:val="0071716F"/>
    <w:rsid w:val="0072215B"/>
    <w:rsid w:val="007224E4"/>
    <w:rsid w:val="0072271C"/>
    <w:rsid w:val="00723286"/>
    <w:rsid w:val="00723AA7"/>
    <w:rsid w:val="00723B07"/>
    <w:rsid w:val="00724F1A"/>
    <w:rsid w:val="00727977"/>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3FDA"/>
    <w:rsid w:val="00755251"/>
    <w:rsid w:val="00755A91"/>
    <w:rsid w:val="007568F4"/>
    <w:rsid w:val="007569A2"/>
    <w:rsid w:val="0075724E"/>
    <w:rsid w:val="007574ED"/>
    <w:rsid w:val="0076494C"/>
    <w:rsid w:val="00766389"/>
    <w:rsid w:val="007706E4"/>
    <w:rsid w:val="00770CAA"/>
    <w:rsid w:val="00772D34"/>
    <w:rsid w:val="0077356E"/>
    <w:rsid w:val="007736FA"/>
    <w:rsid w:val="007737E8"/>
    <w:rsid w:val="00773DC9"/>
    <w:rsid w:val="007758EE"/>
    <w:rsid w:val="00776E5E"/>
    <w:rsid w:val="0077739D"/>
    <w:rsid w:val="00777BF3"/>
    <w:rsid w:val="007806D4"/>
    <w:rsid w:val="0078132A"/>
    <w:rsid w:val="00782019"/>
    <w:rsid w:val="0078202A"/>
    <w:rsid w:val="00785325"/>
    <w:rsid w:val="00786443"/>
    <w:rsid w:val="00787152"/>
    <w:rsid w:val="00790C1A"/>
    <w:rsid w:val="00790E52"/>
    <w:rsid w:val="0079153E"/>
    <w:rsid w:val="00792E46"/>
    <w:rsid w:val="007931B7"/>
    <w:rsid w:val="00795CE3"/>
    <w:rsid w:val="00795D49"/>
    <w:rsid w:val="007A0DD5"/>
    <w:rsid w:val="007A1ABA"/>
    <w:rsid w:val="007A25A8"/>
    <w:rsid w:val="007A2B3C"/>
    <w:rsid w:val="007A3ECB"/>
    <w:rsid w:val="007A4CC0"/>
    <w:rsid w:val="007B0C0B"/>
    <w:rsid w:val="007B0E0D"/>
    <w:rsid w:val="007B29E4"/>
    <w:rsid w:val="007B2F23"/>
    <w:rsid w:val="007B448D"/>
    <w:rsid w:val="007B622B"/>
    <w:rsid w:val="007B6958"/>
    <w:rsid w:val="007B74DA"/>
    <w:rsid w:val="007C2448"/>
    <w:rsid w:val="007C4D7C"/>
    <w:rsid w:val="007C4FC7"/>
    <w:rsid w:val="007C5134"/>
    <w:rsid w:val="007C5DA8"/>
    <w:rsid w:val="007C6CD3"/>
    <w:rsid w:val="007C7AD1"/>
    <w:rsid w:val="007C7E56"/>
    <w:rsid w:val="007D15AD"/>
    <w:rsid w:val="007D2543"/>
    <w:rsid w:val="007D4645"/>
    <w:rsid w:val="007D4E0F"/>
    <w:rsid w:val="007D55DA"/>
    <w:rsid w:val="007D5638"/>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34F9"/>
    <w:rsid w:val="007F4057"/>
    <w:rsid w:val="007F43B4"/>
    <w:rsid w:val="007F4ED0"/>
    <w:rsid w:val="007F566C"/>
    <w:rsid w:val="007F5AE4"/>
    <w:rsid w:val="007F64F9"/>
    <w:rsid w:val="007F7B65"/>
    <w:rsid w:val="007F7F91"/>
    <w:rsid w:val="0080043A"/>
    <w:rsid w:val="0080097B"/>
    <w:rsid w:val="008009C0"/>
    <w:rsid w:val="00801F35"/>
    <w:rsid w:val="00802442"/>
    <w:rsid w:val="0080399F"/>
    <w:rsid w:val="0080475F"/>
    <w:rsid w:val="00805C67"/>
    <w:rsid w:val="008068C3"/>
    <w:rsid w:val="00807115"/>
    <w:rsid w:val="00807736"/>
    <w:rsid w:val="00807D70"/>
    <w:rsid w:val="00812A0A"/>
    <w:rsid w:val="00814154"/>
    <w:rsid w:val="00815878"/>
    <w:rsid w:val="0081607A"/>
    <w:rsid w:val="0082010D"/>
    <w:rsid w:val="00821519"/>
    <w:rsid w:val="00821C04"/>
    <w:rsid w:val="00821EA3"/>
    <w:rsid w:val="00826265"/>
    <w:rsid w:val="0082770B"/>
    <w:rsid w:val="0083002A"/>
    <w:rsid w:val="00830884"/>
    <w:rsid w:val="00831537"/>
    <w:rsid w:val="00832757"/>
    <w:rsid w:val="00832BFA"/>
    <w:rsid w:val="00832FE5"/>
    <w:rsid w:val="0084114B"/>
    <w:rsid w:val="00841573"/>
    <w:rsid w:val="00841CA9"/>
    <w:rsid w:val="00842ED4"/>
    <w:rsid w:val="00845EA4"/>
    <w:rsid w:val="00845F3B"/>
    <w:rsid w:val="008466A0"/>
    <w:rsid w:val="00847A1D"/>
    <w:rsid w:val="00847F39"/>
    <w:rsid w:val="00852ECA"/>
    <w:rsid w:val="008550F0"/>
    <w:rsid w:val="0085528C"/>
    <w:rsid w:val="00855650"/>
    <w:rsid w:val="008561AA"/>
    <w:rsid w:val="00856C76"/>
    <w:rsid w:val="00857BD3"/>
    <w:rsid w:val="00860037"/>
    <w:rsid w:val="00860CDF"/>
    <w:rsid w:val="00860FEF"/>
    <w:rsid w:val="008618D9"/>
    <w:rsid w:val="0086361E"/>
    <w:rsid w:val="00863F0A"/>
    <w:rsid w:val="00864164"/>
    <w:rsid w:val="0086452C"/>
    <w:rsid w:val="008649E5"/>
    <w:rsid w:val="00864D23"/>
    <w:rsid w:val="00864F72"/>
    <w:rsid w:val="008738A1"/>
    <w:rsid w:val="00873D60"/>
    <w:rsid w:val="00874C23"/>
    <w:rsid w:val="00874D05"/>
    <w:rsid w:val="00874F0E"/>
    <w:rsid w:val="00875CD2"/>
    <w:rsid w:val="00876BA8"/>
    <w:rsid w:val="00876F33"/>
    <w:rsid w:val="0088058F"/>
    <w:rsid w:val="00881360"/>
    <w:rsid w:val="00881FFB"/>
    <w:rsid w:val="00883E64"/>
    <w:rsid w:val="0088403D"/>
    <w:rsid w:val="008850E5"/>
    <w:rsid w:val="0088510D"/>
    <w:rsid w:val="00885C97"/>
    <w:rsid w:val="00885CDE"/>
    <w:rsid w:val="008946EA"/>
    <w:rsid w:val="008947B5"/>
    <w:rsid w:val="00894D4A"/>
    <w:rsid w:val="00895588"/>
    <w:rsid w:val="008973BE"/>
    <w:rsid w:val="00897C9D"/>
    <w:rsid w:val="008A20F1"/>
    <w:rsid w:val="008A2A09"/>
    <w:rsid w:val="008A47B2"/>
    <w:rsid w:val="008A4FC6"/>
    <w:rsid w:val="008A5670"/>
    <w:rsid w:val="008A5BD1"/>
    <w:rsid w:val="008A6B4E"/>
    <w:rsid w:val="008B0DFB"/>
    <w:rsid w:val="008B1D4F"/>
    <w:rsid w:val="008B2E64"/>
    <w:rsid w:val="008B2FDE"/>
    <w:rsid w:val="008B45A2"/>
    <w:rsid w:val="008B4B2E"/>
    <w:rsid w:val="008B4EBC"/>
    <w:rsid w:val="008B5359"/>
    <w:rsid w:val="008B5E35"/>
    <w:rsid w:val="008C26D5"/>
    <w:rsid w:val="008C297E"/>
    <w:rsid w:val="008C2D8A"/>
    <w:rsid w:val="008C380D"/>
    <w:rsid w:val="008C508D"/>
    <w:rsid w:val="008C5745"/>
    <w:rsid w:val="008C74CA"/>
    <w:rsid w:val="008D04B8"/>
    <w:rsid w:val="008D1236"/>
    <w:rsid w:val="008D2418"/>
    <w:rsid w:val="008D38EC"/>
    <w:rsid w:val="008D762D"/>
    <w:rsid w:val="008E215F"/>
    <w:rsid w:val="008E4231"/>
    <w:rsid w:val="008E586E"/>
    <w:rsid w:val="008E5A8E"/>
    <w:rsid w:val="008E5E9F"/>
    <w:rsid w:val="008F05C2"/>
    <w:rsid w:val="008F074D"/>
    <w:rsid w:val="008F1125"/>
    <w:rsid w:val="008F1CA1"/>
    <w:rsid w:val="008F52F4"/>
    <w:rsid w:val="008F6A42"/>
    <w:rsid w:val="008F6BDB"/>
    <w:rsid w:val="008F7D31"/>
    <w:rsid w:val="00900115"/>
    <w:rsid w:val="009007FC"/>
    <w:rsid w:val="00900A88"/>
    <w:rsid w:val="0090282D"/>
    <w:rsid w:val="009031EC"/>
    <w:rsid w:val="009038DB"/>
    <w:rsid w:val="00903BE5"/>
    <w:rsid w:val="009049BE"/>
    <w:rsid w:val="009073DD"/>
    <w:rsid w:val="00907FE3"/>
    <w:rsid w:val="00910D80"/>
    <w:rsid w:val="009111EA"/>
    <w:rsid w:val="0091170B"/>
    <w:rsid w:val="00911F93"/>
    <w:rsid w:val="0091243B"/>
    <w:rsid w:val="00912837"/>
    <w:rsid w:val="0091304F"/>
    <w:rsid w:val="009133A9"/>
    <w:rsid w:val="00913C70"/>
    <w:rsid w:val="0091541E"/>
    <w:rsid w:val="009159DA"/>
    <w:rsid w:val="0091614F"/>
    <w:rsid w:val="00920200"/>
    <w:rsid w:val="00920D15"/>
    <w:rsid w:val="009210A6"/>
    <w:rsid w:val="00921ABE"/>
    <w:rsid w:val="0092234C"/>
    <w:rsid w:val="009233B3"/>
    <w:rsid w:val="00923E1C"/>
    <w:rsid w:val="00926FCD"/>
    <w:rsid w:val="00927607"/>
    <w:rsid w:val="00931220"/>
    <w:rsid w:val="00931E3D"/>
    <w:rsid w:val="00933540"/>
    <w:rsid w:val="00933EF5"/>
    <w:rsid w:val="009347D0"/>
    <w:rsid w:val="0094005B"/>
    <w:rsid w:val="00943709"/>
    <w:rsid w:val="00943B62"/>
    <w:rsid w:val="009443A6"/>
    <w:rsid w:val="0094607A"/>
    <w:rsid w:val="00946D28"/>
    <w:rsid w:val="00947785"/>
    <w:rsid w:val="00956CD1"/>
    <w:rsid w:val="00956EFB"/>
    <w:rsid w:val="009577A5"/>
    <w:rsid w:val="009623FA"/>
    <w:rsid w:val="009639D0"/>
    <w:rsid w:val="00964969"/>
    <w:rsid w:val="00964A87"/>
    <w:rsid w:val="00965794"/>
    <w:rsid w:val="00965870"/>
    <w:rsid w:val="00966EAF"/>
    <w:rsid w:val="00970BC4"/>
    <w:rsid w:val="00973B26"/>
    <w:rsid w:val="00973D8D"/>
    <w:rsid w:val="009752F6"/>
    <w:rsid w:val="009758DB"/>
    <w:rsid w:val="009768B5"/>
    <w:rsid w:val="0097768E"/>
    <w:rsid w:val="00983201"/>
    <w:rsid w:val="00983256"/>
    <w:rsid w:val="00983BB7"/>
    <w:rsid w:val="00984197"/>
    <w:rsid w:val="00986534"/>
    <w:rsid w:val="00986C50"/>
    <w:rsid w:val="00991B75"/>
    <w:rsid w:val="00995692"/>
    <w:rsid w:val="0099631C"/>
    <w:rsid w:val="00996B6C"/>
    <w:rsid w:val="00997217"/>
    <w:rsid w:val="00997F96"/>
    <w:rsid w:val="009A33AC"/>
    <w:rsid w:val="009A33BE"/>
    <w:rsid w:val="009A5AE2"/>
    <w:rsid w:val="009A5D8D"/>
    <w:rsid w:val="009A7DC0"/>
    <w:rsid w:val="009B078F"/>
    <w:rsid w:val="009B1106"/>
    <w:rsid w:val="009B1EAF"/>
    <w:rsid w:val="009B38C8"/>
    <w:rsid w:val="009B3FAA"/>
    <w:rsid w:val="009B4DEF"/>
    <w:rsid w:val="009C4221"/>
    <w:rsid w:val="009C7E0B"/>
    <w:rsid w:val="009D1ED8"/>
    <w:rsid w:val="009D27CA"/>
    <w:rsid w:val="009D4A0A"/>
    <w:rsid w:val="009D52BA"/>
    <w:rsid w:val="009D6011"/>
    <w:rsid w:val="009D6659"/>
    <w:rsid w:val="009D7058"/>
    <w:rsid w:val="009D7500"/>
    <w:rsid w:val="009E0336"/>
    <w:rsid w:val="009E10EC"/>
    <w:rsid w:val="009E2797"/>
    <w:rsid w:val="009E3A9A"/>
    <w:rsid w:val="009E5841"/>
    <w:rsid w:val="009F0D1B"/>
    <w:rsid w:val="009F50FA"/>
    <w:rsid w:val="00A00363"/>
    <w:rsid w:val="00A022D9"/>
    <w:rsid w:val="00A033BB"/>
    <w:rsid w:val="00A034D6"/>
    <w:rsid w:val="00A0357E"/>
    <w:rsid w:val="00A04059"/>
    <w:rsid w:val="00A045F4"/>
    <w:rsid w:val="00A05B4F"/>
    <w:rsid w:val="00A06909"/>
    <w:rsid w:val="00A10387"/>
    <w:rsid w:val="00A12C70"/>
    <w:rsid w:val="00A21B13"/>
    <w:rsid w:val="00A2207C"/>
    <w:rsid w:val="00A24D69"/>
    <w:rsid w:val="00A2508C"/>
    <w:rsid w:val="00A2572E"/>
    <w:rsid w:val="00A25FC0"/>
    <w:rsid w:val="00A262B6"/>
    <w:rsid w:val="00A26D41"/>
    <w:rsid w:val="00A27138"/>
    <w:rsid w:val="00A30904"/>
    <w:rsid w:val="00A3359F"/>
    <w:rsid w:val="00A33A89"/>
    <w:rsid w:val="00A3572F"/>
    <w:rsid w:val="00A3709C"/>
    <w:rsid w:val="00A3728F"/>
    <w:rsid w:val="00A4105D"/>
    <w:rsid w:val="00A442A4"/>
    <w:rsid w:val="00A4466C"/>
    <w:rsid w:val="00A44F67"/>
    <w:rsid w:val="00A4628E"/>
    <w:rsid w:val="00A462FF"/>
    <w:rsid w:val="00A51216"/>
    <w:rsid w:val="00A51F5A"/>
    <w:rsid w:val="00A5314A"/>
    <w:rsid w:val="00A54E02"/>
    <w:rsid w:val="00A54F44"/>
    <w:rsid w:val="00A55511"/>
    <w:rsid w:val="00A57F60"/>
    <w:rsid w:val="00A61A6E"/>
    <w:rsid w:val="00A61A73"/>
    <w:rsid w:val="00A626CA"/>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754"/>
    <w:rsid w:val="00AB2CB9"/>
    <w:rsid w:val="00AB4741"/>
    <w:rsid w:val="00AB628D"/>
    <w:rsid w:val="00AB641E"/>
    <w:rsid w:val="00AC1530"/>
    <w:rsid w:val="00AC1D64"/>
    <w:rsid w:val="00AC2BA3"/>
    <w:rsid w:val="00AC67AC"/>
    <w:rsid w:val="00AC7AD4"/>
    <w:rsid w:val="00AD181D"/>
    <w:rsid w:val="00AD1E25"/>
    <w:rsid w:val="00AD38ED"/>
    <w:rsid w:val="00AD41E1"/>
    <w:rsid w:val="00AD4282"/>
    <w:rsid w:val="00AD44A8"/>
    <w:rsid w:val="00AD6111"/>
    <w:rsid w:val="00AD77FD"/>
    <w:rsid w:val="00AE18DA"/>
    <w:rsid w:val="00AE1A7A"/>
    <w:rsid w:val="00AE2332"/>
    <w:rsid w:val="00AE4894"/>
    <w:rsid w:val="00AE5AC8"/>
    <w:rsid w:val="00AF15FC"/>
    <w:rsid w:val="00AF22FF"/>
    <w:rsid w:val="00AF5B77"/>
    <w:rsid w:val="00AF6B54"/>
    <w:rsid w:val="00AF6F6A"/>
    <w:rsid w:val="00AF731E"/>
    <w:rsid w:val="00B0013A"/>
    <w:rsid w:val="00B049EC"/>
    <w:rsid w:val="00B04DD6"/>
    <w:rsid w:val="00B05841"/>
    <w:rsid w:val="00B0755A"/>
    <w:rsid w:val="00B078A6"/>
    <w:rsid w:val="00B10264"/>
    <w:rsid w:val="00B10FF6"/>
    <w:rsid w:val="00B1212B"/>
    <w:rsid w:val="00B14213"/>
    <w:rsid w:val="00B155F5"/>
    <w:rsid w:val="00B15800"/>
    <w:rsid w:val="00B160F9"/>
    <w:rsid w:val="00B173E2"/>
    <w:rsid w:val="00B177F2"/>
    <w:rsid w:val="00B204FC"/>
    <w:rsid w:val="00B216FE"/>
    <w:rsid w:val="00B244A4"/>
    <w:rsid w:val="00B26CCB"/>
    <w:rsid w:val="00B26FFB"/>
    <w:rsid w:val="00B30591"/>
    <w:rsid w:val="00B31114"/>
    <w:rsid w:val="00B3179D"/>
    <w:rsid w:val="00B31B5C"/>
    <w:rsid w:val="00B32A85"/>
    <w:rsid w:val="00B34D98"/>
    <w:rsid w:val="00B35503"/>
    <w:rsid w:val="00B37C1A"/>
    <w:rsid w:val="00B37E5F"/>
    <w:rsid w:val="00B40199"/>
    <w:rsid w:val="00B408F8"/>
    <w:rsid w:val="00B420C9"/>
    <w:rsid w:val="00B42446"/>
    <w:rsid w:val="00B45AA5"/>
    <w:rsid w:val="00B461BE"/>
    <w:rsid w:val="00B466DA"/>
    <w:rsid w:val="00B5088E"/>
    <w:rsid w:val="00B517B3"/>
    <w:rsid w:val="00B51D39"/>
    <w:rsid w:val="00B53176"/>
    <w:rsid w:val="00B55C20"/>
    <w:rsid w:val="00B6087E"/>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1B5"/>
    <w:rsid w:val="00B83381"/>
    <w:rsid w:val="00B8390D"/>
    <w:rsid w:val="00B85B9F"/>
    <w:rsid w:val="00B860B7"/>
    <w:rsid w:val="00B878B7"/>
    <w:rsid w:val="00B87E94"/>
    <w:rsid w:val="00B90D57"/>
    <w:rsid w:val="00B90ED9"/>
    <w:rsid w:val="00B91207"/>
    <w:rsid w:val="00B92E36"/>
    <w:rsid w:val="00B94DC9"/>
    <w:rsid w:val="00B953E1"/>
    <w:rsid w:val="00B95F1A"/>
    <w:rsid w:val="00B96933"/>
    <w:rsid w:val="00BA05BF"/>
    <w:rsid w:val="00BA0DB3"/>
    <w:rsid w:val="00BA0E31"/>
    <w:rsid w:val="00BA2FEE"/>
    <w:rsid w:val="00BA42E0"/>
    <w:rsid w:val="00BA73C9"/>
    <w:rsid w:val="00BB1780"/>
    <w:rsid w:val="00BB1D6B"/>
    <w:rsid w:val="00BB1EC2"/>
    <w:rsid w:val="00BB2686"/>
    <w:rsid w:val="00BB4022"/>
    <w:rsid w:val="00BB463A"/>
    <w:rsid w:val="00BB4E9C"/>
    <w:rsid w:val="00BB62D7"/>
    <w:rsid w:val="00BB7BCF"/>
    <w:rsid w:val="00BC05E2"/>
    <w:rsid w:val="00BC0C9A"/>
    <w:rsid w:val="00BC2C21"/>
    <w:rsid w:val="00BC428F"/>
    <w:rsid w:val="00BC4D68"/>
    <w:rsid w:val="00BC51C0"/>
    <w:rsid w:val="00BC7316"/>
    <w:rsid w:val="00BC7BD0"/>
    <w:rsid w:val="00BC7DE1"/>
    <w:rsid w:val="00BD08FE"/>
    <w:rsid w:val="00BD249F"/>
    <w:rsid w:val="00BD4339"/>
    <w:rsid w:val="00BD4BE9"/>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2D2"/>
    <w:rsid w:val="00C00D17"/>
    <w:rsid w:val="00C02A64"/>
    <w:rsid w:val="00C06278"/>
    <w:rsid w:val="00C06502"/>
    <w:rsid w:val="00C06661"/>
    <w:rsid w:val="00C11344"/>
    <w:rsid w:val="00C1297D"/>
    <w:rsid w:val="00C14017"/>
    <w:rsid w:val="00C148AE"/>
    <w:rsid w:val="00C14B07"/>
    <w:rsid w:val="00C1506F"/>
    <w:rsid w:val="00C17589"/>
    <w:rsid w:val="00C17A72"/>
    <w:rsid w:val="00C22370"/>
    <w:rsid w:val="00C22D01"/>
    <w:rsid w:val="00C22D64"/>
    <w:rsid w:val="00C25578"/>
    <w:rsid w:val="00C25ED1"/>
    <w:rsid w:val="00C311C2"/>
    <w:rsid w:val="00C31741"/>
    <w:rsid w:val="00C31CFE"/>
    <w:rsid w:val="00C322FE"/>
    <w:rsid w:val="00C335FC"/>
    <w:rsid w:val="00C33CFB"/>
    <w:rsid w:val="00C34493"/>
    <w:rsid w:val="00C35B04"/>
    <w:rsid w:val="00C35CE7"/>
    <w:rsid w:val="00C362F6"/>
    <w:rsid w:val="00C3676F"/>
    <w:rsid w:val="00C37A09"/>
    <w:rsid w:val="00C40BC7"/>
    <w:rsid w:val="00C412FF"/>
    <w:rsid w:val="00C41357"/>
    <w:rsid w:val="00C4233C"/>
    <w:rsid w:val="00C42EFC"/>
    <w:rsid w:val="00C446B2"/>
    <w:rsid w:val="00C45315"/>
    <w:rsid w:val="00C46882"/>
    <w:rsid w:val="00C4694F"/>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4A4F"/>
    <w:rsid w:val="00C669B9"/>
    <w:rsid w:val="00C70AD4"/>
    <w:rsid w:val="00C72D55"/>
    <w:rsid w:val="00C732C5"/>
    <w:rsid w:val="00C734EC"/>
    <w:rsid w:val="00C745BC"/>
    <w:rsid w:val="00C747C2"/>
    <w:rsid w:val="00C75CFE"/>
    <w:rsid w:val="00C80261"/>
    <w:rsid w:val="00C80FE1"/>
    <w:rsid w:val="00C8246A"/>
    <w:rsid w:val="00C830CA"/>
    <w:rsid w:val="00C83120"/>
    <w:rsid w:val="00C83BAB"/>
    <w:rsid w:val="00C84197"/>
    <w:rsid w:val="00C84663"/>
    <w:rsid w:val="00C84904"/>
    <w:rsid w:val="00C84941"/>
    <w:rsid w:val="00C864FB"/>
    <w:rsid w:val="00C904A0"/>
    <w:rsid w:val="00C9115E"/>
    <w:rsid w:val="00C9167C"/>
    <w:rsid w:val="00C926A1"/>
    <w:rsid w:val="00C93D14"/>
    <w:rsid w:val="00C93D92"/>
    <w:rsid w:val="00C9405A"/>
    <w:rsid w:val="00C94AA0"/>
    <w:rsid w:val="00C94AC7"/>
    <w:rsid w:val="00C95207"/>
    <w:rsid w:val="00C962CF"/>
    <w:rsid w:val="00C96835"/>
    <w:rsid w:val="00CA1B76"/>
    <w:rsid w:val="00CA2B09"/>
    <w:rsid w:val="00CA32B7"/>
    <w:rsid w:val="00CA4E8C"/>
    <w:rsid w:val="00CA5CD5"/>
    <w:rsid w:val="00CA6573"/>
    <w:rsid w:val="00CA6AE7"/>
    <w:rsid w:val="00CA7887"/>
    <w:rsid w:val="00CB15B7"/>
    <w:rsid w:val="00CB27A4"/>
    <w:rsid w:val="00CB2F1C"/>
    <w:rsid w:val="00CB621B"/>
    <w:rsid w:val="00CB6344"/>
    <w:rsid w:val="00CB65EC"/>
    <w:rsid w:val="00CB6E8A"/>
    <w:rsid w:val="00CC090A"/>
    <w:rsid w:val="00CC1DB1"/>
    <w:rsid w:val="00CC1F58"/>
    <w:rsid w:val="00CC2FB3"/>
    <w:rsid w:val="00CC7CEF"/>
    <w:rsid w:val="00CD0468"/>
    <w:rsid w:val="00CD1491"/>
    <w:rsid w:val="00CD343D"/>
    <w:rsid w:val="00CD64DE"/>
    <w:rsid w:val="00CD6EC0"/>
    <w:rsid w:val="00CD7CC2"/>
    <w:rsid w:val="00CE3162"/>
    <w:rsid w:val="00CE31D3"/>
    <w:rsid w:val="00CE50AD"/>
    <w:rsid w:val="00CE5195"/>
    <w:rsid w:val="00CE51E4"/>
    <w:rsid w:val="00CF10FC"/>
    <w:rsid w:val="00CF1E45"/>
    <w:rsid w:val="00CF3428"/>
    <w:rsid w:val="00CF4F61"/>
    <w:rsid w:val="00CF5631"/>
    <w:rsid w:val="00CF6971"/>
    <w:rsid w:val="00CF72DC"/>
    <w:rsid w:val="00CF7993"/>
    <w:rsid w:val="00D00AC1"/>
    <w:rsid w:val="00D014AF"/>
    <w:rsid w:val="00D01D9D"/>
    <w:rsid w:val="00D03926"/>
    <w:rsid w:val="00D03B93"/>
    <w:rsid w:val="00D04ABA"/>
    <w:rsid w:val="00D0601D"/>
    <w:rsid w:val="00D11807"/>
    <w:rsid w:val="00D12214"/>
    <w:rsid w:val="00D122A3"/>
    <w:rsid w:val="00D12D3B"/>
    <w:rsid w:val="00D16225"/>
    <w:rsid w:val="00D16547"/>
    <w:rsid w:val="00D2010F"/>
    <w:rsid w:val="00D20368"/>
    <w:rsid w:val="00D20FE4"/>
    <w:rsid w:val="00D21B24"/>
    <w:rsid w:val="00D22035"/>
    <w:rsid w:val="00D24260"/>
    <w:rsid w:val="00D2489A"/>
    <w:rsid w:val="00D24BE6"/>
    <w:rsid w:val="00D25099"/>
    <w:rsid w:val="00D309C0"/>
    <w:rsid w:val="00D32422"/>
    <w:rsid w:val="00D33C66"/>
    <w:rsid w:val="00D33F81"/>
    <w:rsid w:val="00D34A5A"/>
    <w:rsid w:val="00D35A50"/>
    <w:rsid w:val="00D35BF1"/>
    <w:rsid w:val="00D3635F"/>
    <w:rsid w:val="00D373D6"/>
    <w:rsid w:val="00D378CF"/>
    <w:rsid w:val="00D40E04"/>
    <w:rsid w:val="00D4315F"/>
    <w:rsid w:val="00D434D5"/>
    <w:rsid w:val="00D44218"/>
    <w:rsid w:val="00D4494B"/>
    <w:rsid w:val="00D454EB"/>
    <w:rsid w:val="00D45843"/>
    <w:rsid w:val="00D511DC"/>
    <w:rsid w:val="00D5482F"/>
    <w:rsid w:val="00D54C8F"/>
    <w:rsid w:val="00D566F5"/>
    <w:rsid w:val="00D56752"/>
    <w:rsid w:val="00D56F54"/>
    <w:rsid w:val="00D5720A"/>
    <w:rsid w:val="00D6018E"/>
    <w:rsid w:val="00D60439"/>
    <w:rsid w:val="00D62375"/>
    <w:rsid w:val="00D62730"/>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6319"/>
    <w:rsid w:val="00D969DB"/>
    <w:rsid w:val="00DA0CA2"/>
    <w:rsid w:val="00DA158D"/>
    <w:rsid w:val="00DA30A9"/>
    <w:rsid w:val="00DA47C6"/>
    <w:rsid w:val="00DA4B87"/>
    <w:rsid w:val="00DA6002"/>
    <w:rsid w:val="00DA78C0"/>
    <w:rsid w:val="00DB03CE"/>
    <w:rsid w:val="00DB0766"/>
    <w:rsid w:val="00DB225F"/>
    <w:rsid w:val="00DB2DB7"/>
    <w:rsid w:val="00DB31F5"/>
    <w:rsid w:val="00DB4890"/>
    <w:rsid w:val="00DB4D86"/>
    <w:rsid w:val="00DB53F2"/>
    <w:rsid w:val="00DB55B5"/>
    <w:rsid w:val="00DB5B3C"/>
    <w:rsid w:val="00DB5D12"/>
    <w:rsid w:val="00DB685F"/>
    <w:rsid w:val="00DC0207"/>
    <w:rsid w:val="00DC0B4C"/>
    <w:rsid w:val="00DC1DD2"/>
    <w:rsid w:val="00DC2295"/>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0BB2"/>
    <w:rsid w:val="00DE132F"/>
    <w:rsid w:val="00DE2129"/>
    <w:rsid w:val="00DE21CB"/>
    <w:rsid w:val="00DE28BF"/>
    <w:rsid w:val="00DE44E9"/>
    <w:rsid w:val="00DE4AB6"/>
    <w:rsid w:val="00DE5048"/>
    <w:rsid w:val="00DE576B"/>
    <w:rsid w:val="00DE6690"/>
    <w:rsid w:val="00DE6F26"/>
    <w:rsid w:val="00DE7637"/>
    <w:rsid w:val="00DF09B8"/>
    <w:rsid w:val="00DF15EE"/>
    <w:rsid w:val="00DF2313"/>
    <w:rsid w:val="00DF4B12"/>
    <w:rsid w:val="00DF53EA"/>
    <w:rsid w:val="00E006B6"/>
    <w:rsid w:val="00E0137D"/>
    <w:rsid w:val="00E013E9"/>
    <w:rsid w:val="00E02840"/>
    <w:rsid w:val="00E02932"/>
    <w:rsid w:val="00E07F36"/>
    <w:rsid w:val="00E1020C"/>
    <w:rsid w:val="00E1033E"/>
    <w:rsid w:val="00E10F14"/>
    <w:rsid w:val="00E11F28"/>
    <w:rsid w:val="00E12B19"/>
    <w:rsid w:val="00E14744"/>
    <w:rsid w:val="00E14816"/>
    <w:rsid w:val="00E1487F"/>
    <w:rsid w:val="00E14BA5"/>
    <w:rsid w:val="00E154AB"/>
    <w:rsid w:val="00E15722"/>
    <w:rsid w:val="00E164E7"/>
    <w:rsid w:val="00E16654"/>
    <w:rsid w:val="00E21CDD"/>
    <w:rsid w:val="00E22360"/>
    <w:rsid w:val="00E23669"/>
    <w:rsid w:val="00E25425"/>
    <w:rsid w:val="00E25844"/>
    <w:rsid w:val="00E25A0B"/>
    <w:rsid w:val="00E25B8B"/>
    <w:rsid w:val="00E25C3E"/>
    <w:rsid w:val="00E2659F"/>
    <w:rsid w:val="00E308DF"/>
    <w:rsid w:val="00E31644"/>
    <w:rsid w:val="00E31D43"/>
    <w:rsid w:val="00E32EEE"/>
    <w:rsid w:val="00E33520"/>
    <w:rsid w:val="00E3462A"/>
    <w:rsid w:val="00E3623E"/>
    <w:rsid w:val="00E37775"/>
    <w:rsid w:val="00E40BC0"/>
    <w:rsid w:val="00E41A8D"/>
    <w:rsid w:val="00E427DF"/>
    <w:rsid w:val="00E43435"/>
    <w:rsid w:val="00E466ED"/>
    <w:rsid w:val="00E475A6"/>
    <w:rsid w:val="00E47828"/>
    <w:rsid w:val="00E47E7F"/>
    <w:rsid w:val="00E52305"/>
    <w:rsid w:val="00E5742D"/>
    <w:rsid w:val="00E57493"/>
    <w:rsid w:val="00E60720"/>
    <w:rsid w:val="00E60ED0"/>
    <w:rsid w:val="00E61AB6"/>
    <w:rsid w:val="00E61CDE"/>
    <w:rsid w:val="00E63811"/>
    <w:rsid w:val="00E63F99"/>
    <w:rsid w:val="00E64061"/>
    <w:rsid w:val="00E65459"/>
    <w:rsid w:val="00E66951"/>
    <w:rsid w:val="00E678BE"/>
    <w:rsid w:val="00E67D3C"/>
    <w:rsid w:val="00E7006D"/>
    <w:rsid w:val="00E705F5"/>
    <w:rsid w:val="00E71450"/>
    <w:rsid w:val="00E72B77"/>
    <w:rsid w:val="00E75BB5"/>
    <w:rsid w:val="00E808D6"/>
    <w:rsid w:val="00E80E37"/>
    <w:rsid w:val="00E83450"/>
    <w:rsid w:val="00E8389D"/>
    <w:rsid w:val="00E84BE3"/>
    <w:rsid w:val="00E85706"/>
    <w:rsid w:val="00E86739"/>
    <w:rsid w:val="00E901E8"/>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6BB2"/>
    <w:rsid w:val="00EA7123"/>
    <w:rsid w:val="00EA716B"/>
    <w:rsid w:val="00EA7F25"/>
    <w:rsid w:val="00EB37B1"/>
    <w:rsid w:val="00EB4DFF"/>
    <w:rsid w:val="00EB4F53"/>
    <w:rsid w:val="00EB50B4"/>
    <w:rsid w:val="00EB73E3"/>
    <w:rsid w:val="00EC1C64"/>
    <w:rsid w:val="00EC2DA8"/>
    <w:rsid w:val="00EC45FC"/>
    <w:rsid w:val="00EC4A4E"/>
    <w:rsid w:val="00EC5571"/>
    <w:rsid w:val="00EC5AAF"/>
    <w:rsid w:val="00EC6A8E"/>
    <w:rsid w:val="00EC6BCB"/>
    <w:rsid w:val="00ED073E"/>
    <w:rsid w:val="00ED1706"/>
    <w:rsid w:val="00ED2E55"/>
    <w:rsid w:val="00ED4C4B"/>
    <w:rsid w:val="00ED54D9"/>
    <w:rsid w:val="00ED5BBA"/>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1643F"/>
    <w:rsid w:val="00F21698"/>
    <w:rsid w:val="00F2214D"/>
    <w:rsid w:val="00F24A07"/>
    <w:rsid w:val="00F2514D"/>
    <w:rsid w:val="00F25C4C"/>
    <w:rsid w:val="00F2668F"/>
    <w:rsid w:val="00F27F68"/>
    <w:rsid w:val="00F3026A"/>
    <w:rsid w:val="00F314B4"/>
    <w:rsid w:val="00F321E1"/>
    <w:rsid w:val="00F3568E"/>
    <w:rsid w:val="00F35DBE"/>
    <w:rsid w:val="00F36D77"/>
    <w:rsid w:val="00F37880"/>
    <w:rsid w:val="00F37DF1"/>
    <w:rsid w:val="00F40E83"/>
    <w:rsid w:val="00F41E8F"/>
    <w:rsid w:val="00F42116"/>
    <w:rsid w:val="00F4377C"/>
    <w:rsid w:val="00F4392A"/>
    <w:rsid w:val="00F44524"/>
    <w:rsid w:val="00F4491E"/>
    <w:rsid w:val="00F4603B"/>
    <w:rsid w:val="00F466A1"/>
    <w:rsid w:val="00F469C7"/>
    <w:rsid w:val="00F46C66"/>
    <w:rsid w:val="00F512B9"/>
    <w:rsid w:val="00F52A8E"/>
    <w:rsid w:val="00F530D1"/>
    <w:rsid w:val="00F53592"/>
    <w:rsid w:val="00F5415F"/>
    <w:rsid w:val="00F54415"/>
    <w:rsid w:val="00F54463"/>
    <w:rsid w:val="00F54E38"/>
    <w:rsid w:val="00F551B0"/>
    <w:rsid w:val="00F62D24"/>
    <w:rsid w:val="00F6398A"/>
    <w:rsid w:val="00F66269"/>
    <w:rsid w:val="00F66639"/>
    <w:rsid w:val="00F668B1"/>
    <w:rsid w:val="00F66D07"/>
    <w:rsid w:val="00F72E7B"/>
    <w:rsid w:val="00F762D5"/>
    <w:rsid w:val="00F76381"/>
    <w:rsid w:val="00F7668F"/>
    <w:rsid w:val="00F7729A"/>
    <w:rsid w:val="00F81765"/>
    <w:rsid w:val="00F81B28"/>
    <w:rsid w:val="00F82312"/>
    <w:rsid w:val="00F83C99"/>
    <w:rsid w:val="00F841EA"/>
    <w:rsid w:val="00F8426B"/>
    <w:rsid w:val="00F853C5"/>
    <w:rsid w:val="00F8623A"/>
    <w:rsid w:val="00F8652F"/>
    <w:rsid w:val="00F90B7E"/>
    <w:rsid w:val="00F90CCF"/>
    <w:rsid w:val="00F91419"/>
    <w:rsid w:val="00F91B5C"/>
    <w:rsid w:val="00F92334"/>
    <w:rsid w:val="00F972BF"/>
    <w:rsid w:val="00FA0211"/>
    <w:rsid w:val="00FA0F1F"/>
    <w:rsid w:val="00FA17DB"/>
    <w:rsid w:val="00FA1B29"/>
    <w:rsid w:val="00FA26F7"/>
    <w:rsid w:val="00FA3C84"/>
    <w:rsid w:val="00FA3D56"/>
    <w:rsid w:val="00FA4E53"/>
    <w:rsid w:val="00FA5686"/>
    <w:rsid w:val="00FA5EC5"/>
    <w:rsid w:val="00FA7264"/>
    <w:rsid w:val="00FB0E2A"/>
    <w:rsid w:val="00FB1E09"/>
    <w:rsid w:val="00FB4039"/>
    <w:rsid w:val="00FB409B"/>
    <w:rsid w:val="00FB4334"/>
    <w:rsid w:val="00FB4892"/>
    <w:rsid w:val="00FB5BC0"/>
    <w:rsid w:val="00FB5C49"/>
    <w:rsid w:val="00FB6C65"/>
    <w:rsid w:val="00FB6DF3"/>
    <w:rsid w:val="00FC0ED3"/>
    <w:rsid w:val="00FC0EF0"/>
    <w:rsid w:val="00FC1289"/>
    <w:rsid w:val="00FC15D5"/>
    <w:rsid w:val="00FC479D"/>
    <w:rsid w:val="00FC5704"/>
    <w:rsid w:val="00FC5EB1"/>
    <w:rsid w:val="00FC7940"/>
    <w:rsid w:val="00FD0112"/>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00AC"/>
    <w:rsid w:val="00FF1C16"/>
    <w:rsid w:val="00FF1D19"/>
    <w:rsid w:val="00FF24FD"/>
    <w:rsid w:val="00FF2660"/>
    <w:rsid w:val="00FF36BC"/>
    <w:rsid w:val="00FF37D9"/>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8A351"/>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37DF1"/>
    <w:rPr>
      <w:rFonts w:ascii="Arial" w:hAnsi="Arial" w:cs="Arial"/>
      <w:sz w:val="30"/>
      <w:szCs w:val="30"/>
      <w:lang w:val="es-ES_tradnl"/>
    </w:rPr>
  </w:style>
  <w:style w:type="paragraph" w:customStyle="1" w:styleId="corte4fondo">
    <w:name w:val="corte4 fondo"/>
    <w:basedOn w:val="Normal"/>
    <w:link w:val="corte4fondoCar3"/>
    <w:qFormat/>
    <w:rsid w:val="00F37DF1"/>
    <w:pPr>
      <w:spacing w:after="0" w:line="360" w:lineRule="auto"/>
      <w:ind w:firstLine="709"/>
      <w:jc w:val="both"/>
    </w:pPr>
    <w:rPr>
      <w:rFonts w:ascii="Arial" w:hAnsi="Arial" w:cs="Arial"/>
      <w:sz w:val="30"/>
      <w:szCs w:val="30"/>
      <w:lang w:val="es-ES_tradnl"/>
    </w:rPr>
  </w:style>
  <w:style w:type="paragraph" w:customStyle="1" w:styleId="Default">
    <w:name w:val="Default"/>
    <w:rsid w:val="00F37DF1"/>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corte4fondoCar">
    <w:name w:val="corte4 fondo Car"/>
    <w:basedOn w:val="Fuentedeprrafopredeter"/>
    <w:rsid w:val="00231F16"/>
    <w:rPr>
      <w:rFonts w:ascii="Arial" w:eastAsia="Times New Roman" w:hAnsi="Arial" w:cs="Times New Roman"/>
      <w:sz w:val="30"/>
      <w:szCs w:val="20"/>
      <w:lang w:val="es-ES_tradnl" w:eastAsia="es-ES"/>
    </w:rPr>
  </w:style>
  <w:style w:type="character" w:styleId="nfasissutil">
    <w:name w:val="Subtle Emphasis"/>
    <w:basedOn w:val="Fuentedeprrafopredeter"/>
    <w:uiPriority w:val="19"/>
    <w:qFormat/>
    <w:rsid w:val="00A12C70"/>
    <w:rPr>
      <w:i/>
      <w:iCs/>
      <w:color w:val="404040" w:themeColor="text1" w:themeTint="BF"/>
    </w:rPr>
  </w:style>
  <w:style w:type="character" w:customStyle="1" w:styleId="b">
    <w:name w:val="b"/>
    <w:rsid w:val="00240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52568032">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755051975">
      <w:bodyDiv w:val="1"/>
      <w:marLeft w:val="0"/>
      <w:marRight w:val="0"/>
      <w:marTop w:val="0"/>
      <w:marBottom w:val="0"/>
      <w:divBdr>
        <w:top w:val="none" w:sz="0" w:space="0" w:color="auto"/>
        <w:left w:val="none" w:sz="0" w:space="0" w:color="auto"/>
        <w:bottom w:val="none" w:sz="0" w:space="0" w:color="auto"/>
        <w:right w:val="none" w:sz="0" w:space="0" w:color="auto"/>
      </w:divBdr>
    </w:div>
    <w:div w:id="1037511168">
      <w:bodyDiv w:val="1"/>
      <w:marLeft w:val="0"/>
      <w:marRight w:val="0"/>
      <w:marTop w:val="0"/>
      <w:marBottom w:val="0"/>
      <w:divBdr>
        <w:top w:val="none" w:sz="0" w:space="0" w:color="auto"/>
        <w:left w:val="none" w:sz="0" w:space="0" w:color="auto"/>
        <w:bottom w:val="none" w:sz="0" w:space="0" w:color="auto"/>
        <w:right w:val="none" w:sz="0" w:space="0" w:color="auto"/>
      </w:divBdr>
      <w:divsChild>
        <w:div w:id="2036105054">
          <w:marLeft w:val="0"/>
          <w:marRight w:val="0"/>
          <w:marTop w:val="0"/>
          <w:marBottom w:val="0"/>
          <w:divBdr>
            <w:top w:val="none" w:sz="0" w:space="0" w:color="auto"/>
            <w:left w:val="none" w:sz="0" w:space="0" w:color="auto"/>
            <w:bottom w:val="none" w:sz="0" w:space="0" w:color="auto"/>
            <w:right w:val="none" w:sz="0" w:space="0" w:color="auto"/>
          </w:divBdr>
        </w:div>
        <w:div w:id="1860851703">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8265138">
      <w:bodyDiv w:val="1"/>
      <w:marLeft w:val="0"/>
      <w:marRight w:val="0"/>
      <w:marTop w:val="0"/>
      <w:marBottom w:val="0"/>
      <w:divBdr>
        <w:top w:val="none" w:sz="0" w:space="0" w:color="auto"/>
        <w:left w:val="none" w:sz="0" w:space="0" w:color="auto"/>
        <w:bottom w:val="none" w:sz="0" w:space="0" w:color="auto"/>
        <w:right w:val="none" w:sz="0" w:space="0" w:color="auto"/>
      </w:divBdr>
      <w:divsChild>
        <w:div w:id="1793205880">
          <w:marLeft w:val="0"/>
          <w:marRight w:val="0"/>
          <w:marTop w:val="0"/>
          <w:marBottom w:val="0"/>
          <w:divBdr>
            <w:top w:val="none" w:sz="0" w:space="0" w:color="auto"/>
            <w:left w:val="none" w:sz="0" w:space="0" w:color="auto"/>
            <w:bottom w:val="none" w:sz="0" w:space="0" w:color="auto"/>
            <w:right w:val="none" w:sz="0" w:space="0" w:color="auto"/>
          </w:divBdr>
        </w:div>
        <w:div w:id="1250190916">
          <w:marLeft w:val="0"/>
          <w:marRight w:val="0"/>
          <w:marTop w:val="0"/>
          <w:marBottom w:val="0"/>
          <w:divBdr>
            <w:top w:val="none" w:sz="0" w:space="0" w:color="auto"/>
            <w:left w:val="none" w:sz="0" w:space="0" w:color="auto"/>
            <w:bottom w:val="none" w:sz="0" w:space="0" w:color="auto"/>
            <w:right w:val="none" w:sz="0" w:space="0" w:color="auto"/>
          </w:divBdr>
        </w:div>
      </w:divsChild>
    </w:div>
    <w:div w:id="1799298983">
      <w:bodyDiv w:val="1"/>
      <w:marLeft w:val="0"/>
      <w:marRight w:val="0"/>
      <w:marTop w:val="0"/>
      <w:marBottom w:val="0"/>
      <w:divBdr>
        <w:top w:val="none" w:sz="0" w:space="0" w:color="auto"/>
        <w:left w:val="none" w:sz="0" w:space="0" w:color="auto"/>
        <w:bottom w:val="none" w:sz="0" w:space="0" w:color="auto"/>
        <w:right w:val="none" w:sz="0" w:space="0" w:color="auto"/>
      </w:divBdr>
    </w:div>
    <w:div w:id="2139101467">
      <w:bodyDiv w:val="1"/>
      <w:marLeft w:val="0"/>
      <w:marRight w:val="0"/>
      <w:marTop w:val="0"/>
      <w:marBottom w:val="0"/>
      <w:divBdr>
        <w:top w:val="none" w:sz="0" w:space="0" w:color="auto"/>
        <w:left w:val="none" w:sz="0" w:space="0" w:color="auto"/>
        <w:bottom w:val="none" w:sz="0" w:space="0" w:color="auto"/>
        <w:right w:val="none" w:sz="0" w:space="0" w:color="auto"/>
      </w:divBdr>
      <w:divsChild>
        <w:div w:id="530001544">
          <w:marLeft w:val="0"/>
          <w:marRight w:val="0"/>
          <w:marTop w:val="0"/>
          <w:marBottom w:val="0"/>
          <w:divBdr>
            <w:top w:val="none" w:sz="0" w:space="0" w:color="auto"/>
            <w:left w:val="none" w:sz="0" w:space="0" w:color="auto"/>
            <w:bottom w:val="none" w:sz="0" w:space="0" w:color="auto"/>
            <w:right w:val="none" w:sz="0" w:space="0" w:color="auto"/>
          </w:divBdr>
        </w:div>
        <w:div w:id="901525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B8799-383B-43D8-AB03-03A1912D1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3228</Words>
  <Characters>17757</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2020-02-27T18:24:00Z</cp:lastPrinted>
  <dcterms:created xsi:type="dcterms:W3CDTF">2020-09-23T16:27:00Z</dcterms:created>
  <dcterms:modified xsi:type="dcterms:W3CDTF">2020-09-23T16:27:00Z</dcterms:modified>
</cp:coreProperties>
</file>