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C41F16" w14:textId="77777777" w:rsidR="0023680F" w:rsidRPr="00CB6405" w:rsidRDefault="0023680F" w:rsidP="0023680F">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73E989B9" w14:textId="77777777" w:rsidR="0023680F" w:rsidRPr="00CB6405" w:rsidRDefault="0023680F" w:rsidP="0023680F">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332</w:t>
      </w:r>
      <w:r w:rsidRPr="00CB6405">
        <w:rPr>
          <w:rFonts w:ascii="Arial" w:hAnsi="Arial" w:cs="Arial"/>
          <w:b/>
          <w:sz w:val="26"/>
          <w:szCs w:val="26"/>
        </w:rPr>
        <w:t>/201</w:t>
      </w:r>
      <w:r>
        <w:rPr>
          <w:rFonts w:ascii="Arial" w:hAnsi="Arial" w:cs="Arial"/>
          <w:b/>
          <w:sz w:val="26"/>
          <w:szCs w:val="26"/>
        </w:rPr>
        <w:t>9.</w:t>
      </w:r>
    </w:p>
    <w:p w14:paraId="61556C6D" w14:textId="77777777" w:rsidR="0023680F" w:rsidRPr="00CB6405" w:rsidRDefault="0023680F" w:rsidP="0023680F">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64/</w:t>
      </w:r>
      <w:r w:rsidRPr="00CB6405">
        <w:rPr>
          <w:rFonts w:ascii="Arial" w:hAnsi="Arial" w:cs="Arial"/>
          <w:b/>
          <w:sz w:val="26"/>
          <w:szCs w:val="26"/>
        </w:rPr>
        <w:t>201</w:t>
      </w:r>
      <w:r>
        <w:rPr>
          <w:rFonts w:ascii="Arial" w:hAnsi="Arial" w:cs="Arial"/>
          <w:b/>
          <w:sz w:val="26"/>
          <w:szCs w:val="26"/>
        </w:rPr>
        <w:t>9</w:t>
      </w:r>
      <w:r w:rsidRPr="00CB6405">
        <w:rPr>
          <w:rFonts w:ascii="Arial" w:hAnsi="Arial" w:cs="Arial"/>
          <w:b/>
          <w:sz w:val="26"/>
          <w:szCs w:val="26"/>
        </w:rPr>
        <w:t xml:space="preserve"> </w:t>
      </w:r>
      <w:r>
        <w:rPr>
          <w:rFonts w:ascii="Arial" w:hAnsi="Arial" w:cs="Arial"/>
          <w:b/>
          <w:sz w:val="26"/>
          <w:szCs w:val="26"/>
        </w:rPr>
        <w:t xml:space="preserve">PRIMERA </w:t>
      </w:r>
      <w:r w:rsidRPr="00CB6405">
        <w:rPr>
          <w:rFonts w:ascii="Arial" w:hAnsi="Arial" w:cs="Arial"/>
          <w:b/>
          <w:sz w:val="26"/>
          <w:szCs w:val="26"/>
        </w:rPr>
        <w:t>SALA UNITARIA DE PRIMERA INSTANCIA</w:t>
      </w:r>
      <w:r>
        <w:rPr>
          <w:rFonts w:ascii="Arial" w:hAnsi="Arial" w:cs="Arial"/>
          <w:b/>
          <w:sz w:val="26"/>
          <w:szCs w:val="26"/>
        </w:rPr>
        <w:t>.</w:t>
      </w:r>
    </w:p>
    <w:p w14:paraId="252D72EE" w14:textId="77777777" w:rsidR="0023680F" w:rsidRDefault="0023680F" w:rsidP="0023680F">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ABRAHAM SANTIAGO SORIANO.</w:t>
      </w:r>
    </w:p>
    <w:p w14:paraId="5B9EEC6D" w14:textId="77777777" w:rsidR="0023680F" w:rsidRPr="00CB6405" w:rsidRDefault="0023680F" w:rsidP="0023680F">
      <w:pPr>
        <w:spacing w:line="240" w:lineRule="auto"/>
        <w:ind w:left="2124"/>
        <w:jc w:val="both"/>
        <w:rPr>
          <w:rFonts w:ascii="Arial" w:hAnsi="Arial" w:cs="Arial"/>
          <w:b/>
          <w:sz w:val="26"/>
          <w:szCs w:val="26"/>
        </w:rPr>
      </w:pPr>
      <w:r>
        <w:rPr>
          <w:rFonts w:ascii="Arial" w:hAnsi="Arial" w:cs="Arial"/>
          <w:b/>
          <w:sz w:val="26"/>
          <w:szCs w:val="26"/>
        </w:rPr>
        <w:tab/>
      </w:r>
      <w:r>
        <w:rPr>
          <w:rFonts w:ascii="Arial" w:hAnsi="Arial" w:cs="Arial"/>
          <w:b/>
          <w:sz w:val="26"/>
          <w:szCs w:val="26"/>
        </w:rPr>
        <w:tab/>
      </w:r>
    </w:p>
    <w:p w14:paraId="7AE0F4E0" w14:textId="1EC7E53E" w:rsidR="0023680F" w:rsidRDefault="0023680F" w:rsidP="0023680F">
      <w:pPr>
        <w:spacing w:before="240" w:line="360" w:lineRule="auto"/>
        <w:jc w:val="both"/>
        <w:rPr>
          <w:rFonts w:ascii="Arial" w:hAnsi="Arial" w:cs="Arial"/>
          <w:b/>
          <w:sz w:val="26"/>
          <w:szCs w:val="26"/>
        </w:rPr>
      </w:pPr>
      <w:r>
        <w:rPr>
          <w:rFonts w:ascii="Arial" w:hAnsi="Arial" w:cs="Arial"/>
          <w:b/>
          <w:sz w:val="26"/>
          <w:szCs w:val="26"/>
        </w:rPr>
        <w:t>OAXACA DE JUÁREZ, OAXACA</w:t>
      </w:r>
      <w:r w:rsidR="00195155">
        <w:rPr>
          <w:rFonts w:ascii="Arial" w:hAnsi="Arial" w:cs="Arial"/>
          <w:b/>
          <w:sz w:val="26"/>
          <w:szCs w:val="26"/>
        </w:rPr>
        <w:t xml:space="preserve">, </w:t>
      </w:r>
      <w:r>
        <w:rPr>
          <w:rFonts w:ascii="Arial" w:hAnsi="Arial" w:cs="Arial"/>
          <w:b/>
          <w:sz w:val="26"/>
          <w:szCs w:val="26"/>
        </w:rPr>
        <w:t>A</w:t>
      </w:r>
      <w:r w:rsidR="00195155">
        <w:rPr>
          <w:rFonts w:ascii="Arial" w:hAnsi="Arial" w:cs="Arial"/>
          <w:b/>
          <w:sz w:val="26"/>
          <w:szCs w:val="26"/>
        </w:rPr>
        <w:t xml:space="preserve"> </w:t>
      </w:r>
      <w:r>
        <w:rPr>
          <w:rFonts w:ascii="Arial" w:hAnsi="Arial" w:cs="Arial"/>
          <w:b/>
          <w:sz w:val="26"/>
          <w:szCs w:val="26"/>
        </w:rPr>
        <w:t xml:space="preserve">VEINTISIETE DE FEBRERO DE DOS MIL VEINTE. </w:t>
      </w:r>
    </w:p>
    <w:p w14:paraId="231F2911" w14:textId="1603C988" w:rsidR="0023680F" w:rsidRDefault="0023680F" w:rsidP="0023680F">
      <w:pPr>
        <w:spacing w:line="360" w:lineRule="auto"/>
        <w:jc w:val="both"/>
        <w:rPr>
          <w:rFonts w:ascii="Arial" w:hAnsi="Arial" w:cs="Arial"/>
          <w:sz w:val="26"/>
          <w:szCs w:val="26"/>
        </w:rPr>
      </w:pPr>
      <w:r>
        <w:rPr>
          <w:rFonts w:ascii="Arial" w:hAnsi="Arial" w:cs="Arial"/>
          <w:sz w:val="26"/>
          <w:szCs w:val="26"/>
        </w:rPr>
        <w:t xml:space="preserve">     Se tiene por recibido el cuaderno de recurso de r</w:t>
      </w:r>
      <w:r w:rsidRPr="00CB6405">
        <w:rPr>
          <w:rFonts w:ascii="Arial" w:hAnsi="Arial" w:cs="Arial"/>
          <w:sz w:val="26"/>
          <w:szCs w:val="26"/>
        </w:rPr>
        <w:t xml:space="preserve">evisión </w:t>
      </w:r>
      <w:r>
        <w:rPr>
          <w:rFonts w:ascii="Arial" w:hAnsi="Arial" w:cs="Arial"/>
          <w:b/>
          <w:sz w:val="26"/>
          <w:szCs w:val="26"/>
        </w:rPr>
        <w:t>332</w:t>
      </w:r>
      <w:r w:rsidRPr="00CB6405">
        <w:rPr>
          <w:rFonts w:ascii="Arial" w:hAnsi="Arial" w:cs="Arial"/>
          <w:b/>
          <w:sz w:val="26"/>
          <w:szCs w:val="26"/>
        </w:rPr>
        <w:t>/201</w:t>
      </w:r>
      <w:r>
        <w:rPr>
          <w:rFonts w:ascii="Arial" w:hAnsi="Arial" w:cs="Arial"/>
          <w:b/>
          <w:sz w:val="26"/>
          <w:szCs w:val="26"/>
        </w:rPr>
        <w:t>9</w:t>
      </w:r>
      <w:r w:rsidRPr="00CB6405">
        <w:rPr>
          <w:rFonts w:ascii="Arial" w:hAnsi="Arial" w:cs="Arial"/>
          <w:sz w:val="26"/>
          <w:szCs w:val="26"/>
        </w:rPr>
        <w:t xml:space="preserve">, </w:t>
      </w:r>
      <w:r>
        <w:rPr>
          <w:rFonts w:ascii="Arial" w:hAnsi="Arial" w:cs="Arial"/>
          <w:sz w:val="26"/>
          <w:szCs w:val="26"/>
        </w:rPr>
        <w:t>remitido</w:t>
      </w:r>
      <w:r w:rsidRPr="00CB6405">
        <w:rPr>
          <w:rFonts w:ascii="Arial" w:hAnsi="Arial" w:cs="Arial"/>
          <w:sz w:val="26"/>
          <w:szCs w:val="26"/>
        </w:rPr>
        <w:t xml:space="preserve"> </w:t>
      </w:r>
      <w:r>
        <w:rPr>
          <w:rFonts w:ascii="Arial" w:hAnsi="Arial" w:cs="Arial"/>
          <w:sz w:val="26"/>
          <w:szCs w:val="26"/>
        </w:rPr>
        <w:t xml:space="preserve">por </w:t>
      </w:r>
      <w:r w:rsidRPr="00CB6405">
        <w:rPr>
          <w:rFonts w:ascii="Arial" w:hAnsi="Arial" w:cs="Arial"/>
          <w:sz w:val="26"/>
          <w:szCs w:val="26"/>
        </w:rPr>
        <w:t xml:space="preserve">la Secretaría General de Acuerdos, con motivo del recurso de revisión interpuesto por </w:t>
      </w:r>
      <w:r>
        <w:rPr>
          <w:rFonts w:ascii="Arial" w:hAnsi="Arial" w:cs="Arial"/>
          <w:sz w:val="26"/>
          <w:szCs w:val="26"/>
        </w:rPr>
        <w:t xml:space="preserve">el </w:t>
      </w:r>
      <w:r w:rsidR="004A0CAC" w:rsidRPr="004A0CAC">
        <w:rPr>
          <w:rFonts w:ascii="Arial" w:eastAsia="Calibri" w:hAnsi="Arial" w:cs="Arial"/>
          <w:b/>
          <w:bCs/>
          <w:sz w:val="26"/>
          <w:szCs w:val="26"/>
        </w:rPr>
        <w:t>**********</w:t>
      </w:r>
      <w:r w:rsidRPr="001213C8">
        <w:rPr>
          <w:rFonts w:ascii="Arial" w:hAnsi="Arial" w:cs="Arial"/>
          <w:b/>
          <w:sz w:val="26"/>
          <w:szCs w:val="26"/>
        </w:rPr>
        <w:t>,</w:t>
      </w:r>
      <w:r w:rsidRPr="00CB6405">
        <w:rPr>
          <w:rFonts w:ascii="Arial" w:hAnsi="Arial" w:cs="Arial"/>
          <w:sz w:val="26"/>
          <w:szCs w:val="26"/>
        </w:rPr>
        <w:t xml:space="preserve"> en contra de</w:t>
      </w:r>
      <w:r>
        <w:rPr>
          <w:rFonts w:ascii="Arial" w:hAnsi="Arial" w:cs="Arial"/>
          <w:sz w:val="26"/>
          <w:szCs w:val="26"/>
        </w:rPr>
        <w:t xml:space="preserve"> la sentencia de seis de septiembre de dos mil diecinueve, dictada</w:t>
      </w:r>
      <w:r w:rsidRPr="00CB6405">
        <w:rPr>
          <w:rFonts w:ascii="Arial" w:hAnsi="Arial" w:cs="Arial"/>
          <w:sz w:val="26"/>
          <w:szCs w:val="26"/>
        </w:rPr>
        <w:t xml:space="preserve"> en el expediente </w:t>
      </w:r>
      <w:r>
        <w:rPr>
          <w:rFonts w:ascii="Arial" w:hAnsi="Arial" w:cs="Arial"/>
          <w:b/>
          <w:sz w:val="26"/>
          <w:szCs w:val="26"/>
        </w:rPr>
        <w:t>64/</w:t>
      </w:r>
      <w:r w:rsidRPr="00CB6405">
        <w:rPr>
          <w:rFonts w:ascii="Arial" w:hAnsi="Arial" w:cs="Arial"/>
          <w:b/>
          <w:sz w:val="26"/>
          <w:szCs w:val="26"/>
        </w:rPr>
        <w:t>201</w:t>
      </w:r>
      <w:r>
        <w:rPr>
          <w:rFonts w:ascii="Arial" w:hAnsi="Arial" w:cs="Arial"/>
          <w:b/>
          <w:sz w:val="26"/>
          <w:szCs w:val="26"/>
        </w:rPr>
        <w:t>9</w:t>
      </w:r>
      <w:r w:rsidRPr="00CB6405">
        <w:rPr>
          <w:rFonts w:ascii="Arial" w:hAnsi="Arial" w:cs="Arial"/>
          <w:b/>
          <w:sz w:val="26"/>
          <w:szCs w:val="26"/>
        </w:rPr>
        <w:t xml:space="preserve"> </w:t>
      </w:r>
      <w:r w:rsidRPr="00CB6405">
        <w:rPr>
          <w:rFonts w:ascii="Arial" w:hAnsi="Arial" w:cs="Arial"/>
          <w:sz w:val="26"/>
          <w:szCs w:val="26"/>
        </w:rPr>
        <w:t>de</w:t>
      </w:r>
      <w:r>
        <w:rPr>
          <w:rFonts w:ascii="Arial" w:hAnsi="Arial" w:cs="Arial"/>
          <w:sz w:val="26"/>
          <w:szCs w:val="26"/>
        </w:rPr>
        <w:t>l índice de</w:t>
      </w:r>
      <w:r w:rsidRPr="00CB6405">
        <w:rPr>
          <w:rFonts w:ascii="Arial" w:hAnsi="Arial" w:cs="Arial"/>
          <w:sz w:val="26"/>
          <w:szCs w:val="26"/>
        </w:rPr>
        <w:t xml:space="preserve"> la </w:t>
      </w:r>
      <w:r>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Pr>
          <w:rFonts w:ascii="Arial" w:hAnsi="Arial" w:cs="Arial"/>
          <w:b/>
          <w:sz w:val="26"/>
          <w:szCs w:val="26"/>
        </w:rPr>
        <w:t xml:space="preserve"> </w:t>
      </w:r>
      <w:r w:rsidR="004A0CAC" w:rsidRPr="004A0CAC">
        <w:rPr>
          <w:rFonts w:ascii="Arial" w:eastAsia="Calibri" w:hAnsi="Arial" w:cs="Arial"/>
          <w:b/>
          <w:bCs/>
          <w:sz w:val="26"/>
          <w:szCs w:val="26"/>
        </w:rPr>
        <w:t>**********</w:t>
      </w:r>
      <w:r>
        <w:rPr>
          <w:rFonts w:ascii="Arial" w:hAnsi="Arial" w:cs="Arial"/>
          <w:b/>
          <w:sz w:val="26"/>
          <w:szCs w:val="26"/>
        </w:rPr>
        <w:t xml:space="preserve">, </w:t>
      </w:r>
      <w:r>
        <w:rPr>
          <w:rFonts w:ascii="Arial" w:hAnsi="Arial" w:cs="Arial"/>
          <w:sz w:val="26"/>
          <w:szCs w:val="26"/>
        </w:rPr>
        <w:t>en contra</w:t>
      </w:r>
      <w:r w:rsidRPr="00B149C2">
        <w:rPr>
          <w:rFonts w:ascii="Arial" w:hAnsi="Arial" w:cs="Arial"/>
          <w:sz w:val="26"/>
          <w:szCs w:val="26"/>
        </w:rPr>
        <w:t xml:space="preserve"> del</w:t>
      </w:r>
      <w:r>
        <w:rPr>
          <w:rFonts w:ascii="Arial" w:hAnsi="Arial" w:cs="Arial"/>
          <w:b/>
          <w:sz w:val="26"/>
          <w:szCs w:val="26"/>
        </w:rPr>
        <w:t xml:space="preserve"> CONSEJO DIRECTIVO </w:t>
      </w:r>
      <w:r>
        <w:rPr>
          <w:rFonts w:ascii="Arial" w:hAnsi="Arial" w:cs="Arial"/>
          <w:b/>
          <w:bCs/>
          <w:sz w:val="26"/>
          <w:szCs w:val="26"/>
        </w:rPr>
        <w:t>DE LA OFICINA DE PENSIONES DEL GOBIERNO DEL ESTADO DE OAXACA, A TRÁVES DE SU REPRESENTANTE LEGAL, EL DIRECTOR DE LA OFICINA DE PENSIONES</w:t>
      </w:r>
      <w:r w:rsidRPr="006B3BEA">
        <w:rPr>
          <w:rFonts w:ascii="Arial" w:hAnsi="Arial" w:cs="Arial"/>
          <w:sz w:val="26"/>
          <w:szCs w:val="26"/>
        </w:rPr>
        <w:t>;</w:t>
      </w:r>
      <w:r w:rsidRPr="00CB6405">
        <w:rPr>
          <w:rFonts w:ascii="Arial" w:hAnsi="Arial" w:cs="Arial"/>
          <w:b/>
          <w:sz w:val="26"/>
          <w:szCs w:val="26"/>
        </w:rPr>
        <w:t xml:space="preserve"> </w:t>
      </w:r>
      <w:r>
        <w:rPr>
          <w:rFonts w:ascii="Arial" w:hAnsi="Arial" w:cs="Arial"/>
          <w:sz w:val="26"/>
          <w:szCs w:val="26"/>
        </w:rPr>
        <w:t xml:space="preserve">por lo que, con fundamento en los artículos 236 y </w:t>
      </w:r>
      <w:r w:rsidRPr="0030322A">
        <w:rPr>
          <w:rFonts w:ascii="Arial" w:hAnsi="Arial" w:cs="Arial"/>
          <w:sz w:val="26"/>
          <w:szCs w:val="26"/>
        </w:rPr>
        <w:t>238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p>
    <w:p w14:paraId="7D773608" w14:textId="77777777" w:rsidR="0023680F" w:rsidRPr="00CB6405" w:rsidRDefault="0023680F" w:rsidP="0023680F">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6160CE56" w14:textId="742BADE7" w:rsidR="0023680F" w:rsidRPr="00CB6405" w:rsidRDefault="0023680F" w:rsidP="0023680F">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sentencia de seis de septiembre de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Primera </w:t>
      </w:r>
      <w:r w:rsidRPr="00CB6405">
        <w:rPr>
          <w:rFonts w:ascii="Arial" w:hAnsi="Arial" w:cs="Arial"/>
          <w:sz w:val="26"/>
          <w:szCs w:val="26"/>
        </w:rPr>
        <w:t xml:space="preserve">Sala Unitaria de Primera Instancia, </w:t>
      </w:r>
      <w:r w:rsidRPr="009D0396">
        <w:rPr>
          <w:rFonts w:ascii="Arial" w:hAnsi="Arial" w:cs="Arial"/>
          <w:sz w:val="26"/>
          <w:szCs w:val="26"/>
        </w:rPr>
        <w:t>el</w:t>
      </w:r>
      <w:r>
        <w:rPr>
          <w:rFonts w:ascii="Arial" w:hAnsi="Arial" w:cs="Arial"/>
          <w:b/>
          <w:sz w:val="26"/>
          <w:szCs w:val="26"/>
        </w:rPr>
        <w:t xml:space="preserve"> </w:t>
      </w:r>
      <w:r w:rsidR="004A0CAC" w:rsidRPr="004A0CAC">
        <w:rPr>
          <w:rFonts w:ascii="Arial" w:eastAsia="Calibri" w:hAnsi="Arial" w:cs="Arial"/>
          <w:b/>
          <w:bCs/>
          <w:sz w:val="26"/>
          <w:szCs w:val="26"/>
        </w:rPr>
        <w:t>**********</w:t>
      </w:r>
      <w:r>
        <w:rPr>
          <w:rFonts w:ascii="Arial" w:hAnsi="Arial" w:cs="Arial"/>
          <w:b/>
          <w:sz w:val="26"/>
          <w:szCs w:val="26"/>
        </w:rPr>
        <w:t>,</w:t>
      </w:r>
      <w:r w:rsidRPr="00CB6405">
        <w:rPr>
          <w:rFonts w:ascii="Arial" w:hAnsi="Arial" w:cs="Arial"/>
          <w:sz w:val="26"/>
          <w:szCs w:val="26"/>
        </w:rPr>
        <w:t xml:space="preserve"> interpuso en su contra recurso de revisión.</w:t>
      </w:r>
    </w:p>
    <w:p w14:paraId="59D895C7" w14:textId="77777777" w:rsidR="0023680F" w:rsidRDefault="0023680F" w:rsidP="0023680F">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64F6D9A5" w14:textId="77777777" w:rsidR="0023680F" w:rsidRDefault="0023680F" w:rsidP="0023680F">
      <w:pPr>
        <w:widowControl w:val="0"/>
        <w:tabs>
          <w:tab w:val="left" w:pos="7938"/>
        </w:tabs>
        <w:spacing w:before="240" w:after="0" w:line="24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PRIMERO.</w:t>
      </w:r>
      <w:r>
        <w:rPr>
          <w:rFonts w:ascii="Arial" w:eastAsia="Times New Roman" w:hAnsi="Arial" w:cs="Arial"/>
          <w:b/>
          <w:bCs/>
          <w:i/>
          <w:iCs/>
          <w:sz w:val="24"/>
          <w:szCs w:val="24"/>
          <w:lang w:eastAsia="es-ES"/>
        </w:rPr>
        <w:t>-</w:t>
      </w:r>
      <w:r w:rsidRPr="00C06661">
        <w:rPr>
          <w:rFonts w:ascii="Arial" w:eastAsia="Times New Roman" w:hAnsi="Arial" w:cs="Arial"/>
          <w:b/>
          <w:bCs/>
          <w:i/>
          <w:iCs/>
          <w:sz w:val="24"/>
          <w:szCs w:val="24"/>
          <w:lang w:eastAsia="es-ES"/>
        </w:rPr>
        <w:t xml:space="preserve"> </w:t>
      </w:r>
      <w:r w:rsidRPr="00C06661">
        <w:rPr>
          <w:rFonts w:ascii="Arial" w:eastAsia="Times New Roman" w:hAnsi="Arial" w:cs="Arial"/>
          <w:bCs/>
          <w:i/>
          <w:iCs/>
          <w:sz w:val="24"/>
          <w:szCs w:val="24"/>
          <w:lang w:eastAsia="es-ES"/>
        </w:rPr>
        <w:t xml:space="preserve">Esta </w:t>
      </w:r>
      <w:r>
        <w:rPr>
          <w:rFonts w:ascii="Arial" w:eastAsia="Times New Roman" w:hAnsi="Arial" w:cs="Arial"/>
          <w:bCs/>
          <w:i/>
          <w:iCs/>
          <w:sz w:val="24"/>
          <w:szCs w:val="24"/>
          <w:lang w:eastAsia="es-ES"/>
        </w:rPr>
        <w:t xml:space="preserve">Primera Sala Unitaria del Tribunal de Justicia Administrativa del Estado de Oaxaca, es competente para conocer </w:t>
      </w:r>
      <w:r w:rsidRPr="00C06661">
        <w:rPr>
          <w:rFonts w:ascii="Arial" w:eastAsia="Times New Roman" w:hAnsi="Arial" w:cs="Arial"/>
          <w:bCs/>
          <w:i/>
          <w:iCs/>
          <w:sz w:val="24"/>
          <w:szCs w:val="24"/>
          <w:lang w:eastAsia="es-ES"/>
        </w:rPr>
        <w:t xml:space="preserve">y resolver </w:t>
      </w:r>
      <w:r>
        <w:rPr>
          <w:rFonts w:ascii="Arial" w:eastAsia="Times New Roman" w:hAnsi="Arial" w:cs="Arial"/>
          <w:bCs/>
          <w:i/>
          <w:iCs/>
          <w:sz w:val="24"/>
          <w:szCs w:val="24"/>
          <w:lang w:eastAsia="es-ES"/>
        </w:rPr>
        <w:t>el</w:t>
      </w:r>
      <w:r w:rsidRPr="00C06661">
        <w:rPr>
          <w:rFonts w:ascii="Arial" w:eastAsia="Times New Roman" w:hAnsi="Arial" w:cs="Arial"/>
          <w:bCs/>
          <w:i/>
          <w:iCs/>
          <w:sz w:val="24"/>
          <w:szCs w:val="24"/>
          <w:lang w:eastAsia="es-ES"/>
        </w:rPr>
        <w:t xml:space="preserve"> presente </w:t>
      </w:r>
      <w:r>
        <w:rPr>
          <w:rFonts w:ascii="Arial" w:eastAsia="Times New Roman" w:hAnsi="Arial" w:cs="Arial"/>
          <w:bCs/>
          <w:i/>
          <w:iCs/>
          <w:sz w:val="24"/>
          <w:szCs w:val="24"/>
          <w:lang w:eastAsia="es-ES"/>
        </w:rPr>
        <w:t>juicio. - - - - - - - - - - - - - -</w:t>
      </w:r>
    </w:p>
    <w:p w14:paraId="6D086D6C" w14:textId="77777777" w:rsidR="0023680F" w:rsidRDefault="0023680F" w:rsidP="0023680F">
      <w:pPr>
        <w:widowControl w:val="0"/>
        <w:tabs>
          <w:tab w:val="left" w:pos="7938"/>
        </w:tabs>
        <w:spacing w:before="240" w:after="0" w:line="24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
          <w:bCs/>
          <w:i/>
          <w:iCs/>
          <w:sz w:val="24"/>
          <w:szCs w:val="24"/>
          <w:lang w:eastAsia="es-ES"/>
        </w:rPr>
        <w:t>SEGUNDO.</w:t>
      </w:r>
      <w:r>
        <w:rPr>
          <w:rFonts w:ascii="Arial" w:eastAsia="Times New Roman" w:hAnsi="Arial" w:cs="Arial"/>
          <w:b/>
          <w:bCs/>
          <w:i/>
          <w:iCs/>
          <w:sz w:val="24"/>
          <w:szCs w:val="24"/>
          <w:lang w:eastAsia="es-ES"/>
        </w:rPr>
        <w:t xml:space="preserve"> -</w:t>
      </w:r>
      <w:r w:rsidRPr="00C06661">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 La personalidad de las partes quedó asentada dentro del considerando SEGUNDO de la presente resolución. - - - - - - - - - - - - - - - - - - - - - - - - - - - - - - - - - - - -</w:t>
      </w:r>
    </w:p>
    <w:p w14:paraId="775ACA4F" w14:textId="77777777" w:rsidR="0023680F" w:rsidRPr="00C06661" w:rsidRDefault="0023680F" w:rsidP="0023680F">
      <w:pPr>
        <w:widowControl w:val="0"/>
        <w:tabs>
          <w:tab w:val="left" w:pos="7938"/>
        </w:tabs>
        <w:spacing w:before="240" w:after="0" w:line="240" w:lineRule="auto"/>
        <w:ind w:left="1134" w:right="616"/>
        <w:jc w:val="both"/>
        <w:rPr>
          <w:rFonts w:ascii="Arial" w:eastAsia="Times New Roman" w:hAnsi="Arial" w:cs="Arial"/>
          <w:bCs/>
          <w:i/>
          <w:iCs/>
          <w:sz w:val="24"/>
          <w:szCs w:val="24"/>
          <w:lang w:eastAsia="es-ES"/>
        </w:rPr>
      </w:pPr>
      <w:r>
        <w:rPr>
          <w:rFonts w:ascii="Arial" w:eastAsia="Times New Roman" w:hAnsi="Arial" w:cs="Arial"/>
          <w:b/>
          <w:bCs/>
          <w:i/>
          <w:iCs/>
          <w:sz w:val="24"/>
          <w:szCs w:val="24"/>
          <w:lang w:eastAsia="es-ES"/>
        </w:rPr>
        <w:t>TERCERO.-</w:t>
      </w:r>
      <w:r>
        <w:rPr>
          <w:rFonts w:ascii="Arial" w:eastAsia="Times New Roman" w:hAnsi="Arial" w:cs="Arial"/>
          <w:bCs/>
          <w:i/>
          <w:iCs/>
          <w:sz w:val="24"/>
          <w:szCs w:val="24"/>
          <w:lang w:eastAsia="es-ES"/>
        </w:rPr>
        <w:t xml:space="preserve"> Esta Sala advierte que, en el presente juicio no se configura alguna causal de improcedencia o sobreseimiento expuestas dentro del considerando TERCERO, por lo tanto, </w:t>
      </w:r>
      <w:r w:rsidRPr="00326B9F">
        <w:rPr>
          <w:rFonts w:ascii="Arial" w:eastAsia="Times New Roman" w:hAnsi="Arial" w:cs="Arial"/>
          <w:b/>
          <w:bCs/>
          <w:i/>
          <w:iCs/>
          <w:sz w:val="24"/>
          <w:szCs w:val="24"/>
          <w:lang w:eastAsia="es-ES"/>
        </w:rPr>
        <w:t>NO SE SOBRESEE</w:t>
      </w:r>
      <w:r>
        <w:rPr>
          <w:rFonts w:ascii="Arial" w:eastAsia="Times New Roman" w:hAnsi="Arial" w:cs="Arial"/>
          <w:bCs/>
          <w:i/>
          <w:iCs/>
          <w:sz w:val="24"/>
          <w:szCs w:val="24"/>
          <w:lang w:eastAsia="es-ES"/>
        </w:rPr>
        <w:t xml:space="preserve">. - - - - - - - - - - - </w:t>
      </w:r>
    </w:p>
    <w:p w14:paraId="71101F20" w14:textId="6FB0A82D" w:rsidR="0023680F" w:rsidRDefault="0023680F" w:rsidP="0023680F">
      <w:pPr>
        <w:widowControl w:val="0"/>
        <w:tabs>
          <w:tab w:val="left" w:pos="7938"/>
        </w:tabs>
        <w:spacing w:after="0" w:line="240" w:lineRule="auto"/>
        <w:ind w:left="1134" w:right="616"/>
        <w:jc w:val="both"/>
        <w:rPr>
          <w:rFonts w:ascii="Arial" w:eastAsia="Times New Roman" w:hAnsi="Arial" w:cs="Arial"/>
          <w:i/>
          <w:iCs/>
          <w:sz w:val="24"/>
          <w:szCs w:val="24"/>
          <w:lang w:eastAsia="es-ES"/>
        </w:rPr>
      </w:pPr>
      <w:r>
        <w:rPr>
          <w:rFonts w:ascii="Arial" w:eastAsia="Times New Roman" w:hAnsi="Arial" w:cs="Arial"/>
          <w:b/>
          <w:bCs/>
          <w:i/>
          <w:iCs/>
          <w:sz w:val="24"/>
          <w:szCs w:val="24"/>
          <w:lang w:eastAsia="es-ES"/>
        </w:rPr>
        <w:t>CUARTO</w:t>
      </w:r>
      <w:r w:rsidRPr="00C06661">
        <w:rPr>
          <w:rFonts w:ascii="Arial" w:eastAsia="Times New Roman" w:hAnsi="Arial" w:cs="Arial"/>
          <w:b/>
          <w:bCs/>
          <w:i/>
          <w:iCs/>
          <w:sz w:val="24"/>
          <w:szCs w:val="24"/>
          <w:lang w:eastAsia="es-ES"/>
        </w:rPr>
        <w:t>.</w:t>
      </w:r>
      <w:r>
        <w:rPr>
          <w:rFonts w:ascii="Arial" w:eastAsia="Times New Roman" w:hAnsi="Arial" w:cs="Arial"/>
          <w:b/>
          <w:bCs/>
          <w:i/>
          <w:iCs/>
          <w:sz w:val="24"/>
          <w:szCs w:val="24"/>
          <w:lang w:eastAsia="es-ES"/>
        </w:rPr>
        <w:t xml:space="preserve">- </w:t>
      </w:r>
      <w:r w:rsidRPr="004039D6">
        <w:rPr>
          <w:rFonts w:ascii="Arial" w:eastAsia="Times New Roman" w:hAnsi="Arial" w:cs="Arial"/>
          <w:i/>
          <w:iCs/>
          <w:sz w:val="24"/>
          <w:szCs w:val="24"/>
          <w:lang w:eastAsia="es-ES"/>
        </w:rPr>
        <w:t>Se declara</w:t>
      </w:r>
      <w:r>
        <w:rPr>
          <w:rFonts w:ascii="Arial" w:eastAsia="Times New Roman" w:hAnsi="Arial" w:cs="Arial"/>
          <w:b/>
          <w:bCs/>
          <w:i/>
          <w:iCs/>
          <w:sz w:val="24"/>
          <w:szCs w:val="24"/>
          <w:lang w:eastAsia="es-ES"/>
        </w:rPr>
        <w:t xml:space="preserve"> LA NULIDAD </w:t>
      </w:r>
      <w:r w:rsidRPr="004039D6">
        <w:rPr>
          <w:rFonts w:ascii="Arial" w:eastAsia="Times New Roman" w:hAnsi="Arial" w:cs="Arial"/>
          <w:i/>
          <w:iCs/>
          <w:sz w:val="24"/>
          <w:szCs w:val="24"/>
          <w:lang w:eastAsia="es-ES"/>
        </w:rPr>
        <w:t xml:space="preserve">del oficio </w:t>
      </w:r>
      <w:r>
        <w:rPr>
          <w:rFonts w:ascii="Arial" w:eastAsia="Times New Roman" w:hAnsi="Arial" w:cs="Arial"/>
          <w:i/>
          <w:iCs/>
          <w:sz w:val="24"/>
          <w:szCs w:val="24"/>
          <w:lang w:eastAsia="es-ES"/>
        </w:rPr>
        <w:t xml:space="preserve">número </w:t>
      </w:r>
      <w:r w:rsidR="004A0CAC" w:rsidRPr="004A0CAC">
        <w:rPr>
          <w:rFonts w:ascii="Arial" w:eastAsia="Calibri" w:hAnsi="Arial" w:cs="Arial"/>
          <w:b/>
          <w:bCs/>
          <w:sz w:val="26"/>
          <w:szCs w:val="26"/>
        </w:rPr>
        <w:lastRenderedPageBreak/>
        <w:t>**********</w:t>
      </w:r>
      <w:r w:rsidRPr="004039D6">
        <w:rPr>
          <w:rFonts w:ascii="Arial" w:eastAsia="Times New Roman" w:hAnsi="Arial" w:cs="Arial"/>
          <w:i/>
          <w:iCs/>
          <w:sz w:val="24"/>
          <w:szCs w:val="24"/>
          <w:lang w:eastAsia="es-ES"/>
        </w:rPr>
        <w:t xml:space="preserve">de fecha </w:t>
      </w:r>
      <w:r>
        <w:rPr>
          <w:rFonts w:ascii="Arial" w:eastAsia="Times New Roman" w:hAnsi="Arial" w:cs="Arial"/>
          <w:i/>
          <w:iCs/>
          <w:sz w:val="24"/>
          <w:szCs w:val="24"/>
          <w:lang w:eastAsia="es-ES"/>
        </w:rPr>
        <w:t>trece de marzo</w:t>
      </w:r>
      <w:r w:rsidRPr="004039D6">
        <w:rPr>
          <w:rFonts w:ascii="Arial" w:eastAsia="Times New Roman" w:hAnsi="Arial" w:cs="Arial"/>
          <w:i/>
          <w:iCs/>
          <w:sz w:val="24"/>
          <w:szCs w:val="24"/>
          <w:lang w:eastAsia="es-ES"/>
        </w:rPr>
        <w:t xml:space="preserve"> </w:t>
      </w:r>
      <w:r>
        <w:rPr>
          <w:rFonts w:ascii="Arial" w:eastAsia="Times New Roman" w:hAnsi="Arial" w:cs="Arial"/>
          <w:i/>
          <w:iCs/>
          <w:sz w:val="24"/>
          <w:szCs w:val="24"/>
          <w:lang w:eastAsia="es-ES"/>
        </w:rPr>
        <w:t>de dos mil dieciocho (13/03/2019</w:t>
      </w:r>
      <w:r w:rsidRPr="004039D6">
        <w:rPr>
          <w:rFonts w:ascii="Arial" w:eastAsia="Times New Roman" w:hAnsi="Arial" w:cs="Arial"/>
          <w:i/>
          <w:iCs/>
          <w:sz w:val="24"/>
          <w:szCs w:val="24"/>
          <w:lang w:eastAsia="es-ES"/>
        </w:rPr>
        <w:t xml:space="preserve">), </w:t>
      </w:r>
      <w:r>
        <w:rPr>
          <w:rFonts w:ascii="Arial" w:eastAsia="Times New Roman" w:hAnsi="Arial" w:cs="Arial"/>
          <w:i/>
          <w:iCs/>
          <w:sz w:val="24"/>
          <w:szCs w:val="24"/>
          <w:lang w:eastAsia="es-ES"/>
        </w:rPr>
        <w:t>emitido por el</w:t>
      </w:r>
      <w:r w:rsidRPr="004039D6">
        <w:rPr>
          <w:rFonts w:ascii="Arial" w:eastAsia="Times New Roman" w:hAnsi="Arial" w:cs="Arial"/>
          <w:i/>
          <w:iCs/>
          <w:sz w:val="24"/>
          <w:szCs w:val="24"/>
          <w:lang w:eastAsia="es-ES"/>
        </w:rPr>
        <w:t xml:space="preserve"> Director General de la Oficina de Pensiones del</w:t>
      </w:r>
      <w:r>
        <w:rPr>
          <w:rFonts w:ascii="Arial" w:eastAsia="Times New Roman" w:hAnsi="Arial" w:cs="Arial"/>
          <w:i/>
          <w:iCs/>
          <w:sz w:val="24"/>
          <w:szCs w:val="24"/>
          <w:lang w:eastAsia="es-ES"/>
        </w:rPr>
        <w:t xml:space="preserve"> Gobierno del</w:t>
      </w:r>
      <w:r w:rsidRPr="004039D6">
        <w:rPr>
          <w:rFonts w:ascii="Arial" w:eastAsia="Times New Roman" w:hAnsi="Arial" w:cs="Arial"/>
          <w:i/>
          <w:iCs/>
          <w:sz w:val="24"/>
          <w:szCs w:val="24"/>
          <w:lang w:eastAsia="es-ES"/>
        </w:rPr>
        <w:t xml:space="preserve"> Estado</w:t>
      </w:r>
      <w:r>
        <w:rPr>
          <w:rFonts w:ascii="Arial" w:eastAsia="Times New Roman" w:hAnsi="Arial" w:cs="Arial"/>
          <w:b/>
          <w:bCs/>
          <w:i/>
          <w:iCs/>
          <w:sz w:val="24"/>
          <w:szCs w:val="24"/>
          <w:lang w:eastAsia="es-ES"/>
        </w:rPr>
        <w:t xml:space="preserve"> </w:t>
      </w:r>
      <w:r w:rsidRPr="004039D6">
        <w:rPr>
          <w:rFonts w:ascii="Arial" w:eastAsia="Times New Roman" w:hAnsi="Arial" w:cs="Arial"/>
          <w:i/>
          <w:iCs/>
          <w:sz w:val="24"/>
          <w:szCs w:val="24"/>
          <w:lang w:eastAsia="es-ES"/>
        </w:rPr>
        <w:t>de Oaxac</w:t>
      </w:r>
      <w:r>
        <w:rPr>
          <w:rFonts w:ascii="Arial" w:eastAsia="Times New Roman" w:hAnsi="Arial" w:cs="Arial"/>
          <w:i/>
          <w:iCs/>
          <w:sz w:val="24"/>
          <w:szCs w:val="24"/>
          <w:lang w:eastAsia="es-ES"/>
        </w:rPr>
        <w:t xml:space="preserve">a, por medio del cual se dictaminaba la pensión a favor de la </w:t>
      </w:r>
      <w:r w:rsidR="004A0CAC" w:rsidRPr="004A0CAC">
        <w:rPr>
          <w:rFonts w:ascii="Arial" w:eastAsia="Calibri" w:hAnsi="Arial" w:cs="Arial"/>
          <w:b/>
          <w:bCs/>
          <w:sz w:val="26"/>
          <w:szCs w:val="26"/>
        </w:rPr>
        <w:t>**********</w:t>
      </w:r>
      <w:r>
        <w:rPr>
          <w:rFonts w:ascii="Arial" w:eastAsia="Times New Roman" w:hAnsi="Arial" w:cs="Arial"/>
          <w:i/>
          <w:iCs/>
          <w:sz w:val="24"/>
          <w:szCs w:val="24"/>
          <w:lang w:eastAsia="es-ES"/>
        </w:rPr>
        <w:t xml:space="preserve">, así como el descuento ahí establecido, </w:t>
      </w:r>
      <w:r w:rsidRPr="005E41EE">
        <w:rPr>
          <w:rFonts w:ascii="Arial" w:eastAsia="Times New Roman" w:hAnsi="Arial" w:cs="Arial"/>
          <w:b/>
          <w:i/>
          <w:iCs/>
          <w:sz w:val="24"/>
          <w:szCs w:val="24"/>
          <w:lang w:eastAsia="es-ES"/>
        </w:rPr>
        <w:t>PARA EL EFECTO</w:t>
      </w:r>
      <w:r>
        <w:rPr>
          <w:rFonts w:ascii="Arial" w:eastAsia="Times New Roman" w:hAnsi="Arial" w:cs="Arial"/>
          <w:i/>
          <w:iCs/>
          <w:sz w:val="24"/>
          <w:szCs w:val="24"/>
          <w:lang w:eastAsia="es-ES"/>
        </w:rPr>
        <w:t xml:space="preserve"> de que la autoridad demandada funde y motive en un nuevo acto y se pronuncie en los términos de la presente resolución, para la emisión de un dictamen de pensión considerando el salario integrado  para el efecto de pensión reclamado, integrado por los conceptos respectivos  que percibía en forma mensual como Defensor Público, a los cuales se les integrará Canasta Básica (clave 42), Previsión Social Múltiple (P.S.M.) (clave 43), P.BS. (clave 44), Estímulo (clave 45) y Quinquenios (5) (clave 46), Aguinaldo (clave 47), y Prima Vacacional (clave 48) más el salario base, debiendo igualmente hacer el ajuste a las cantidades que por concepto de pensión ya pagó, también será importante que no opere el descuento del 9% por concepto de cuota al Fondo de Pensiones por haber sido ya declarado inconstitucional, debiendo devolver a la hoy actora los descuentos hechos a su pensión desde la fecha en que le comenzó  a pagar la pensión y abstenerse de realizar dicho descuento a futuro, por ello el dictamen deberá estar debidamente fundado y motivado cumpliendo los requisitos y elementos de validez del acto administrativo a los que hace referencia el artículo 17 de la Ley de Procedimiento y Justicia Administrativa para el Estado de Oaxaca, por las razones expuestas en el considerando CUARTO de esta sentencia.- -</w:t>
      </w:r>
    </w:p>
    <w:p w14:paraId="1286F428" w14:textId="77777777" w:rsidR="0023680F" w:rsidRPr="009379BB" w:rsidRDefault="0023680F" w:rsidP="0023680F">
      <w:pPr>
        <w:widowControl w:val="0"/>
        <w:tabs>
          <w:tab w:val="left" w:pos="7938"/>
        </w:tabs>
        <w:spacing w:after="0" w:line="240" w:lineRule="auto"/>
        <w:ind w:left="1134" w:right="616"/>
        <w:jc w:val="both"/>
        <w:rPr>
          <w:rFonts w:ascii="Arial" w:eastAsia="Times New Roman" w:hAnsi="Arial" w:cs="Arial"/>
          <w:i/>
          <w:iCs/>
          <w:sz w:val="24"/>
          <w:szCs w:val="24"/>
          <w:lang w:eastAsia="es-ES"/>
        </w:rPr>
      </w:pPr>
      <w:r>
        <w:rPr>
          <w:rFonts w:ascii="Arial" w:eastAsia="Times New Roman" w:hAnsi="Arial" w:cs="Arial"/>
          <w:b/>
          <w:bCs/>
          <w:i/>
          <w:iCs/>
          <w:sz w:val="24"/>
          <w:szCs w:val="24"/>
          <w:lang w:eastAsia="es-ES"/>
        </w:rPr>
        <w:t>QUINTO.</w:t>
      </w:r>
      <w:r>
        <w:rPr>
          <w:rFonts w:ascii="Arial" w:eastAsia="Times New Roman" w:hAnsi="Arial" w:cs="Arial"/>
          <w:i/>
          <w:iCs/>
          <w:sz w:val="24"/>
          <w:szCs w:val="24"/>
          <w:lang w:eastAsia="es-ES"/>
        </w:rPr>
        <w:t xml:space="preserve"> - Conforme a lo dispuesto en los artículos 172 y 173 de la Ley de Procedimiento y Justicia Administrativa para el Estado de OAXACA, </w:t>
      </w:r>
      <w:r w:rsidRPr="00E77E88">
        <w:rPr>
          <w:rFonts w:ascii="Arial" w:eastAsia="Calibri" w:hAnsi="Arial" w:cs="Arial"/>
          <w:b/>
          <w:i/>
          <w:color w:val="000000" w:themeColor="text1"/>
          <w:sz w:val="24"/>
          <w:szCs w:val="24"/>
        </w:rPr>
        <w:t>NOTIFÍQUESE</w:t>
      </w:r>
      <w:r>
        <w:rPr>
          <w:rFonts w:ascii="Arial" w:eastAsia="Calibri" w:hAnsi="Arial" w:cs="Arial"/>
          <w:bCs/>
          <w:i/>
          <w:color w:val="000000" w:themeColor="text1"/>
          <w:sz w:val="24"/>
          <w:szCs w:val="24"/>
        </w:rPr>
        <w:t xml:space="preserve"> y </w:t>
      </w:r>
      <w:r w:rsidRPr="005E41EE">
        <w:rPr>
          <w:rFonts w:ascii="Arial" w:eastAsia="Calibri" w:hAnsi="Arial" w:cs="Arial"/>
          <w:b/>
          <w:bCs/>
          <w:i/>
          <w:color w:val="000000" w:themeColor="text1"/>
          <w:sz w:val="24"/>
          <w:szCs w:val="24"/>
        </w:rPr>
        <w:t>CÚMPLASE</w:t>
      </w:r>
      <w:r w:rsidRPr="00E77E88">
        <w:rPr>
          <w:rFonts w:ascii="Arial" w:eastAsia="Calibri" w:hAnsi="Arial" w:cs="Arial"/>
          <w:b/>
          <w:i/>
          <w:color w:val="000000" w:themeColor="text1"/>
          <w:sz w:val="24"/>
          <w:szCs w:val="24"/>
        </w:rPr>
        <w:t>.</w:t>
      </w:r>
      <w:r>
        <w:rPr>
          <w:rFonts w:ascii="Arial" w:eastAsia="Calibri" w:hAnsi="Arial" w:cs="Arial"/>
          <w:b/>
          <w:i/>
          <w:color w:val="000000" w:themeColor="text1"/>
          <w:sz w:val="24"/>
          <w:szCs w:val="24"/>
        </w:rPr>
        <w:t>”</w:t>
      </w:r>
      <w:r>
        <w:rPr>
          <w:rFonts w:ascii="Arial" w:eastAsia="Calibri" w:hAnsi="Arial" w:cs="Arial"/>
          <w:bCs/>
          <w:i/>
          <w:color w:val="000000" w:themeColor="text1"/>
          <w:sz w:val="24"/>
          <w:szCs w:val="24"/>
        </w:rPr>
        <w:t xml:space="preserve">  </w:t>
      </w:r>
    </w:p>
    <w:p w14:paraId="5E515ACD" w14:textId="77777777" w:rsidR="0023680F" w:rsidRPr="00CB6405" w:rsidRDefault="0023680F" w:rsidP="0023680F">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7215541E" w14:textId="77777777" w:rsidR="0023680F" w:rsidRDefault="0023680F" w:rsidP="0023680F">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w:t>
      </w:r>
      <w:r w:rsidRPr="00403CFB">
        <w:rPr>
          <w:rFonts w:ascii="Arial" w:hAnsi="Arial" w:cs="Arial"/>
          <w:bCs/>
          <w:iCs/>
          <w:sz w:val="26"/>
          <w:szCs w:val="26"/>
          <w:lang w:eastAsia="es-ES"/>
        </w:rPr>
        <w:t>125</w:t>
      </w:r>
      <w:r>
        <w:rPr>
          <w:rFonts w:ascii="Arial" w:hAnsi="Arial" w:cs="Arial"/>
          <w:bCs/>
          <w:iCs/>
          <w:sz w:val="26"/>
          <w:szCs w:val="26"/>
        </w:rPr>
        <w:t xml:space="preserve">, 127, 129, 130 </w:t>
      </w:r>
      <w:r w:rsidRPr="00403CFB">
        <w:rPr>
          <w:rFonts w:ascii="Arial" w:hAnsi="Arial" w:cs="Arial"/>
          <w:bCs/>
          <w:iCs/>
          <w:sz w:val="26"/>
          <w:szCs w:val="26"/>
        </w:rPr>
        <w:t xml:space="preserve">fracción I, 131, 231, 236 </w:t>
      </w:r>
      <w:r>
        <w:rPr>
          <w:rFonts w:ascii="Arial" w:hAnsi="Arial" w:cs="Arial"/>
          <w:bCs/>
          <w:iCs/>
          <w:sz w:val="26"/>
          <w:szCs w:val="26"/>
        </w:rPr>
        <w:t xml:space="preserve">fracción VII </w:t>
      </w:r>
      <w:r w:rsidRPr="00403CFB">
        <w:rPr>
          <w:rFonts w:ascii="Arial" w:hAnsi="Arial" w:cs="Arial"/>
          <w:bCs/>
          <w:iCs/>
          <w:sz w:val="26"/>
          <w:szCs w:val="26"/>
        </w:rPr>
        <w:t xml:space="preserve">y 238 de la Ley de Procedimiento y Justicia Administrativa para el Estado de </w:t>
      </w:r>
      <w:r>
        <w:rPr>
          <w:rFonts w:ascii="Arial" w:hAnsi="Arial" w:cs="Arial"/>
          <w:bCs/>
          <w:iCs/>
          <w:sz w:val="26"/>
          <w:szCs w:val="26"/>
        </w:rPr>
        <w:t>Oaxaca, dado que se trata de un r</w:t>
      </w:r>
      <w:r w:rsidRPr="00403CFB">
        <w:rPr>
          <w:rFonts w:ascii="Arial" w:hAnsi="Arial" w:cs="Arial"/>
          <w:bCs/>
          <w:iCs/>
          <w:sz w:val="26"/>
          <w:szCs w:val="26"/>
        </w:rPr>
        <w:t>ecurso</w:t>
      </w:r>
      <w:r>
        <w:rPr>
          <w:rFonts w:ascii="Arial" w:hAnsi="Arial" w:cs="Arial"/>
          <w:bCs/>
          <w:iCs/>
          <w:sz w:val="26"/>
          <w:szCs w:val="26"/>
        </w:rPr>
        <w:t xml:space="preserve"> de r</w:t>
      </w:r>
      <w:r w:rsidRPr="00403CFB">
        <w:rPr>
          <w:rFonts w:ascii="Arial" w:hAnsi="Arial" w:cs="Arial"/>
          <w:bCs/>
          <w:iCs/>
          <w:sz w:val="26"/>
          <w:szCs w:val="26"/>
        </w:rPr>
        <w:t>evisión interpuesto</w:t>
      </w:r>
      <w:r>
        <w:rPr>
          <w:rFonts w:ascii="Arial" w:hAnsi="Arial" w:cs="Arial"/>
          <w:bCs/>
          <w:iCs/>
          <w:sz w:val="26"/>
          <w:szCs w:val="26"/>
        </w:rPr>
        <w:t xml:space="preserve"> en contra de la sentencia de </w:t>
      </w:r>
      <w:r>
        <w:rPr>
          <w:rFonts w:ascii="Arial" w:hAnsi="Arial" w:cs="Arial"/>
          <w:sz w:val="26"/>
          <w:szCs w:val="26"/>
        </w:rPr>
        <w:t>seis de septiembre de dos mil diecinueve</w:t>
      </w:r>
      <w:r w:rsidRPr="00CB6405">
        <w:rPr>
          <w:rFonts w:ascii="Arial" w:hAnsi="Arial" w:cs="Arial"/>
          <w:sz w:val="26"/>
          <w:szCs w:val="26"/>
        </w:rPr>
        <w:t>, dictad</w:t>
      </w:r>
      <w:r>
        <w:rPr>
          <w:rFonts w:ascii="Arial" w:hAnsi="Arial" w:cs="Arial"/>
          <w:sz w:val="26"/>
          <w:szCs w:val="26"/>
        </w:rPr>
        <w:t xml:space="preserve">a por la Primera </w:t>
      </w:r>
      <w:r w:rsidRPr="00CB6405">
        <w:rPr>
          <w:rFonts w:ascii="Arial" w:hAnsi="Arial" w:cs="Arial"/>
          <w:sz w:val="26"/>
          <w:szCs w:val="26"/>
        </w:rPr>
        <w:t>Sal</w:t>
      </w:r>
      <w:r>
        <w:rPr>
          <w:rFonts w:ascii="Arial" w:hAnsi="Arial" w:cs="Arial"/>
          <w:sz w:val="26"/>
          <w:szCs w:val="26"/>
        </w:rPr>
        <w:t xml:space="preserve">a Unitaria de Primera Instancia </w:t>
      </w:r>
      <w:r>
        <w:rPr>
          <w:rFonts w:ascii="Arial" w:hAnsi="Arial" w:cs="Arial"/>
          <w:bCs/>
          <w:iCs/>
          <w:sz w:val="26"/>
          <w:szCs w:val="26"/>
        </w:rPr>
        <w:t xml:space="preserve">de este Tribunal, en el juicio de nulidad </w:t>
      </w:r>
      <w:r>
        <w:rPr>
          <w:rFonts w:ascii="Arial" w:hAnsi="Arial" w:cs="Arial"/>
          <w:b/>
          <w:bCs/>
          <w:iCs/>
          <w:sz w:val="26"/>
          <w:szCs w:val="26"/>
        </w:rPr>
        <w:t>64/2019</w:t>
      </w:r>
      <w:r w:rsidRPr="00DD4D5B">
        <w:rPr>
          <w:rFonts w:ascii="Arial" w:hAnsi="Arial" w:cs="Arial"/>
          <w:b/>
          <w:bCs/>
          <w:iCs/>
          <w:sz w:val="26"/>
          <w:szCs w:val="26"/>
        </w:rPr>
        <w:t>.</w:t>
      </w:r>
    </w:p>
    <w:p w14:paraId="37490773" w14:textId="77777777" w:rsidR="0023680F" w:rsidRDefault="0023680F" w:rsidP="0023680F">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respectivo escrito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 En apoyo a lo anterior, se invoca la T</w:t>
      </w:r>
      <w:proofErr w:type="spellStart"/>
      <w:r>
        <w:rPr>
          <w:rFonts w:ascii="Arial" w:hAnsi="Arial" w:cs="Arial"/>
          <w:bCs/>
          <w:color w:val="000000"/>
          <w:sz w:val="26"/>
          <w:szCs w:val="26"/>
          <w:lang w:val="es-MX"/>
        </w:rPr>
        <w:t>esis</w:t>
      </w:r>
      <w:proofErr w:type="spellEnd"/>
      <w:r>
        <w:rPr>
          <w:rFonts w:ascii="Arial" w:hAnsi="Arial" w:cs="Arial"/>
          <w:bCs/>
          <w:color w:val="000000"/>
          <w:sz w:val="26"/>
          <w:szCs w:val="26"/>
          <w:lang w:val="es-MX"/>
        </w:rPr>
        <w:t xml:space="preserve"> XVII.1o.C.T.30 K, emitida por los Tribunales Colegiados de Circuito, con </w:t>
      </w:r>
      <w:r>
        <w:rPr>
          <w:rFonts w:ascii="Arial" w:hAnsi="Arial" w:cs="Arial"/>
          <w:bCs/>
          <w:color w:val="000000"/>
          <w:sz w:val="26"/>
          <w:szCs w:val="26"/>
          <w:lang w:val="es-MX"/>
        </w:rPr>
        <w:lastRenderedPageBreak/>
        <w:t>número de registro 175433, publicada en la Gaceta del Semanario Judicial de la Federación, Tomo XXIII, Marzo de 2006, visible a página 2115, Novena Época, bajo el rubro y texto siguiente:</w:t>
      </w:r>
    </w:p>
    <w:p w14:paraId="07AF86B2" w14:textId="77777777" w:rsidR="0023680F" w:rsidRPr="00C41C98" w:rsidRDefault="0023680F" w:rsidP="0023680F">
      <w:pPr>
        <w:ind w:left="1134" w:right="900"/>
        <w:jc w:val="both"/>
        <w:rPr>
          <w:rFonts w:ascii="Arial" w:eastAsia="Times New Roman" w:hAnsi="Arial" w:cs="Arial"/>
          <w:b/>
          <w:bCs/>
          <w:i/>
          <w:sz w:val="24"/>
          <w:szCs w:val="24"/>
          <w:lang w:val="es-MX" w:eastAsia="es-MX"/>
        </w:rPr>
      </w:pPr>
      <w:r w:rsidRPr="00C41C98">
        <w:rPr>
          <w:rFonts w:ascii="Arial" w:eastAsia="Times New Roman" w:hAnsi="Arial" w:cs="Arial"/>
          <w:b/>
          <w:bCs/>
          <w:i/>
          <w:sz w:val="24"/>
          <w:szCs w:val="24"/>
          <w:lang w:val="es-MX" w:eastAsia="es-MX"/>
        </w:rPr>
        <w:t xml:space="preserve">“SENTENCIAS DE LOS TRIBUNALES COLEGIADOS DE CIRCUITO. AL EMITIRLAS NO SE ENCUENTRAN OBLIGADOS A TRANSCRIBIR LA RESOLUCIÓN RECURRIDA. </w:t>
      </w:r>
      <w:r w:rsidRPr="00C41C98">
        <w:rPr>
          <w:rFonts w:ascii="Arial" w:eastAsia="Times New Roman" w:hAnsi="Arial" w:cs="Arial"/>
          <w:bCs/>
          <w:i/>
          <w:sz w:val="24"/>
          <w:szCs w:val="24"/>
          <w:lang w:val="es-MX" w:eastAsia="es-MX"/>
        </w:rPr>
        <w:t>El hecho de que en las sentencias que emitan los Tribunales Colegiados de Circuito no se transcriba la resolución recurrida, no infringe disposiciones de la Ley de Amparo, a la cual quedan sujetas sus actuaciones, pues el artículo 77 de dicha legislación, que establece los requisitos que deben contener las sentencias, no lo prevé así, ni existe precepto alguno que establezca esa obligación; además, dicha omisión no deja en estado de indefensión al recurrente, puesto que ese fallo obra en los autos y se toma en cuenta al resolver</w:t>
      </w:r>
      <w:r w:rsidRPr="00C41C98">
        <w:rPr>
          <w:rFonts w:ascii="Arial" w:eastAsia="Times New Roman" w:hAnsi="Arial" w:cs="Arial"/>
          <w:i/>
          <w:sz w:val="24"/>
          <w:szCs w:val="24"/>
          <w:lang w:val="es-MX" w:eastAsia="es-MX"/>
        </w:rPr>
        <w:t>.”</w:t>
      </w:r>
    </w:p>
    <w:p w14:paraId="73CF0BD0" w14:textId="77777777" w:rsidR="0023680F" w:rsidRDefault="0023680F" w:rsidP="0023680F">
      <w:pPr>
        <w:spacing w:after="0" w:line="360" w:lineRule="auto"/>
        <w:ind w:firstLine="708"/>
        <w:jc w:val="both"/>
        <w:rPr>
          <w:rFonts w:ascii="Arial" w:hAnsi="Arial" w:cs="Arial"/>
          <w:bCs/>
          <w:iCs/>
          <w:sz w:val="26"/>
          <w:szCs w:val="26"/>
          <w:lang w:val="es-MX"/>
        </w:rPr>
      </w:pPr>
      <w:r>
        <w:rPr>
          <w:rFonts w:ascii="Arial" w:hAnsi="Arial" w:cs="Arial"/>
          <w:b/>
          <w:bCs/>
          <w:iCs/>
          <w:sz w:val="26"/>
          <w:szCs w:val="26"/>
          <w:lang w:val="es-MX"/>
        </w:rPr>
        <w:t xml:space="preserve">TERCERO.  </w:t>
      </w:r>
      <w:r w:rsidRPr="005E41EE">
        <w:rPr>
          <w:rFonts w:ascii="Arial" w:hAnsi="Arial" w:cs="Arial"/>
          <w:bCs/>
          <w:iCs/>
          <w:sz w:val="26"/>
          <w:szCs w:val="26"/>
          <w:lang w:val="es-MX"/>
        </w:rPr>
        <w:t xml:space="preserve">El </w:t>
      </w:r>
      <w:r>
        <w:rPr>
          <w:rFonts w:ascii="Arial" w:hAnsi="Arial" w:cs="Arial"/>
          <w:bCs/>
          <w:iCs/>
          <w:sz w:val="26"/>
          <w:szCs w:val="26"/>
          <w:lang w:val="es-MX"/>
        </w:rPr>
        <w:t>recurrente señala que le agravia la sentencia que impugna, al no cumplir con los requisitos esenciales de fundamentación y motivación consagrados en el artículo 16 de la Constitución Política de los Estados Unidos Mexicanos, al no expresar la resolutora de primera instancia los preceptos y principios jurídicos en los que fundó su actuación y los motivos o razonamientos que la llevaron a resolver el caso concreto; asimismo, no cumple con el principio de congruencia  que debe reunir toda resolución.</w:t>
      </w:r>
    </w:p>
    <w:p w14:paraId="690530C2" w14:textId="77777777" w:rsidR="0023680F" w:rsidRDefault="0023680F" w:rsidP="0023680F">
      <w:pPr>
        <w:spacing w:after="0" w:line="360" w:lineRule="auto"/>
        <w:ind w:firstLine="708"/>
        <w:jc w:val="both"/>
        <w:rPr>
          <w:rFonts w:ascii="Arial" w:hAnsi="Arial" w:cs="Arial"/>
          <w:bCs/>
          <w:iCs/>
          <w:sz w:val="26"/>
          <w:szCs w:val="26"/>
          <w:lang w:val="es-MX"/>
        </w:rPr>
      </w:pPr>
      <w:r>
        <w:rPr>
          <w:rFonts w:ascii="Arial" w:hAnsi="Arial" w:cs="Arial"/>
          <w:bCs/>
          <w:iCs/>
          <w:sz w:val="26"/>
          <w:szCs w:val="26"/>
          <w:lang w:val="es-MX"/>
        </w:rPr>
        <w:t xml:space="preserve">Pues al ordenarle emitir un nuevo dictamen de pensión, en el que se conceda a la actora la pensión solicitada, la cual deberá estar integrada por el salario base, así como de las prestaciones descritas  en el considerando cuarto, es totalmente ilegal, excesivo y arbitrario, ya que los conceptos que percibía  en forma mensual como Defensor Público, tales como son: canasta básica (clave 42), Previsión Social Múltiple (clave 43), P.B.S. (clave 44), estimulo (clave 45), quinquenios (clave 46), aguinaldo (clave 47) y prima vacacional (clave 48), son prestaciones exclusivas para un trabajador activo, cabe recalcar que no todos los trabajadores disfrutan de las mismas prestaciones o bonos y todo depende de las condiciones de su trabajo o los riesgos a los que estén expuestos, en el caso particular, la actora al pasar de trabajadora activa a personal jubilado, es evidente que no va a realizar las mismas actividades y por consecuencia tampoco tiene derecho a las mismas prestaciones y bonos que se habían derivado de sus condiciones  laborales como trabajadora activa, ya que los servidores públicos tienen derecho a recibir una remuneración adecuada e irrenunciable por la </w:t>
      </w:r>
      <w:r>
        <w:rPr>
          <w:rFonts w:ascii="Arial" w:hAnsi="Arial" w:cs="Arial"/>
          <w:bCs/>
          <w:iCs/>
          <w:sz w:val="26"/>
          <w:szCs w:val="26"/>
          <w:lang w:val="es-MX"/>
        </w:rPr>
        <w:lastRenderedPageBreak/>
        <w:t>función, empleo, cargo o comisión que desempeñen en la Federación, Estados Municipio o cualquier otro ente público.</w:t>
      </w:r>
    </w:p>
    <w:p w14:paraId="072C689C" w14:textId="77777777" w:rsidR="0023680F" w:rsidRPr="00D73D17" w:rsidRDefault="0023680F" w:rsidP="0023680F">
      <w:pPr>
        <w:pStyle w:val="Sinespaciado"/>
        <w:spacing w:before="240" w:line="360" w:lineRule="auto"/>
        <w:jc w:val="both"/>
        <w:rPr>
          <w:rFonts w:ascii="Arial" w:hAnsi="Arial" w:cs="Arial"/>
          <w:bCs/>
          <w:sz w:val="26"/>
          <w:szCs w:val="26"/>
          <w:lang w:val="es-MX"/>
        </w:rPr>
      </w:pPr>
      <w:r w:rsidRPr="00D73D17">
        <w:rPr>
          <w:rFonts w:ascii="Arial" w:hAnsi="Arial" w:cs="Arial"/>
          <w:bCs/>
          <w:sz w:val="26"/>
          <w:szCs w:val="26"/>
          <w:lang w:val="es-MX"/>
        </w:rPr>
        <w:t xml:space="preserve">      Ahora bien, de las constancias de autos que fueron remitidas para la resolución del presente asunto, que hacen prueba plena al tratarse de actuaciones judiciales, en términos del artículo 203, fracción I, de la Ley de Procedimiento y Justicia Administrativa para el Estado de Oaxaca, se advierte que de las consideraciones torales de la citada sentencia recurrida de fecha seis de septiembre de dos mil diecinueve, se desprende lo siguiente:   </w:t>
      </w:r>
    </w:p>
    <w:p w14:paraId="4DB5CBE3" w14:textId="77777777" w:rsidR="0023680F" w:rsidRPr="00E9756D" w:rsidRDefault="0023680F" w:rsidP="0023680F">
      <w:pPr>
        <w:pStyle w:val="Sinespaciado"/>
        <w:spacing w:before="240" w:line="360" w:lineRule="auto"/>
        <w:ind w:left="284" w:right="333"/>
        <w:jc w:val="both"/>
        <w:rPr>
          <w:rFonts w:ascii="Arial" w:hAnsi="Arial" w:cs="Arial"/>
          <w:bCs/>
          <w:sz w:val="24"/>
          <w:szCs w:val="24"/>
          <w:lang w:val="es-MX"/>
        </w:rPr>
      </w:pPr>
      <w:r>
        <w:rPr>
          <w:rFonts w:ascii="Arial" w:eastAsia="Calibri" w:hAnsi="Arial" w:cs="Arial"/>
          <w:bCs/>
          <w:i/>
        </w:rPr>
        <w:t xml:space="preserve">(…) “Con lo anterior, queda en evidencia que el acto impugnado tuvo sustento en actos anteriores que fueron realizados conforme a las normas declaradas inconstitucionales causándole un perjuicio a la hoy actora. Por lo que esta Sala  atenta  al principio pro </w:t>
      </w:r>
      <w:proofErr w:type="spellStart"/>
      <w:r>
        <w:rPr>
          <w:rFonts w:ascii="Arial" w:eastAsia="Calibri" w:hAnsi="Arial" w:cs="Arial"/>
          <w:bCs/>
          <w:i/>
        </w:rPr>
        <w:t>personae</w:t>
      </w:r>
      <w:proofErr w:type="spellEnd"/>
      <w:r>
        <w:rPr>
          <w:rFonts w:ascii="Arial" w:eastAsia="Calibri" w:hAnsi="Arial" w:cs="Arial"/>
          <w:bCs/>
          <w:i/>
        </w:rPr>
        <w:t xml:space="preserve">, previsto en el artículo 1° de la Constitución Política de los Estados Unidos Mexicanos, debe maximizar el ejercicio de los derechos fundamentales de la aquí administrada, en el sentido de aplicar la norma que busquen  el mayor beneficio  de las personas, por lo que en una interpretación  y aplicación armónica con el artículo 14 primer párrafo de la Constitución Política de los Estados Unidos Mexicanos , es posible aplicar  a contrario sensu lo estipulado en el artículo 14, ya que el texto señala  que no puede ser usado  en perjuicio  de persona alguna, y en un estricto control de constitucionalidad, se puede interpretar  que si una ley o disposición  legal concede  mayor beneficio  a aunque (sic)  haya sido emitida  con posterioridad al acto reclamado, es posible ocuparlo  en beneficio  con efectos retroactivos ya que con esto se estaría  garantizando  la progresividad  de los derechos humanos en sentido positivo, garantizando así que los actos administrativos  se ajusten al principio de legalidad, así como los principios tutelados por los tratados internacionales y convencionales, privilegiando la observancia de los derechos de los gobernados, sirve de sustento la tesis jurisprudencial  número 1a./J. 38/2015, con número de registro  2009179, por la Primera Sala de la Suprema Corte de Justicia de la Nación, en la Gaceta del Semanario Judicial de la Federación, Libro 18, Pág. 186, Décima Época, Mayo de 2015, y la tesis número 2a. CXXVII/2015 con número de registro 2010361, por la Segunda Sala de la Suprema Corte de Justicia de la Nación en la Gaceta del Semanario Judicial de la Federación, Libro 24, Página 1298, Décima Época, Noviembre de 2015, bajo el texto y rubro siguientes: </w:t>
      </w:r>
    </w:p>
    <w:p w14:paraId="525BAB8A" w14:textId="77777777" w:rsidR="0023680F" w:rsidRDefault="0023680F" w:rsidP="0023680F">
      <w:pPr>
        <w:spacing w:after="0" w:line="360" w:lineRule="auto"/>
        <w:ind w:left="284" w:right="333" w:firstLine="708"/>
        <w:jc w:val="both"/>
        <w:rPr>
          <w:rFonts w:ascii="Arial" w:eastAsia="Calibri" w:hAnsi="Arial" w:cs="Arial"/>
          <w:b/>
          <w:bCs/>
          <w:i/>
        </w:rPr>
      </w:pPr>
    </w:p>
    <w:p w14:paraId="21D0B270" w14:textId="77777777" w:rsidR="0023680F" w:rsidRDefault="0023680F" w:rsidP="0023680F">
      <w:pPr>
        <w:spacing w:after="0" w:line="360" w:lineRule="auto"/>
        <w:ind w:left="284" w:right="333"/>
        <w:jc w:val="both"/>
        <w:rPr>
          <w:rFonts w:ascii="Arial" w:eastAsia="Calibri" w:hAnsi="Arial" w:cs="Arial"/>
          <w:bCs/>
          <w:i/>
        </w:rPr>
      </w:pPr>
      <w:r w:rsidRPr="007C230B">
        <w:rPr>
          <w:rFonts w:ascii="Arial" w:eastAsia="Calibri" w:hAnsi="Arial" w:cs="Arial"/>
          <w:b/>
          <w:bCs/>
          <w:i/>
        </w:rPr>
        <w:t>CONTROL DE CONSTITUCIONALIDAD Y CONVENCIONALIDAD EX OFFICIO. NO ES UNA CUESTIÓN DE SUBSIDARIEDAD, POR LO QUE DEBE LLEVARSE A CABO AUN CUANDO EL DERECHO HUMANO DE QUE SE TRATE ESTÉ CONTENIDO EN LA CONSTITUCION FEDERAL.</w:t>
      </w:r>
      <w:r>
        <w:rPr>
          <w:rFonts w:ascii="Arial" w:eastAsia="Calibri" w:hAnsi="Arial" w:cs="Arial"/>
          <w:bCs/>
          <w:i/>
        </w:rPr>
        <w:t xml:space="preserve"> (…)</w:t>
      </w:r>
    </w:p>
    <w:p w14:paraId="5E5A3C57" w14:textId="77777777" w:rsidR="0023680F" w:rsidRDefault="0023680F" w:rsidP="0023680F">
      <w:pPr>
        <w:spacing w:after="0" w:line="360" w:lineRule="auto"/>
        <w:ind w:left="284" w:right="333"/>
        <w:jc w:val="both"/>
        <w:rPr>
          <w:rFonts w:ascii="Arial" w:eastAsia="Calibri" w:hAnsi="Arial" w:cs="Arial"/>
          <w:bCs/>
          <w:i/>
        </w:rPr>
      </w:pPr>
    </w:p>
    <w:p w14:paraId="46C9C4A6" w14:textId="77777777" w:rsidR="0023680F" w:rsidRDefault="0023680F" w:rsidP="0023680F">
      <w:pPr>
        <w:spacing w:after="0" w:line="360" w:lineRule="auto"/>
        <w:ind w:left="284" w:right="333"/>
        <w:jc w:val="both"/>
        <w:rPr>
          <w:rFonts w:ascii="Arial" w:hAnsi="Arial" w:cs="Arial"/>
          <w:bCs/>
          <w:iCs/>
          <w:sz w:val="26"/>
          <w:szCs w:val="26"/>
          <w:lang w:val="es-MX"/>
        </w:rPr>
      </w:pPr>
      <w:r w:rsidRPr="007C230B">
        <w:rPr>
          <w:rFonts w:ascii="Arial" w:eastAsia="Calibri" w:hAnsi="Arial" w:cs="Arial"/>
          <w:b/>
          <w:bCs/>
          <w:i/>
        </w:rPr>
        <w:t>PRICIPIO DE PROGRESIVIDAD DE LOS DERECHOS HUMANOS. SU NATURALEZA Y FUNCIÓN EN EL ESTADO MEXICANO.</w:t>
      </w:r>
      <w:r>
        <w:rPr>
          <w:rFonts w:ascii="Arial" w:eastAsia="Calibri" w:hAnsi="Arial" w:cs="Arial"/>
          <w:bCs/>
          <w:i/>
        </w:rPr>
        <w:t xml:space="preserve"> (…)</w:t>
      </w:r>
    </w:p>
    <w:p w14:paraId="4589F57D" w14:textId="77777777" w:rsidR="0023680F" w:rsidRDefault="0023680F" w:rsidP="0023680F">
      <w:pPr>
        <w:spacing w:after="0" w:line="360" w:lineRule="auto"/>
        <w:ind w:left="284" w:right="333"/>
        <w:jc w:val="both"/>
        <w:rPr>
          <w:rFonts w:ascii="Arial" w:hAnsi="Arial" w:cs="Arial"/>
          <w:bCs/>
          <w:iCs/>
          <w:sz w:val="26"/>
          <w:szCs w:val="26"/>
          <w:lang w:val="es-MX"/>
        </w:rPr>
      </w:pPr>
    </w:p>
    <w:p w14:paraId="589B8670" w14:textId="1C367154" w:rsidR="0023680F" w:rsidRDefault="0023680F" w:rsidP="0023680F">
      <w:pPr>
        <w:spacing w:after="0" w:line="360" w:lineRule="auto"/>
        <w:ind w:left="284" w:right="333"/>
        <w:jc w:val="both"/>
        <w:rPr>
          <w:rFonts w:ascii="Arial" w:hAnsi="Arial" w:cs="Arial"/>
          <w:bCs/>
          <w:i/>
          <w:iCs/>
          <w:lang w:val="es-MX"/>
        </w:rPr>
      </w:pPr>
      <w:r>
        <w:rPr>
          <w:rFonts w:ascii="Arial" w:hAnsi="Arial" w:cs="Arial"/>
          <w:bCs/>
          <w:iCs/>
          <w:sz w:val="26"/>
          <w:szCs w:val="26"/>
          <w:lang w:val="es-MX"/>
        </w:rPr>
        <w:lastRenderedPageBreak/>
        <w:t xml:space="preserve">   </w:t>
      </w:r>
      <w:r w:rsidRPr="00357C53">
        <w:rPr>
          <w:rFonts w:ascii="Arial" w:hAnsi="Arial" w:cs="Arial"/>
          <w:bCs/>
          <w:i/>
          <w:iCs/>
          <w:lang w:val="es-MX"/>
        </w:rPr>
        <w:t>Finalmente y en razón de lo expuesto, se concluye que el acto impugnado fue emitido de manera ilegal al no cumplir  con el requisito de validez del acto administrativo previsto en la fracción V, del artículo 17, en relación con el artículo 208, fracciones II y VI de la Ley de Procedimiento y Justicia Administrativa para el Estado de Oaxaca, vulnerando con ello el derecho de igualdad de la aquí admin</w:t>
      </w:r>
      <w:r>
        <w:rPr>
          <w:rFonts w:ascii="Arial" w:hAnsi="Arial" w:cs="Arial"/>
          <w:bCs/>
          <w:i/>
          <w:iCs/>
          <w:lang w:val="es-MX"/>
        </w:rPr>
        <w:t>istrada, ya que no se pronunció</w:t>
      </w:r>
      <w:r w:rsidRPr="00357C53">
        <w:rPr>
          <w:rFonts w:ascii="Arial" w:hAnsi="Arial" w:cs="Arial"/>
          <w:bCs/>
          <w:i/>
          <w:iCs/>
          <w:lang w:val="es-MX"/>
        </w:rPr>
        <w:t xml:space="preserve"> respecto de las demás prestaciones a la que tenía derecho  y que forman parte  de su salario; así también,</w:t>
      </w:r>
      <w:r>
        <w:rPr>
          <w:rFonts w:ascii="Arial" w:hAnsi="Arial" w:cs="Arial"/>
          <w:bCs/>
          <w:i/>
          <w:iCs/>
          <w:lang w:val="es-MX"/>
        </w:rPr>
        <w:t xml:space="preserve"> respecto</w:t>
      </w:r>
      <w:r w:rsidRPr="00357C53">
        <w:rPr>
          <w:rFonts w:ascii="Arial" w:hAnsi="Arial" w:cs="Arial"/>
          <w:bCs/>
          <w:i/>
          <w:iCs/>
          <w:lang w:val="es-MX"/>
        </w:rPr>
        <w:t xml:space="preserve"> de su actuar al descontar el 9% a la pensión otorgada, mismo que se encuentra someramente fundado basado en preceptos declarados  inconstitucionales</w:t>
      </w:r>
      <w:r>
        <w:rPr>
          <w:rFonts w:ascii="Arial" w:hAnsi="Arial" w:cs="Arial"/>
          <w:bCs/>
          <w:i/>
          <w:iCs/>
          <w:lang w:val="es-MX"/>
        </w:rPr>
        <w:t>, por ende los conceptos</w:t>
      </w:r>
      <w:r w:rsidRPr="00357C53">
        <w:rPr>
          <w:rFonts w:ascii="Arial" w:hAnsi="Arial" w:cs="Arial"/>
          <w:bCs/>
          <w:i/>
          <w:iCs/>
          <w:lang w:val="es-MX"/>
        </w:rPr>
        <w:t xml:space="preserve"> de impugnación PRIMERO y SEGUNDO vertidos por la accionante resultan </w:t>
      </w:r>
      <w:r w:rsidRPr="00357C53">
        <w:rPr>
          <w:rFonts w:ascii="Arial" w:hAnsi="Arial" w:cs="Arial"/>
          <w:bCs/>
          <w:i/>
          <w:iCs/>
          <w:u w:val="single"/>
          <w:lang w:val="es-MX"/>
        </w:rPr>
        <w:t>FUNDADOS</w:t>
      </w:r>
      <w:r w:rsidRPr="00162252">
        <w:rPr>
          <w:rFonts w:ascii="Arial" w:hAnsi="Arial" w:cs="Arial"/>
          <w:bCs/>
          <w:i/>
          <w:iCs/>
          <w:lang w:val="es-MX"/>
        </w:rPr>
        <w:t xml:space="preserve">, </w:t>
      </w:r>
      <w:r w:rsidRPr="00357C53">
        <w:rPr>
          <w:rFonts w:ascii="Arial" w:hAnsi="Arial" w:cs="Arial"/>
          <w:bCs/>
          <w:i/>
          <w:iCs/>
          <w:lang w:val="es-MX"/>
        </w:rPr>
        <w:t xml:space="preserve">en consecuencia, esta Sala estima procedente  declarar la </w:t>
      </w:r>
      <w:r w:rsidRPr="00E9756D">
        <w:rPr>
          <w:rFonts w:ascii="Arial" w:hAnsi="Arial" w:cs="Arial"/>
          <w:b/>
          <w:bCs/>
          <w:i/>
          <w:iCs/>
          <w:lang w:val="es-MX"/>
        </w:rPr>
        <w:t>NULIDAD</w:t>
      </w:r>
      <w:r w:rsidRPr="00357C53">
        <w:rPr>
          <w:rFonts w:ascii="Arial" w:hAnsi="Arial" w:cs="Arial"/>
          <w:bCs/>
          <w:i/>
          <w:iCs/>
          <w:lang w:val="es-MX"/>
        </w:rPr>
        <w:t xml:space="preserve"> del oficio número </w:t>
      </w:r>
      <w:r w:rsidR="004A0CAC" w:rsidRPr="004A0CAC">
        <w:rPr>
          <w:rFonts w:ascii="Arial" w:eastAsia="Calibri" w:hAnsi="Arial" w:cs="Arial"/>
          <w:b/>
          <w:bCs/>
          <w:sz w:val="26"/>
          <w:szCs w:val="26"/>
        </w:rPr>
        <w:t>**********</w:t>
      </w:r>
      <w:r w:rsidR="004A0CAC">
        <w:rPr>
          <w:rFonts w:ascii="Arial" w:eastAsia="Calibri" w:hAnsi="Arial" w:cs="Arial"/>
          <w:b/>
          <w:bCs/>
          <w:sz w:val="26"/>
          <w:szCs w:val="26"/>
        </w:rPr>
        <w:t xml:space="preserve"> </w:t>
      </w:r>
      <w:r w:rsidRPr="00357C53">
        <w:rPr>
          <w:rFonts w:ascii="Arial" w:hAnsi="Arial" w:cs="Arial"/>
          <w:bCs/>
          <w:i/>
          <w:iCs/>
          <w:lang w:val="es-MX"/>
        </w:rPr>
        <w:t xml:space="preserve">de fecha trece de marzo de dos mil diecinueve (13/03/2019), emitido por el Director General de la Oficina de Pensiones en el Estado de Oaxaca por medio del cual se dictaminaba  la pensión  a favor  de la </w:t>
      </w:r>
      <w:r w:rsidR="004A0CAC" w:rsidRPr="004A0CAC">
        <w:rPr>
          <w:rFonts w:ascii="Arial" w:eastAsia="Calibri" w:hAnsi="Arial" w:cs="Arial"/>
          <w:b/>
          <w:bCs/>
          <w:sz w:val="26"/>
          <w:szCs w:val="26"/>
        </w:rPr>
        <w:t>**********</w:t>
      </w:r>
      <w:r w:rsidRPr="00357C53">
        <w:rPr>
          <w:rFonts w:ascii="Arial" w:hAnsi="Arial" w:cs="Arial"/>
          <w:bCs/>
          <w:i/>
          <w:iCs/>
          <w:lang w:val="es-MX"/>
        </w:rPr>
        <w:t xml:space="preserve">, así como el descuento  ahí establecido, </w:t>
      </w:r>
      <w:r w:rsidRPr="00E9756D">
        <w:rPr>
          <w:rFonts w:ascii="Arial" w:hAnsi="Arial" w:cs="Arial"/>
          <w:b/>
          <w:bCs/>
          <w:i/>
          <w:iCs/>
          <w:lang w:val="es-MX"/>
        </w:rPr>
        <w:t>PARA EL EFECTO</w:t>
      </w:r>
      <w:r w:rsidRPr="00357C53">
        <w:rPr>
          <w:rFonts w:ascii="Arial" w:hAnsi="Arial" w:cs="Arial"/>
          <w:bCs/>
          <w:i/>
          <w:iCs/>
          <w:lang w:val="es-MX"/>
        </w:rPr>
        <w:t xml:space="preserve"> </w:t>
      </w:r>
      <w:r w:rsidRPr="00E9756D">
        <w:rPr>
          <w:rFonts w:ascii="Arial" w:hAnsi="Arial" w:cs="Arial"/>
          <w:bCs/>
          <w:i/>
          <w:iCs/>
          <w:u w:val="single"/>
          <w:lang w:val="es-MX"/>
        </w:rPr>
        <w:t>de que la autoridad demandada funde y motive en un nuevo acto y se pronuncie  en los términos  de la presente resolución, para la emisión de un dictamen de pensión considerando el salario  integrado para el efecto  de pensión reclamado, integrado por los conceptos respectivos que percibía en forma mensual como Defensor Público, a los cuales se les integrará Canasta Básica (clave 42), Previsión Social Múltiple (P.S.M.) (clave 43) P.B.S. (clave</w:t>
      </w:r>
      <w:r>
        <w:rPr>
          <w:rFonts w:ascii="Arial" w:hAnsi="Arial" w:cs="Arial"/>
          <w:bCs/>
          <w:i/>
          <w:iCs/>
          <w:u w:val="single"/>
          <w:lang w:val="es-MX"/>
        </w:rPr>
        <w:t xml:space="preserve"> 44</w:t>
      </w:r>
      <w:r w:rsidRPr="00E9756D">
        <w:rPr>
          <w:rFonts w:ascii="Arial" w:hAnsi="Arial" w:cs="Arial"/>
          <w:bCs/>
          <w:i/>
          <w:iCs/>
          <w:u w:val="single"/>
          <w:lang w:val="es-MX"/>
        </w:rPr>
        <w:t>), Estímulo (clave 45) y Quinquenios (5) (clave 46), Aguinaldo (clave 47), y Prima Vacacional (clave 48) más el salario base, debiendo igualmente hacer el ajuste a las cantidades que por concepto  de pensión ya pagó, también será importante que no opere el descuento del 9% por concepto de cuota al Fondo de Pensiones para haber sido ya declarado inconstitucional, debiendo devolver  a la hoy actora los descuentos hechos a su pensión desde la fecha en que le comenzó a pagar la pensión y abstenerse  de realizar dicho descuento a futuro, por ello el dictamen deberá estar debidamente fundado y motivado cumpliendo los requisitos y elementos de validez del acto administrativo a los que hace referencia el artículo 17 de la Ley de Procedimiento y Justicia Administrativa para el Estado de Oaxaca</w:t>
      </w:r>
      <w:r w:rsidRPr="00357C53">
        <w:rPr>
          <w:rFonts w:ascii="Arial" w:hAnsi="Arial" w:cs="Arial"/>
          <w:bCs/>
          <w:i/>
          <w:iCs/>
          <w:lang w:val="es-MX"/>
        </w:rPr>
        <w:t xml:space="preserve">. </w:t>
      </w:r>
    </w:p>
    <w:p w14:paraId="61816235" w14:textId="77777777" w:rsidR="0023680F" w:rsidRPr="00357C53" w:rsidRDefault="0023680F" w:rsidP="0023680F">
      <w:pPr>
        <w:spacing w:after="0" w:line="360" w:lineRule="auto"/>
        <w:ind w:left="284" w:right="333"/>
        <w:jc w:val="both"/>
        <w:rPr>
          <w:rFonts w:ascii="Arial" w:hAnsi="Arial" w:cs="Arial"/>
          <w:bCs/>
          <w:i/>
          <w:iCs/>
          <w:lang w:val="es-MX"/>
        </w:rPr>
      </w:pPr>
    </w:p>
    <w:p w14:paraId="3BA17E32" w14:textId="77777777" w:rsidR="0023680F" w:rsidRDefault="0023680F" w:rsidP="0023680F">
      <w:pPr>
        <w:spacing w:after="0" w:line="360" w:lineRule="auto"/>
        <w:ind w:left="284" w:right="333"/>
        <w:jc w:val="both"/>
        <w:rPr>
          <w:rFonts w:ascii="Arial" w:hAnsi="Arial" w:cs="Arial"/>
          <w:bCs/>
          <w:i/>
          <w:iCs/>
          <w:lang w:val="es-MX"/>
        </w:rPr>
      </w:pPr>
      <w:r>
        <w:rPr>
          <w:rFonts w:ascii="Arial" w:hAnsi="Arial" w:cs="Arial"/>
          <w:bCs/>
          <w:i/>
          <w:iCs/>
          <w:lang w:val="es-MX"/>
        </w:rPr>
        <w:t xml:space="preserve">     </w:t>
      </w:r>
      <w:r w:rsidRPr="00357C53">
        <w:rPr>
          <w:rFonts w:ascii="Arial" w:hAnsi="Arial" w:cs="Arial"/>
          <w:bCs/>
          <w:i/>
          <w:iCs/>
          <w:lang w:val="es-MX"/>
        </w:rPr>
        <w:t xml:space="preserve">Sirve de apoyo a lo anterior la tesis número I.6o.A.33 A, con número de registro 187531 por los Tribunales Colegiados de Circuito, en el Semanario Judicial de la Federación y su Gaceta, Marzo de 2002, página 1350, Novena Época, </w:t>
      </w:r>
      <w:proofErr w:type="spellStart"/>
      <w:r w:rsidRPr="00357C53">
        <w:rPr>
          <w:rFonts w:ascii="Arial" w:hAnsi="Arial" w:cs="Arial"/>
          <w:bCs/>
          <w:i/>
          <w:iCs/>
          <w:lang w:val="es-MX"/>
        </w:rPr>
        <w:t>coin</w:t>
      </w:r>
      <w:proofErr w:type="spellEnd"/>
      <w:r w:rsidRPr="00357C53">
        <w:rPr>
          <w:rFonts w:ascii="Arial" w:hAnsi="Arial" w:cs="Arial"/>
          <w:bCs/>
          <w:i/>
          <w:iCs/>
          <w:lang w:val="es-MX"/>
        </w:rPr>
        <w:t xml:space="preserve"> el siguiente rubro y texto:</w:t>
      </w:r>
    </w:p>
    <w:p w14:paraId="3D731011" w14:textId="77777777" w:rsidR="0023680F" w:rsidRPr="00357C53" w:rsidRDefault="0023680F" w:rsidP="0023680F">
      <w:pPr>
        <w:spacing w:after="0" w:line="360" w:lineRule="auto"/>
        <w:ind w:left="284" w:right="333"/>
        <w:jc w:val="both"/>
        <w:rPr>
          <w:rFonts w:ascii="Arial" w:hAnsi="Arial" w:cs="Arial"/>
          <w:bCs/>
          <w:i/>
          <w:iCs/>
          <w:lang w:val="es-MX"/>
        </w:rPr>
      </w:pPr>
    </w:p>
    <w:p w14:paraId="023C3618" w14:textId="77777777" w:rsidR="0023680F" w:rsidRDefault="0023680F" w:rsidP="0023680F">
      <w:pPr>
        <w:spacing w:after="0" w:line="360" w:lineRule="auto"/>
        <w:ind w:left="284" w:right="333"/>
        <w:jc w:val="both"/>
        <w:rPr>
          <w:rFonts w:ascii="Arial" w:hAnsi="Arial" w:cs="Arial"/>
          <w:bCs/>
          <w:i/>
          <w:iCs/>
          <w:lang w:val="es-MX"/>
        </w:rPr>
      </w:pPr>
      <w:r w:rsidRPr="00357C53">
        <w:rPr>
          <w:rFonts w:ascii="Arial" w:hAnsi="Arial" w:cs="Arial"/>
          <w:b/>
          <w:bCs/>
          <w:i/>
          <w:iCs/>
          <w:lang w:val="es-MX"/>
        </w:rPr>
        <w:t xml:space="preserve">FUNDAMENTACIÓN Y MOTIVACIÓN, FALTA O INDEBIDA. EN CUANTO SON DISTINTAS, UNAS GENERAN NULIADD LISA Y LLANA Y OTRAS PARA EFECTOS. </w:t>
      </w:r>
      <w:r w:rsidRPr="00357C53">
        <w:rPr>
          <w:rFonts w:ascii="Arial" w:hAnsi="Arial" w:cs="Arial"/>
          <w:bCs/>
          <w:i/>
          <w:iCs/>
          <w:lang w:val="es-MX"/>
        </w:rPr>
        <w:t>(…)</w:t>
      </w:r>
    </w:p>
    <w:p w14:paraId="5AF3E8FF" w14:textId="77777777" w:rsidR="0023680F" w:rsidRPr="00357C53" w:rsidRDefault="0023680F" w:rsidP="0023680F">
      <w:pPr>
        <w:spacing w:after="0" w:line="360" w:lineRule="auto"/>
        <w:ind w:left="284" w:right="333"/>
        <w:jc w:val="both"/>
        <w:rPr>
          <w:rFonts w:ascii="Arial" w:hAnsi="Arial" w:cs="Arial"/>
          <w:bCs/>
          <w:i/>
          <w:iCs/>
          <w:lang w:val="es-MX"/>
        </w:rPr>
      </w:pPr>
    </w:p>
    <w:p w14:paraId="5A3E53E8" w14:textId="77777777" w:rsidR="0023680F" w:rsidRPr="00357C53" w:rsidRDefault="0023680F" w:rsidP="0023680F">
      <w:pPr>
        <w:spacing w:after="0" w:line="360" w:lineRule="auto"/>
        <w:ind w:left="284" w:right="333"/>
        <w:jc w:val="both"/>
        <w:rPr>
          <w:rFonts w:ascii="Arial" w:hAnsi="Arial" w:cs="Arial"/>
          <w:bCs/>
          <w:i/>
          <w:iCs/>
          <w:lang w:val="es-MX"/>
        </w:rPr>
      </w:pPr>
      <w:r w:rsidRPr="00357C53">
        <w:rPr>
          <w:rFonts w:ascii="Arial" w:hAnsi="Arial" w:cs="Arial"/>
          <w:bCs/>
          <w:i/>
          <w:iCs/>
          <w:lang w:val="es-MX"/>
        </w:rPr>
        <w:t xml:space="preserve">   Derivado de lo anterior, es</w:t>
      </w:r>
      <w:r>
        <w:rPr>
          <w:rFonts w:ascii="Arial" w:hAnsi="Arial" w:cs="Arial"/>
          <w:bCs/>
          <w:i/>
          <w:iCs/>
          <w:lang w:val="es-MX"/>
        </w:rPr>
        <w:t xml:space="preserve"> </w:t>
      </w:r>
      <w:r w:rsidRPr="00357C53">
        <w:rPr>
          <w:rFonts w:ascii="Arial" w:hAnsi="Arial" w:cs="Arial"/>
          <w:bCs/>
          <w:i/>
          <w:iCs/>
          <w:lang w:val="es-MX"/>
        </w:rPr>
        <w:t xml:space="preserve">menester hacer mención que las excepciones invocadas por la autoridad demandada, resultan ser </w:t>
      </w:r>
      <w:r w:rsidRPr="00E9756D">
        <w:rPr>
          <w:rFonts w:ascii="Arial" w:hAnsi="Arial" w:cs="Arial"/>
          <w:bCs/>
          <w:i/>
          <w:iCs/>
          <w:u w:val="single"/>
          <w:lang w:val="es-MX"/>
        </w:rPr>
        <w:t xml:space="preserve">INFUNDADAS E </w:t>
      </w:r>
      <w:r w:rsidRPr="00E9756D">
        <w:rPr>
          <w:rFonts w:ascii="Arial" w:hAnsi="Arial" w:cs="Arial"/>
          <w:bCs/>
          <w:i/>
          <w:iCs/>
          <w:u w:val="single"/>
          <w:lang w:val="es-MX"/>
        </w:rPr>
        <w:lastRenderedPageBreak/>
        <w:t>INOPERANTES</w:t>
      </w:r>
      <w:r w:rsidRPr="00357C53">
        <w:rPr>
          <w:rFonts w:ascii="Arial" w:hAnsi="Arial" w:cs="Arial"/>
          <w:bCs/>
          <w:i/>
          <w:iCs/>
          <w:lang w:val="es-MX"/>
        </w:rPr>
        <w:t xml:space="preserve"> por haber quedado acreditado lo reclamado por la parte actora. (…)</w:t>
      </w:r>
    </w:p>
    <w:p w14:paraId="2425D0E3" w14:textId="77777777" w:rsidR="0023680F" w:rsidRDefault="0023680F" w:rsidP="0023680F">
      <w:pPr>
        <w:spacing w:after="0" w:line="240" w:lineRule="auto"/>
        <w:ind w:left="709" w:right="-234"/>
        <w:jc w:val="both"/>
        <w:rPr>
          <w:rFonts w:ascii="Arial" w:hAnsi="Arial" w:cs="Arial"/>
          <w:b/>
          <w:sz w:val="26"/>
          <w:szCs w:val="26"/>
        </w:rPr>
      </w:pPr>
    </w:p>
    <w:p w14:paraId="59CB53A1" w14:textId="77777777" w:rsidR="0023680F" w:rsidRPr="00D73D17" w:rsidRDefault="0023680F" w:rsidP="0023680F">
      <w:pPr>
        <w:spacing w:after="0" w:line="240" w:lineRule="auto"/>
        <w:ind w:left="709" w:right="-234"/>
        <w:jc w:val="both"/>
        <w:rPr>
          <w:rFonts w:ascii="Arial" w:hAnsi="Arial" w:cs="Arial"/>
          <w:b/>
          <w:sz w:val="26"/>
          <w:szCs w:val="26"/>
        </w:rPr>
      </w:pPr>
      <w:r>
        <w:rPr>
          <w:rFonts w:ascii="Arial" w:hAnsi="Arial" w:cs="Arial"/>
          <w:b/>
          <w:sz w:val="26"/>
          <w:szCs w:val="26"/>
        </w:rPr>
        <w:t>Son infundados e inoperantes los agravios de la</w:t>
      </w:r>
      <w:r w:rsidRPr="00B252DA">
        <w:rPr>
          <w:rFonts w:ascii="Arial" w:hAnsi="Arial" w:cs="Arial"/>
          <w:b/>
          <w:sz w:val="26"/>
          <w:szCs w:val="26"/>
        </w:rPr>
        <w:t xml:space="preserve"> recurrente.</w:t>
      </w:r>
    </w:p>
    <w:p w14:paraId="6854260C" w14:textId="3C54C6BE" w:rsidR="0023680F" w:rsidRDefault="0023680F" w:rsidP="0023680F">
      <w:pPr>
        <w:spacing w:after="0" w:line="360" w:lineRule="auto"/>
        <w:jc w:val="both"/>
        <w:rPr>
          <w:rFonts w:ascii="Arial" w:hAnsi="Arial" w:cs="Arial"/>
          <w:color w:val="000000"/>
          <w:sz w:val="26"/>
          <w:szCs w:val="26"/>
        </w:rPr>
      </w:pPr>
      <w:r>
        <w:rPr>
          <w:rFonts w:ascii="Arial" w:hAnsi="Arial" w:cs="Arial"/>
          <w:bCs/>
          <w:iCs/>
          <w:sz w:val="26"/>
          <w:szCs w:val="26"/>
          <w:lang w:val="es-MX"/>
        </w:rPr>
        <w:t xml:space="preserve">     La primera parte de su agravio deviene infundado, pues contrariamente a lo afirmado por la autoridad inconforme, la sentencia</w:t>
      </w:r>
      <w:r>
        <w:rPr>
          <w:rStyle w:val="Refdenotaalpie"/>
          <w:rFonts w:ascii="Arial" w:hAnsi="Arial" w:cs="Arial"/>
          <w:bCs/>
          <w:iCs/>
          <w:sz w:val="26"/>
          <w:szCs w:val="26"/>
          <w:lang w:val="es-MX"/>
        </w:rPr>
        <w:footnoteReference w:id="1"/>
      </w:r>
      <w:r>
        <w:rPr>
          <w:rFonts w:ascii="Arial" w:hAnsi="Arial" w:cs="Arial"/>
          <w:bCs/>
          <w:iCs/>
          <w:sz w:val="26"/>
          <w:szCs w:val="26"/>
          <w:lang w:val="es-MX"/>
        </w:rPr>
        <w:t xml:space="preserve"> recurrida sí se encuentra fundada y motivada</w:t>
      </w:r>
      <w:r>
        <w:rPr>
          <w:rStyle w:val="Refdenotaalpie"/>
          <w:rFonts w:ascii="Arial" w:eastAsia="Times New Roman" w:hAnsi="Arial" w:cs="Arial"/>
          <w:color w:val="000000"/>
          <w:sz w:val="26"/>
          <w:szCs w:val="26"/>
          <w:lang w:eastAsia="es-ES"/>
        </w:rPr>
        <w:footnoteReference w:id="2"/>
      </w:r>
      <w:r>
        <w:rPr>
          <w:rFonts w:ascii="Arial" w:hAnsi="Arial" w:cs="Arial"/>
          <w:bCs/>
          <w:iCs/>
          <w:sz w:val="26"/>
          <w:szCs w:val="26"/>
          <w:lang w:val="es-MX"/>
        </w:rPr>
        <w:t xml:space="preserve"> en términos del artículo 16 Constitucional, debido a que se aprecia del texto de dicha determinación, que la</w:t>
      </w:r>
      <w:r w:rsidRPr="00402042">
        <w:rPr>
          <w:rFonts w:ascii="Arial" w:hAnsi="Arial" w:cs="Arial"/>
          <w:bCs/>
          <w:iCs/>
          <w:sz w:val="26"/>
          <w:szCs w:val="26"/>
          <w:lang w:val="es-MX"/>
        </w:rPr>
        <w:t xml:space="preserve"> A</w:t>
      </w:r>
      <w:r>
        <w:rPr>
          <w:rFonts w:ascii="Arial" w:hAnsi="Arial" w:cs="Arial"/>
          <w:bCs/>
          <w:iCs/>
          <w:sz w:val="26"/>
          <w:szCs w:val="26"/>
          <w:lang w:val="es-MX"/>
        </w:rPr>
        <w:t xml:space="preserve"> </w:t>
      </w:r>
      <w:r w:rsidRPr="00402042">
        <w:rPr>
          <w:rFonts w:ascii="Arial" w:hAnsi="Arial" w:cs="Arial"/>
          <w:bCs/>
          <w:iCs/>
          <w:sz w:val="26"/>
          <w:szCs w:val="26"/>
          <w:lang w:val="es-MX"/>
        </w:rPr>
        <w:t>quo</w:t>
      </w:r>
      <w:r>
        <w:rPr>
          <w:rFonts w:ascii="Arial" w:hAnsi="Arial" w:cs="Arial"/>
          <w:bCs/>
          <w:iCs/>
          <w:sz w:val="26"/>
          <w:szCs w:val="26"/>
          <w:lang w:val="es-MX"/>
        </w:rPr>
        <w:t xml:space="preserve"> invocó los preceptos legales, con sus respectivas fracciones e incisos de las normas en las que sustentó su determinación, invocando también criterios de la Suprema corte de Justicia de la Nación para robustecerla, plasmando las razones y causas, que tuvo para </w:t>
      </w:r>
      <w:r w:rsidRPr="00A37A8B">
        <w:rPr>
          <w:rFonts w:ascii="Arial" w:hAnsi="Arial" w:cs="Arial"/>
          <w:bCs/>
          <w:iCs/>
          <w:sz w:val="26"/>
          <w:szCs w:val="26"/>
          <w:lang w:val="es-MX"/>
        </w:rPr>
        <w:t>declara</w:t>
      </w:r>
      <w:r>
        <w:rPr>
          <w:rFonts w:ascii="Arial" w:hAnsi="Arial" w:cs="Arial"/>
          <w:bCs/>
          <w:iCs/>
          <w:sz w:val="26"/>
          <w:szCs w:val="26"/>
          <w:lang w:val="es-MX"/>
        </w:rPr>
        <w:t>r</w:t>
      </w:r>
      <w:r w:rsidRPr="00A37A8B">
        <w:rPr>
          <w:rFonts w:ascii="Arial" w:hAnsi="Arial" w:cs="Arial"/>
          <w:bCs/>
          <w:iCs/>
          <w:sz w:val="26"/>
          <w:szCs w:val="26"/>
          <w:lang w:val="es-MX"/>
        </w:rPr>
        <w:t xml:space="preserve"> </w:t>
      </w:r>
      <w:r>
        <w:rPr>
          <w:rFonts w:ascii="Arial" w:hAnsi="Arial" w:cs="Arial"/>
          <w:bCs/>
          <w:iCs/>
          <w:sz w:val="26"/>
          <w:szCs w:val="26"/>
          <w:lang w:val="es-MX"/>
        </w:rPr>
        <w:t xml:space="preserve">en </w:t>
      </w:r>
      <w:r w:rsidRPr="003801B8">
        <w:rPr>
          <w:rFonts w:ascii="Arial" w:hAnsi="Arial" w:cs="Arial"/>
          <w:b/>
          <w:bCs/>
          <w:iCs/>
          <w:sz w:val="26"/>
          <w:szCs w:val="26"/>
          <w:lang w:val="es-MX"/>
        </w:rPr>
        <w:t xml:space="preserve">LA NULIDAD </w:t>
      </w:r>
      <w:r>
        <w:rPr>
          <w:rFonts w:ascii="Arial" w:hAnsi="Arial" w:cs="Arial"/>
          <w:bCs/>
          <w:iCs/>
          <w:sz w:val="26"/>
          <w:szCs w:val="26"/>
          <w:lang w:val="es-MX"/>
        </w:rPr>
        <w:t xml:space="preserve">del oficio </w:t>
      </w:r>
      <w:r w:rsidR="004A0CAC" w:rsidRPr="004A0CAC">
        <w:rPr>
          <w:rFonts w:ascii="Arial" w:eastAsia="Calibri" w:hAnsi="Arial" w:cs="Arial"/>
          <w:b/>
          <w:bCs/>
          <w:sz w:val="26"/>
          <w:szCs w:val="26"/>
        </w:rPr>
        <w:t>**********</w:t>
      </w:r>
      <w:bookmarkStart w:id="0" w:name="_GoBack"/>
      <w:bookmarkEnd w:id="0"/>
      <w:r w:rsidRPr="00A37A8B">
        <w:rPr>
          <w:rFonts w:ascii="Arial" w:hAnsi="Arial" w:cs="Arial"/>
          <w:bCs/>
          <w:iCs/>
          <w:sz w:val="26"/>
          <w:szCs w:val="26"/>
          <w:lang w:val="es-MX"/>
        </w:rPr>
        <w:t>de fech</w:t>
      </w:r>
      <w:r>
        <w:rPr>
          <w:rFonts w:ascii="Arial" w:hAnsi="Arial" w:cs="Arial"/>
          <w:bCs/>
          <w:iCs/>
          <w:sz w:val="26"/>
          <w:szCs w:val="26"/>
          <w:lang w:val="es-MX"/>
        </w:rPr>
        <w:t>a trece de marzo de dos mil diecinueve (13/03/2019), emitido</w:t>
      </w:r>
      <w:r w:rsidRPr="00A37A8B">
        <w:rPr>
          <w:rFonts w:ascii="Arial" w:hAnsi="Arial" w:cs="Arial"/>
          <w:bCs/>
          <w:iCs/>
          <w:sz w:val="26"/>
          <w:szCs w:val="26"/>
          <w:lang w:val="es-MX"/>
        </w:rPr>
        <w:t xml:space="preserve"> por el </w:t>
      </w:r>
      <w:r w:rsidRPr="003801B8">
        <w:rPr>
          <w:rFonts w:ascii="Arial" w:hAnsi="Arial" w:cs="Arial"/>
          <w:b/>
          <w:bCs/>
          <w:iCs/>
          <w:sz w:val="26"/>
          <w:szCs w:val="26"/>
          <w:lang w:val="es-MX"/>
        </w:rPr>
        <w:t>DIRECTOR GENERAL DE LA OFICINA DE PEN</w:t>
      </w:r>
      <w:r>
        <w:rPr>
          <w:rFonts w:ascii="Arial" w:hAnsi="Arial" w:cs="Arial"/>
          <w:b/>
          <w:bCs/>
          <w:iCs/>
          <w:sz w:val="26"/>
          <w:szCs w:val="26"/>
          <w:lang w:val="es-MX"/>
        </w:rPr>
        <w:t xml:space="preserve">SIONES DEL ESTADO DE OAXACA </w:t>
      </w:r>
      <w:r w:rsidRPr="00BE4B5E">
        <w:rPr>
          <w:rFonts w:ascii="Arial" w:hAnsi="Arial" w:cs="Arial"/>
          <w:bCs/>
          <w:iCs/>
          <w:sz w:val="26"/>
          <w:szCs w:val="26"/>
          <w:lang w:val="es-MX"/>
        </w:rPr>
        <w:t xml:space="preserve">y, los efectos </w:t>
      </w:r>
      <w:r>
        <w:rPr>
          <w:rFonts w:ascii="Arial" w:hAnsi="Arial" w:cs="Arial"/>
          <w:bCs/>
          <w:iCs/>
          <w:sz w:val="26"/>
          <w:szCs w:val="26"/>
          <w:lang w:val="es-MX"/>
        </w:rPr>
        <w:t>otorgados en dicha ejecutoria; cumpliendo</w:t>
      </w:r>
      <w:r w:rsidRPr="00E8412F">
        <w:rPr>
          <w:rFonts w:ascii="Arial" w:hAnsi="Arial" w:cs="Arial"/>
          <w:bCs/>
          <w:iCs/>
          <w:sz w:val="26"/>
          <w:szCs w:val="26"/>
          <w:lang w:val="es-MX"/>
        </w:rPr>
        <w:t xml:space="preserve"> con la obligación estipulada en el artícul</w:t>
      </w:r>
      <w:r>
        <w:rPr>
          <w:rFonts w:ascii="Arial" w:hAnsi="Arial" w:cs="Arial"/>
          <w:bCs/>
          <w:iCs/>
          <w:sz w:val="26"/>
          <w:szCs w:val="26"/>
          <w:lang w:val="es-MX"/>
        </w:rPr>
        <w:t>o 16 de la Constitución Federal de fundar y motivar los asuntos</w:t>
      </w:r>
      <w:r w:rsidRPr="00E8412F">
        <w:rPr>
          <w:rFonts w:ascii="Arial" w:hAnsi="Arial" w:cs="Arial"/>
          <w:color w:val="000000"/>
          <w:sz w:val="26"/>
          <w:szCs w:val="26"/>
        </w:rPr>
        <w:t xml:space="preserve"> sometido</w:t>
      </w:r>
      <w:r>
        <w:rPr>
          <w:rFonts w:ascii="Arial" w:hAnsi="Arial" w:cs="Arial"/>
          <w:color w:val="000000"/>
          <w:sz w:val="26"/>
          <w:szCs w:val="26"/>
        </w:rPr>
        <w:t>s</w:t>
      </w:r>
      <w:r w:rsidRPr="00E8412F">
        <w:rPr>
          <w:rFonts w:ascii="Arial" w:hAnsi="Arial" w:cs="Arial"/>
          <w:color w:val="000000"/>
          <w:sz w:val="26"/>
          <w:szCs w:val="26"/>
        </w:rPr>
        <w:t xml:space="preserve"> a su consideraci</w:t>
      </w:r>
      <w:r>
        <w:rPr>
          <w:rFonts w:ascii="Arial" w:hAnsi="Arial" w:cs="Arial"/>
          <w:color w:val="000000"/>
          <w:sz w:val="26"/>
          <w:szCs w:val="26"/>
        </w:rPr>
        <w:t>ón.</w:t>
      </w:r>
    </w:p>
    <w:p w14:paraId="7F447D09" w14:textId="77777777" w:rsidR="0023680F" w:rsidRDefault="0023680F" w:rsidP="0023680F">
      <w:pPr>
        <w:spacing w:after="0" w:line="360" w:lineRule="auto"/>
        <w:jc w:val="both"/>
        <w:rPr>
          <w:rFonts w:ascii="Arial" w:hAnsi="Arial" w:cs="Arial"/>
          <w:bCs/>
          <w:iCs/>
          <w:sz w:val="26"/>
          <w:szCs w:val="26"/>
          <w:lang w:val="es-MX"/>
        </w:rPr>
      </w:pPr>
      <w:r>
        <w:rPr>
          <w:rFonts w:ascii="Arial" w:hAnsi="Arial" w:cs="Arial"/>
          <w:b/>
          <w:bCs/>
          <w:iCs/>
          <w:sz w:val="26"/>
          <w:szCs w:val="26"/>
          <w:lang w:val="es-MX"/>
        </w:rPr>
        <w:t xml:space="preserve">    </w:t>
      </w:r>
      <w:r w:rsidRPr="0000594F">
        <w:rPr>
          <w:rFonts w:ascii="Arial" w:hAnsi="Arial" w:cs="Arial"/>
          <w:bCs/>
          <w:iCs/>
          <w:sz w:val="26"/>
          <w:szCs w:val="26"/>
          <w:lang w:val="es-MX"/>
        </w:rPr>
        <w:t>R</w:t>
      </w:r>
      <w:r w:rsidRPr="00E8412F">
        <w:rPr>
          <w:rFonts w:ascii="Arial" w:hAnsi="Arial" w:cs="Arial"/>
          <w:bCs/>
          <w:iCs/>
          <w:sz w:val="26"/>
          <w:szCs w:val="26"/>
          <w:lang w:val="es-MX"/>
        </w:rPr>
        <w:t xml:space="preserve">esulta </w:t>
      </w:r>
      <w:r>
        <w:rPr>
          <w:rFonts w:ascii="Arial" w:hAnsi="Arial" w:cs="Arial"/>
          <w:b/>
          <w:bCs/>
          <w:iCs/>
          <w:sz w:val="26"/>
          <w:szCs w:val="26"/>
          <w:lang w:val="es-MX"/>
        </w:rPr>
        <w:t xml:space="preserve">inoperante </w:t>
      </w:r>
      <w:r w:rsidRPr="0000594F">
        <w:rPr>
          <w:rFonts w:ascii="Arial" w:hAnsi="Arial" w:cs="Arial"/>
          <w:bCs/>
          <w:iCs/>
          <w:sz w:val="26"/>
          <w:szCs w:val="26"/>
          <w:lang w:val="es-MX"/>
        </w:rPr>
        <w:t>la parte de su agravio,</w:t>
      </w:r>
      <w:r>
        <w:rPr>
          <w:rFonts w:ascii="Arial" w:hAnsi="Arial" w:cs="Arial"/>
          <w:b/>
          <w:bCs/>
          <w:iCs/>
          <w:sz w:val="26"/>
          <w:szCs w:val="26"/>
          <w:lang w:val="es-MX"/>
        </w:rPr>
        <w:t xml:space="preserve"> </w:t>
      </w:r>
      <w:r>
        <w:rPr>
          <w:rFonts w:ascii="Arial" w:hAnsi="Arial" w:cs="Arial"/>
          <w:bCs/>
          <w:iCs/>
          <w:sz w:val="26"/>
          <w:szCs w:val="26"/>
          <w:lang w:val="es-MX"/>
        </w:rPr>
        <w:t xml:space="preserve">que alega que la sentencia combatida carece de congruencia, pues solamente realiza esa afirmación, sin formular motivos de disenso en los que precise de qué manera la </w:t>
      </w:r>
      <w:r w:rsidRPr="0000594F">
        <w:rPr>
          <w:rFonts w:ascii="Arial" w:hAnsi="Arial" w:cs="Arial"/>
          <w:bCs/>
          <w:iCs/>
          <w:sz w:val="26"/>
          <w:szCs w:val="26"/>
          <w:lang w:val="es-MX"/>
        </w:rPr>
        <w:t>A quo</w:t>
      </w:r>
      <w:r>
        <w:rPr>
          <w:rFonts w:ascii="Arial" w:hAnsi="Arial" w:cs="Arial"/>
          <w:bCs/>
          <w:iCs/>
          <w:sz w:val="26"/>
          <w:szCs w:val="26"/>
          <w:lang w:val="es-MX"/>
        </w:rPr>
        <w:t xml:space="preserve"> violó este principio en su perjuicio.</w:t>
      </w:r>
    </w:p>
    <w:p w14:paraId="017DCAF1" w14:textId="77777777" w:rsidR="0023680F" w:rsidRDefault="0023680F" w:rsidP="0023680F">
      <w:pPr>
        <w:spacing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apoyo a lo anterior, se invoca </w:t>
      </w:r>
      <w:r w:rsidRPr="00EC4A1C">
        <w:rPr>
          <w:rFonts w:ascii="Arial" w:eastAsia="Calibri" w:hAnsi="Arial" w:cs="Arial"/>
          <w:bCs/>
          <w:sz w:val="26"/>
          <w:szCs w:val="26"/>
        </w:rPr>
        <w:t>la jurisprudencia IV.3o.J/12</w:t>
      </w:r>
      <w:r>
        <w:rPr>
          <w:rFonts w:ascii="Arial" w:eastAsia="Calibri" w:hAnsi="Arial" w:cs="Arial"/>
          <w:bCs/>
          <w:sz w:val="26"/>
          <w:szCs w:val="26"/>
        </w:rPr>
        <w:t xml:space="preserve">, con número de registro </w:t>
      </w:r>
      <w:r w:rsidRPr="009559E3">
        <w:rPr>
          <w:rFonts w:ascii="Arial" w:eastAsia="Calibri" w:hAnsi="Arial" w:cs="Arial"/>
          <w:bCs/>
          <w:sz w:val="26"/>
          <w:szCs w:val="26"/>
        </w:rPr>
        <w:t>218411</w:t>
      </w:r>
      <w:r>
        <w:rPr>
          <w:rFonts w:ascii="Arial" w:eastAsia="Calibri" w:hAnsi="Arial" w:cs="Arial"/>
          <w:bCs/>
          <w:sz w:val="26"/>
          <w:szCs w:val="26"/>
        </w:rPr>
        <w:t xml:space="preserve">, emitida por el </w:t>
      </w:r>
      <w:r w:rsidRPr="00EC4A1C">
        <w:rPr>
          <w:rFonts w:ascii="Arial" w:eastAsia="Calibri" w:hAnsi="Arial" w:cs="Arial"/>
          <w:bCs/>
          <w:sz w:val="26"/>
          <w:szCs w:val="26"/>
        </w:rPr>
        <w:t xml:space="preserve">Tercer Tribunal Colegiado del Cuarto Circuito en la Octava Época, </w:t>
      </w:r>
      <w:r>
        <w:rPr>
          <w:rFonts w:ascii="Arial" w:eastAsia="Calibri" w:hAnsi="Arial" w:cs="Arial"/>
          <w:bCs/>
          <w:sz w:val="26"/>
          <w:szCs w:val="26"/>
        </w:rPr>
        <w:t xml:space="preserve">visible </w:t>
      </w:r>
      <w:r w:rsidRPr="00EC4A1C">
        <w:rPr>
          <w:rFonts w:ascii="Arial" w:eastAsia="Calibri" w:hAnsi="Arial" w:cs="Arial"/>
          <w:bCs/>
          <w:sz w:val="26"/>
          <w:szCs w:val="26"/>
        </w:rPr>
        <w:t xml:space="preserve">en la Gaceta del Semanario Judicial de la Federación, número 57, de septiembre de 1992, </w:t>
      </w:r>
      <w:r>
        <w:rPr>
          <w:rFonts w:ascii="Arial" w:eastAsia="Calibri" w:hAnsi="Arial" w:cs="Arial"/>
          <w:bCs/>
          <w:sz w:val="26"/>
          <w:szCs w:val="26"/>
        </w:rPr>
        <w:t>de</w:t>
      </w:r>
      <w:r w:rsidRPr="00EC4A1C">
        <w:rPr>
          <w:rFonts w:ascii="Arial" w:eastAsia="Calibri" w:hAnsi="Arial" w:cs="Arial"/>
          <w:bCs/>
          <w:sz w:val="26"/>
          <w:szCs w:val="26"/>
        </w:rPr>
        <w:t xml:space="preserve"> rubro y texto siguiente: </w:t>
      </w:r>
    </w:p>
    <w:p w14:paraId="51DF3F04" w14:textId="77777777" w:rsidR="0023680F" w:rsidRPr="0000594F" w:rsidRDefault="0023680F" w:rsidP="0023680F">
      <w:pPr>
        <w:pStyle w:val="Sinespaciado"/>
        <w:spacing w:after="120"/>
        <w:ind w:left="709" w:right="902"/>
        <w:jc w:val="both"/>
        <w:rPr>
          <w:rFonts w:ascii="Arial" w:eastAsia="Calibri" w:hAnsi="Arial" w:cs="Arial"/>
          <w:bCs/>
          <w:i/>
          <w:sz w:val="24"/>
          <w:szCs w:val="24"/>
        </w:rPr>
      </w:pPr>
      <w:r w:rsidRPr="009559E3">
        <w:rPr>
          <w:rFonts w:ascii="Arial" w:eastAsia="Calibri" w:hAnsi="Arial" w:cs="Arial"/>
          <w:b/>
          <w:bCs/>
          <w:i/>
          <w:sz w:val="24"/>
          <w:szCs w:val="24"/>
        </w:rPr>
        <w:t xml:space="preserve">AGRAVIOS. DEBEN DE IMPUGNAR LA </w:t>
      </w:r>
      <w:r>
        <w:rPr>
          <w:rFonts w:ascii="Arial" w:eastAsia="Calibri" w:hAnsi="Arial" w:cs="Arial"/>
          <w:b/>
          <w:bCs/>
          <w:i/>
          <w:sz w:val="24"/>
          <w:szCs w:val="24"/>
        </w:rPr>
        <w:t xml:space="preserve">ILEGALIDAD DEL FALLO RECURRIDO. </w:t>
      </w:r>
      <w:r w:rsidRPr="009559E3">
        <w:rPr>
          <w:rFonts w:ascii="Arial" w:eastAsia="Calibri" w:hAnsi="Arial" w:cs="Arial"/>
          <w:bCs/>
          <w:i/>
          <w:sz w:val="24"/>
          <w:szCs w:val="24"/>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7C815085" w14:textId="77777777" w:rsidR="0023680F" w:rsidRPr="00B47EBA" w:rsidRDefault="0023680F" w:rsidP="0023680F">
      <w:pPr>
        <w:spacing w:after="0" w:line="360" w:lineRule="auto"/>
        <w:ind w:right="191"/>
        <w:jc w:val="both"/>
        <w:rPr>
          <w:rFonts w:ascii="Arial" w:hAnsi="Arial" w:cs="Arial"/>
          <w:bCs/>
          <w:iCs/>
          <w:sz w:val="26"/>
          <w:szCs w:val="26"/>
        </w:rPr>
      </w:pPr>
      <w:r>
        <w:rPr>
          <w:rFonts w:ascii="Arial" w:hAnsi="Arial" w:cs="Arial"/>
          <w:bCs/>
          <w:iCs/>
          <w:sz w:val="26"/>
          <w:szCs w:val="26"/>
        </w:rPr>
        <w:t xml:space="preserve">      El segundo párrafo del agravio que se analiza deviene </w:t>
      </w:r>
      <w:r w:rsidRPr="00B47EBA">
        <w:rPr>
          <w:rFonts w:ascii="Arial" w:hAnsi="Arial" w:cs="Arial"/>
          <w:b/>
          <w:bCs/>
          <w:iCs/>
          <w:sz w:val="26"/>
          <w:szCs w:val="26"/>
        </w:rPr>
        <w:t>inoperante</w:t>
      </w:r>
      <w:r>
        <w:rPr>
          <w:rFonts w:ascii="Arial" w:hAnsi="Arial" w:cs="Arial"/>
          <w:bCs/>
          <w:iCs/>
          <w:sz w:val="26"/>
          <w:szCs w:val="26"/>
        </w:rPr>
        <w:t xml:space="preserve">, ya que de las constancias procesales que integran el juicio de primera </w:t>
      </w:r>
      <w:r>
        <w:rPr>
          <w:rFonts w:ascii="Arial" w:hAnsi="Arial" w:cs="Arial"/>
          <w:bCs/>
          <w:iCs/>
          <w:sz w:val="26"/>
          <w:szCs w:val="26"/>
        </w:rPr>
        <w:lastRenderedPageBreak/>
        <w:t xml:space="preserve">instancia, </w:t>
      </w:r>
      <w:r w:rsidRPr="0065709E">
        <w:rPr>
          <w:rFonts w:ascii="Arial" w:hAnsi="Arial" w:cs="Arial"/>
          <w:bCs/>
          <w:sz w:val="26"/>
          <w:szCs w:val="26"/>
          <w:lang w:val="es-MX"/>
        </w:rPr>
        <w:t>a las que se les ha otorgado pleno valor probatorio conforme lo dispue</w:t>
      </w:r>
      <w:r>
        <w:rPr>
          <w:rFonts w:ascii="Arial" w:hAnsi="Arial" w:cs="Arial"/>
          <w:bCs/>
          <w:sz w:val="26"/>
          <w:szCs w:val="26"/>
          <w:lang w:val="es-MX"/>
        </w:rPr>
        <w:t xml:space="preserve">sto por el artículo 203, fracción </w:t>
      </w:r>
      <w:r w:rsidRPr="0065709E">
        <w:rPr>
          <w:rFonts w:ascii="Arial" w:hAnsi="Arial" w:cs="Arial"/>
          <w:bCs/>
          <w:sz w:val="26"/>
          <w:szCs w:val="26"/>
          <w:lang w:val="es-MX"/>
        </w:rPr>
        <w:t xml:space="preserve"> I</w:t>
      </w:r>
      <w:r w:rsidRPr="0065709E">
        <w:rPr>
          <w:rStyle w:val="Refdenotaalpie"/>
          <w:rFonts w:ascii="Arial" w:hAnsi="Arial" w:cs="Arial"/>
          <w:bCs/>
          <w:sz w:val="26"/>
          <w:szCs w:val="26"/>
          <w:lang w:val="es-MX"/>
        </w:rPr>
        <w:footnoteReference w:id="3"/>
      </w:r>
      <w:r w:rsidRPr="0065709E">
        <w:rPr>
          <w:rFonts w:ascii="Arial" w:hAnsi="Arial" w:cs="Arial"/>
          <w:bCs/>
          <w:sz w:val="26"/>
          <w:szCs w:val="26"/>
          <w:lang w:val="es-MX"/>
        </w:rPr>
        <w:t xml:space="preserve"> de la Ley de </w:t>
      </w:r>
      <w:r>
        <w:rPr>
          <w:rFonts w:ascii="Arial" w:hAnsi="Arial" w:cs="Arial"/>
          <w:bCs/>
          <w:sz w:val="26"/>
          <w:szCs w:val="26"/>
          <w:lang w:val="es-MX"/>
        </w:rPr>
        <w:t xml:space="preserve">Procedimiento  y </w:t>
      </w:r>
      <w:r w:rsidRPr="0065709E">
        <w:rPr>
          <w:rFonts w:ascii="Arial" w:hAnsi="Arial" w:cs="Arial"/>
          <w:bCs/>
          <w:sz w:val="26"/>
          <w:szCs w:val="26"/>
          <w:lang w:val="es-MX"/>
        </w:rPr>
        <w:t xml:space="preserve">Justicia Administrativa para el Estado de Oaxaca, por tratarse de actuaciones </w:t>
      </w:r>
      <w:r>
        <w:rPr>
          <w:rFonts w:ascii="Arial" w:hAnsi="Arial" w:cs="Arial"/>
          <w:bCs/>
          <w:sz w:val="26"/>
          <w:szCs w:val="26"/>
          <w:lang w:val="es-MX"/>
        </w:rPr>
        <w:t>contenidas en documentos públicos</w:t>
      </w:r>
      <w:r w:rsidRPr="0065709E">
        <w:rPr>
          <w:rFonts w:ascii="Arial" w:hAnsi="Arial" w:cs="Arial"/>
          <w:bCs/>
          <w:sz w:val="26"/>
          <w:szCs w:val="26"/>
          <w:lang w:val="es-MX"/>
        </w:rPr>
        <w:t>, se advierte que</w:t>
      </w:r>
      <w:r>
        <w:rPr>
          <w:rFonts w:ascii="Arial" w:hAnsi="Arial" w:cs="Arial"/>
          <w:bCs/>
          <w:sz w:val="26"/>
          <w:szCs w:val="26"/>
          <w:lang w:val="es-MX"/>
        </w:rPr>
        <w:t xml:space="preserve"> la actora planteó y acreditó haber percibido esas prestaciones a través de su escrito de demanda y anexos exhibidos</w:t>
      </w:r>
      <w:r>
        <w:rPr>
          <w:rStyle w:val="Refdenotaalpie"/>
          <w:rFonts w:ascii="Arial" w:hAnsi="Arial" w:cs="Arial"/>
          <w:bCs/>
          <w:sz w:val="26"/>
          <w:szCs w:val="26"/>
          <w:lang w:val="es-MX"/>
        </w:rPr>
        <w:footnoteReference w:id="4"/>
      </w:r>
      <w:r>
        <w:rPr>
          <w:rFonts w:ascii="Arial" w:hAnsi="Arial" w:cs="Arial"/>
          <w:bCs/>
          <w:sz w:val="26"/>
          <w:szCs w:val="26"/>
          <w:lang w:val="es-MX"/>
        </w:rPr>
        <w:t>, en consecuencia, la oportunidad procesal que la autoridad recurrente tuvo para combatir ese argumento, era al momento de formular su contestación a la demanda, lo cual no hizo, como se desprende del contenido de la misma,</w:t>
      </w:r>
      <w:r>
        <w:rPr>
          <w:rStyle w:val="Refdenotaalpie"/>
          <w:rFonts w:ascii="Arial" w:hAnsi="Arial" w:cs="Arial"/>
          <w:bCs/>
          <w:sz w:val="26"/>
          <w:szCs w:val="26"/>
          <w:lang w:val="es-MX"/>
        </w:rPr>
        <w:footnoteReference w:id="5"/>
      </w:r>
      <w:r>
        <w:rPr>
          <w:rFonts w:ascii="Arial" w:hAnsi="Arial" w:cs="Arial"/>
          <w:bCs/>
          <w:sz w:val="26"/>
          <w:szCs w:val="26"/>
          <w:lang w:val="es-MX"/>
        </w:rPr>
        <w:t xml:space="preserve"> de fecha ocho de agosto de dos mil dieciocho;</w:t>
      </w:r>
      <w:r w:rsidRPr="00766B53">
        <w:rPr>
          <w:rFonts w:ascii="Arial" w:hAnsi="Arial" w:cs="Arial"/>
          <w:bCs/>
          <w:sz w:val="26"/>
          <w:szCs w:val="26"/>
          <w:lang w:val="es-MX"/>
        </w:rPr>
        <w:t xml:space="preserve"> </w:t>
      </w:r>
      <w:r>
        <w:rPr>
          <w:rFonts w:ascii="Arial" w:hAnsi="Arial" w:cs="Arial"/>
          <w:bCs/>
          <w:sz w:val="26"/>
          <w:szCs w:val="26"/>
          <w:lang w:val="es-MX"/>
        </w:rPr>
        <w:t xml:space="preserve">por lo tanto, al no haber sido deducido ese argumento oportunamente, no puede ser analizado en esta Instancia. </w:t>
      </w:r>
    </w:p>
    <w:p w14:paraId="07FB0258" w14:textId="77777777" w:rsidR="0023680F" w:rsidRDefault="0023680F" w:rsidP="0023680F">
      <w:pPr>
        <w:pStyle w:val="Sinespaciado"/>
        <w:spacing w:after="120" w:line="360" w:lineRule="auto"/>
        <w:ind w:right="49" w:firstLine="567"/>
        <w:jc w:val="both"/>
        <w:rPr>
          <w:rFonts w:ascii="Arial" w:hAnsi="Arial" w:cs="Arial"/>
          <w:sz w:val="26"/>
          <w:szCs w:val="26"/>
        </w:rPr>
      </w:pPr>
      <w:r w:rsidRPr="00422BC2">
        <w:rPr>
          <w:rFonts w:ascii="Arial" w:hAnsi="Arial" w:cs="Arial"/>
          <w:sz w:val="26"/>
          <w:szCs w:val="26"/>
        </w:rPr>
        <w:t>Es aplicable</w:t>
      </w:r>
      <w:r>
        <w:rPr>
          <w:rFonts w:ascii="Arial" w:hAnsi="Arial" w:cs="Arial"/>
          <w:sz w:val="26"/>
          <w:szCs w:val="26"/>
        </w:rPr>
        <w:t xml:space="preserve"> al presente caso</w:t>
      </w:r>
      <w:r w:rsidRPr="00422BC2">
        <w:rPr>
          <w:rFonts w:ascii="Arial" w:hAnsi="Arial" w:cs="Arial"/>
          <w:sz w:val="26"/>
          <w:szCs w:val="26"/>
        </w:rPr>
        <w:t xml:space="preserve">, la siguiente jurisprudencia </w:t>
      </w:r>
      <w:r>
        <w:rPr>
          <w:rFonts w:ascii="Arial" w:hAnsi="Arial" w:cs="Arial"/>
          <w:sz w:val="26"/>
          <w:szCs w:val="26"/>
        </w:rPr>
        <w:t xml:space="preserve">2a./J. 188/2009, </w:t>
      </w:r>
      <w:r w:rsidRPr="00422BC2">
        <w:rPr>
          <w:rFonts w:ascii="Arial" w:hAnsi="Arial" w:cs="Arial"/>
          <w:sz w:val="26"/>
          <w:szCs w:val="26"/>
        </w:rPr>
        <w:t xml:space="preserve">emitida por la Segunda Sala de la Suprema Corte de Justicia de la Nación, </w:t>
      </w:r>
      <w:r>
        <w:rPr>
          <w:rFonts w:ascii="Arial" w:hAnsi="Arial" w:cs="Arial"/>
          <w:sz w:val="26"/>
          <w:szCs w:val="26"/>
        </w:rPr>
        <w:t>publicada en el Semanario Judicial de la Federación y su Gaceta, visible a página 424,</w:t>
      </w:r>
      <w:r w:rsidRPr="00422BC2">
        <w:rPr>
          <w:rFonts w:ascii="Arial" w:hAnsi="Arial" w:cs="Arial"/>
          <w:sz w:val="26"/>
          <w:szCs w:val="26"/>
        </w:rPr>
        <w:t xml:space="preserve"> Novena Época</w:t>
      </w:r>
      <w:r>
        <w:rPr>
          <w:rFonts w:ascii="Arial" w:hAnsi="Arial" w:cs="Arial"/>
          <w:sz w:val="26"/>
          <w:szCs w:val="26"/>
        </w:rPr>
        <w:t>, con número de registro 166031, de rubro y texto siguiente</w:t>
      </w:r>
      <w:r w:rsidRPr="00422BC2">
        <w:rPr>
          <w:rFonts w:ascii="Arial" w:hAnsi="Arial" w:cs="Arial"/>
          <w:sz w:val="26"/>
          <w:szCs w:val="26"/>
        </w:rPr>
        <w:t xml:space="preserve">: </w:t>
      </w:r>
    </w:p>
    <w:p w14:paraId="43959F8B" w14:textId="77777777" w:rsidR="0023680F" w:rsidRPr="00DE5F94" w:rsidRDefault="0023680F" w:rsidP="0023680F">
      <w:pPr>
        <w:pStyle w:val="Sinespaciado"/>
        <w:spacing w:after="120"/>
        <w:ind w:left="567" w:right="1041"/>
        <w:jc w:val="both"/>
        <w:rPr>
          <w:rFonts w:ascii="Arial" w:hAnsi="Arial" w:cs="Arial"/>
          <w:i/>
          <w:sz w:val="24"/>
          <w:szCs w:val="24"/>
        </w:rPr>
      </w:pPr>
      <w:r>
        <w:rPr>
          <w:rFonts w:ascii="Arial" w:hAnsi="Arial" w:cs="Arial"/>
          <w:b/>
          <w:i/>
          <w:sz w:val="24"/>
          <w:szCs w:val="24"/>
        </w:rPr>
        <w:t>“</w:t>
      </w:r>
      <w:r w:rsidRPr="00DE5F94">
        <w:rPr>
          <w:rFonts w:ascii="Arial" w:hAnsi="Arial" w:cs="Arial"/>
          <w:b/>
          <w:i/>
          <w:sz w:val="24"/>
          <w:szCs w:val="24"/>
        </w:rPr>
        <w:t xml:space="preserve">AGRAVIOS INOPERANTES EN LA REVISIÓN. SON AQUELLOS EN LOS QUE SE PRODUCE UN IMPEDIMENTO TÉCNICO QUE IMPOSIBILITA EL EXAMEN DEL PLANTEAMIENTO QUE CONTIENEN. </w:t>
      </w:r>
      <w:r w:rsidRPr="00DE5F94">
        <w:rPr>
          <w:rFonts w:ascii="Arial" w:hAnsi="Arial" w:cs="Arial"/>
          <w:i/>
          <w:sz w:val="24"/>
          <w:szCs w:val="24"/>
        </w:rPr>
        <w:t xml:space="preserve">Conforme a los artículos 107, fracción III, de la Constitución Política de los Estados Unidos Mexicanos, 83, fracción IV, 87, 88 y 91, fracciones I a IV, de la Ley de Amparo, el recurso de revisión es un medio de defensa establecido con el fin de revisar la legalidad de la sentencia dictada en el juicio de amparo indirecto y el respeto a las normas fundamentales que rigen el procedimiento, de ahí que es un instrumento técnico que tiende a asegurar un óptimo ejercicio de la función jurisdiccional, cuya materia se circunscribe a la sentencia dictada en la audiencia constitucional, incluyendo las determinaciones contenidas en ésta y, en general, al examen del respeto a las normas fundamentales que rigen el procedimiento del juicio, labor realizada por el órgano revisor a la luz de los agravios expuestos por el recurrente, con el objeto de atacar las consideraciones que sustentan la sentencia recurrida o para demostrar las circunstancias que revelan su ilegalidad. En ese tenor, la inoperancia de los agravios en la revisión se presenta ante la actualización de algún impedimento técnico que imposibilite el examen del planteamiento efectuado que puede derivar de la falta de afectación directa al promovente de la parte considerativa que controvierte; de la omisión de la expresión de agravios referidos a la cuestión debatida; de su formulación material incorrecta, por incumplir las condiciones atinentes a su contenido, que puede darse: a) al no controvertir </w:t>
      </w:r>
      <w:r w:rsidRPr="00DE5F94">
        <w:rPr>
          <w:rFonts w:ascii="Arial" w:hAnsi="Arial" w:cs="Arial"/>
          <w:i/>
          <w:sz w:val="24"/>
          <w:szCs w:val="24"/>
        </w:rPr>
        <w:lastRenderedPageBreak/>
        <w:t xml:space="preserve">de manera suficiente y eficaz las consideraciones que rigen la sentencia; </w:t>
      </w:r>
      <w:r w:rsidRPr="002E3921">
        <w:rPr>
          <w:rFonts w:ascii="Arial" w:hAnsi="Arial" w:cs="Arial"/>
          <w:i/>
          <w:sz w:val="24"/>
          <w:szCs w:val="24"/>
          <w:u w:val="single"/>
        </w:rPr>
        <w:t>b) al introducir pruebas o argumentos novedosos a la litis del juicio de amparo</w:t>
      </w:r>
      <w:r w:rsidRPr="00DE5F94">
        <w:rPr>
          <w:rFonts w:ascii="Arial" w:hAnsi="Arial" w:cs="Arial"/>
          <w:i/>
          <w:sz w:val="24"/>
          <w:szCs w:val="24"/>
        </w:rPr>
        <w:t>; y, c) en caso de reclamar infracción a las normas fundamentales del procedimiento, al omitir patentizar que se hubiese dejado sin defensa al recurrente o su relevancia en el dictado de la sentencia; o, en su caso, de la concreción de cualquier obstáculo que se advierta y que impida al órgano revisor el examen de fondo del planteamiento propuesto, como puede ser cuando se desatienda la naturaleza de la revisión y del órgano que emitió la sentencia o la existencia de jurisprudencia que resuelve el fondo del asunto planteado.</w:t>
      </w:r>
      <w:r>
        <w:rPr>
          <w:rFonts w:ascii="Arial" w:hAnsi="Arial" w:cs="Arial"/>
          <w:i/>
          <w:sz w:val="24"/>
          <w:szCs w:val="24"/>
        </w:rPr>
        <w:t>” – lo subrayado es nuestro-</w:t>
      </w:r>
    </w:p>
    <w:p w14:paraId="5E166C77" w14:textId="77777777" w:rsidR="0023680F" w:rsidRPr="00403CFB" w:rsidRDefault="0023680F" w:rsidP="0023680F">
      <w:pPr>
        <w:spacing w:before="240" w:after="0" w:line="360" w:lineRule="auto"/>
        <w:jc w:val="both"/>
        <w:rPr>
          <w:rFonts w:ascii="Arial" w:hAnsi="Arial" w:cs="Arial"/>
          <w:sz w:val="26"/>
          <w:szCs w:val="26"/>
        </w:rPr>
      </w:pPr>
      <w:r>
        <w:rPr>
          <w:rFonts w:ascii="Arial" w:hAnsi="Arial" w:cs="Arial"/>
          <w:sz w:val="26"/>
          <w:szCs w:val="26"/>
        </w:rPr>
        <w:t xml:space="preserve">    Ante tales</w:t>
      </w:r>
      <w:r w:rsidRPr="00403CFB">
        <w:rPr>
          <w:rFonts w:ascii="Arial" w:hAnsi="Arial" w:cs="Arial"/>
          <w:sz w:val="26"/>
          <w:szCs w:val="26"/>
        </w:rPr>
        <w:t xml:space="preserve"> consideraciones </w:t>
      </w:r>
      <w:r>
        <w:rPr>
          <w:rFonts w:ascii="Arial" w:hAnsi="Arial" w:cs="Arial"/>
          <w:sz w:val="26"/>
          <w:szCs w:val="26"/>
        </w:rPr>
        <w:t xml:space="preserve">y, dado que las alegaciones de la recurrente son </w:t>
      </w:r>
      <w:r w:rsidRPr="005752D4">
        <w:rPr>
          <w:rFonts w:ascii="Arial" w:hAnsi="Arial" w:cs="Arial"/>
          <w:b/>
          <w:sz w:val="26"/>
          <w:szCs w:val="26"/>
        </w:rPr>
        <w:t>inoperante</w:t>
      </w:r>
      <w:r>
        <w:rPr>
          <w:rFonts w:ascii="Arial" w:hAnsi="Arial" w:cs="Arial"/>
          <w:b/>
          <w:sz w:val="26"/>
          <w:szCs w:val="26"/>
        </w:rPr>
        <w:t>s e infundadas</w:t>
      </w:r>
      <w:r>
        <w:rPr>
          <w:rFonts w:ascii="Arial" w:hAnsi="Arial" w:cs="Arial"/>
          <w:sz w:val="26"/>
          <w:szCs w:val="26"/>
        </w:rPr>
        <w:t>,</w:t>
      </w:r>
      <w:r w:rsidRPr="00403CFB">
        <w:rPr>
          <w:rFonts w:ascii="Arial" w:hAnsi="Arial" w:cs="Arial"/>
          <w:sz w:val="26"/>
          <w:szCs w:val="26"/>
        </w:rPr>
        <w:t xml:space="preserve"> procede </w:t>
      </w:r>
      <w:r w:rsidRPr="00403CFB">
        <w:rPr>
          <w:rFonts w:ascii="Arial" w:hAnsi="Arial" w:cs="Arial"/>
          <w:b/>
          <w:sz w:val="26"/>
          <w:szCs w:val="26"/>
        </w:rPr>
        <w:t>CONFIRMAR</w:t>
      </w:r>
      <w:r w:rsidRPr="00403CFB">
        <w:rPr>
          <w:rFonts w:ascii="Arial" w:hAnsi="Arial" w:cs="Arial"/>
          <w:sz w:val="26"/>
          <w:szCs w:val="26"/>
        </w:rPr>
        <w:t xml:space="preserve"> la sentencia alzada; y, </w:t>
      </w:r>
      <w:r w:rsidRPr="00403CFB">
        <w:rPr>
          <w:rFonts w:ascii="Arial" w:eastAsia="Calibri" w:hAnsi="Arial" w:cs="Arial"/>
          <w:bCs/>
          <w:sz w:val="26"/>
          <w:szCs w:val="26"/>
        </w:rPr>
        <w:t>c</w:t>
      </w:r>
      <w:r w:rsidRPr="00403CFB">
        <w:rPr>
          <w:rFonts w:ascii="Arial" w:hAnsi="Arial" w:cs="Arial"/>
          <w:sz w:val="26"/>
          <w:szCs w:val="26"/>
        </w:rPr>
        <w:t>on fundamento en los artículos 237 y 238 de la Ley de Procedimiento y Justicia Administrativa para el Estado de Oaxaca, se:</w:t>
      </w:r>
    </w:p>
    <w:p w14:paraId="1D4BEA53" w14:textId="77777777" w:rsidR="0023680F" w:rsidRPr="00403CFB" w:rsidRDefault="0023680F" w:rsidP="0023680F">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04692482" w14:textId="77777777" w:rsidR="0023680F" w:rsidRPr="00403CFB" w:rsidRDefault="0023680F" w:rsidP="0023680F">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sidRPr="00403CFB">
        <w:rPr>
          <w:rFonts w:ascii="Arial" w:eastAsia="Calibri" w:hAnsi="Arial" w:cs="Arial"/>
          <w:b/>
          <w:sz w:val="26"/>
          <w:szCs w:val="26"/>
        </w:rPr>
        <w:t xml:space="preserve">CONFIRMA </w:t>
      </w:r>
      <w:r w:rsidRPr="00403CFB">
        <w:rPr>
          <w:rFonts w:ascii="Arial" w:eastAsia="Calibri" w:hAnsi="Arial" w:cs="Arial"/>
          <w:sz w:val="26"/>
          <w:szCs w:val="26"/>
        </w:rPr>
        <w:t>la sentencia</w:t>
      </w:r>
      <w:r>
        <w:rPr>
          <w:rFonts w:ascii="Arial" w:eastAsia="Calibri" w:hAnsi="Arial" w:cs="Arial"/>
          <w:sz w:val="26"/>
          <w:szCs w:val="26"/>
        </w:rPr>
        <w:t xml:space="preserve"> de fecha</w:t>
      </w:r>
      <w:r w:rsidRPr="00214DD7">
        <w:rPr>
          <w:rFonts w:ascii="Arial" w:hAnsi="Arial" w:cs="Arial"/>
          <w:sz w:val="26"/>
          <w:szCs w:val="26"/>
        </w:rPr>
        <w:t xml:space="preserve"> </w:t>
      </w:r>
      <w:r>
        <w:rPr>
          <w:rFonts w:ascii="Arial" w:hAnsi="Arial" w:cs="Arial"/>
          <w:sz w:val="26"/>
          <w:szCs w:val="26"/>
        </w:rPr>
        <w:t>seis de septiembre de dos mil diecinueve</w:t>
      </w:r>
      <w:r w:rsidRPr="00403CFB">
        <w:rPr>
          <w:rFonts w:ascii="Arial" w:eastAsia="Calibri" w:hAnsi="Arial" w:cs="Arial"/>
          <w:sz w:val="26"/>
          <w:szCs w:val="26"/>
        </w:rPr>
        <w:t xml:space="preserve">, </w:t>
      </w:r>
      <w:r w:rsidRPr="00403CFB">
        <w:rPr>
          <w:rFonts w:ascii="Arial" w:eastAsia="Calibri" w:hAnsi="Arial" w:cs="Arial"/>
          <w:sz w:val="26"/>
          <w:szCs w:val="26"/>
          <w:lang w:eastAsia="es-ES"/>
        </w:rPr>
        <w:t>por las razones expuestas en el considerando que antecede</w:t>
      </w:r>
      <w:r>
        <w:rPr>
          <w:rFonts w:ascii="Arial" w:eastAsia="Calibri" w:hAnsi="Arial" w:cs="Arial"/>
          <w:sz w:val="26"/>
          <w:szCs w:val="26"/>
        </w:rPr>
        <w:t xml:space="preserve">. </w:t>
      </w:r>
    </w:p>
    <w:p w14:paraId="50AA4519" w14:textId="77777777" w:rsidR="0023680F" w:rsidRDefault="0023680F" w:rsidP="0023680F">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ab/>
      </w: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Primera Sala Unitaria de Primera Instancia de este Tribunal y en su oportunidad archívese el presente cuaderno de revisión como asunto concluido.</w:t>
      </w:r>
    </w:p>
    <w:p w14:paraId="3DAEEBC3" w14:textId="77777777" w:rsidR="00710B03" w:rsidRPr="00873285" w:rsidRDefault="00710B03" w:rsidP="00710B03">
      <w:pPr>
        <w:spacing w:before="240" w:line="360" w:lineRule="auto"/>
        <w:ind w:firstLine="708"/>
        <w:jc w:val="both"/>
        <w:rPr>
          <w:rFonts w:ascii="Arial" w:hAnsi="Arial" w:cs="Arial"/>
          <w:sz w:val="26"/>
          <w:szCs w:val="26"/>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14:paraId="210D5992" w14:textId="3A6CA262" w:rsidR="00710B03" w:rsidRDefault="00710B03" w:rsidP="00710B03">
      <w:pPr>
        <w:pStyle w:val="Sinespaciado"/>
        <w:spacing w:before="240" w:after="120" w:line="360" w:lineRule="auto"/>
        <w:jc w:val="both"/>
        <w:rPr>
          <w:rFonts w:ascii="Arial" w:eastAsia="Calibri" w:hAnsi="Arial" w:cs="Arial"/>
          <w:b/>
          <w:bCs/>
          <w:sz w:val="26"/>
          <w:szCs w:val="26"/>
        </w:rPr>
      </w:pPr>
    </w:p>
    <w:p w14:paraId="18320817" w14:textId="77777777" w:rsidR="00710B03" w:rsidRDefault="00710B03" w:rsidP="0023680F">
      <w:pPr>
        <w:spacing w:after="0" w:line="240" w:lineRule="auto"/>
        <w:rPr>
          <w:rFonts w:ascii="Arial" w:eastAsia="Calibri" w:hAnsi="Arial" w:cs="Arial"/>
          <w:sz w:val="26"/>
          <w:szCs w:val="26"/>
        </w:rPr>
      </w:pPr>
    </w:p>
    <w:p w14:paraId="526D09DC" w14:textId="77777777" w:rsidR="00710B03" w:rsidRDefault="00710B03" w:rsidP="00710B03">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14:paraId="3C201CE8" w14:textId="77777777" w:rsidR="00710B03" w:rsidRDefault="00710B03" w:rsidP="00710B03">
      <w:pPr>
        <w:spacing w:after="0" w:line="240" w:lineRule="auto"/>
        <w:jc w:val="center"/>
        <w:rPr>
          <w:rFonts w:ascii="Arial" w:eastAsia="Calibri" w:hAnsi="Arial" w:cs="Arial"/>
          <w:sz w:val="26"/>
          <w:szCs w:val="26"/>
        </w:rPr>
      </w:pPr>
      <w:r>
        <w:rPr>
          <w:rFonts w:ascii="Arial" w:eastAsia="Calibri" w:hAnsi="Arial" w:cs="Arial"/>
          <w:sz w:val="26"/>
          <w:szCs w:val="26"/>
        </w:rPr>
        <w:t>PRESIDENTA</w:t>
      </w:r>
    </w:p>
    <w:p w14:paraId="3701BDE8" w14:textId="77777777" w:rsidR="00710B03" w:rsidRDefault="00710B03" w:rsidP="00710B03">
      <w:pPr>
        <w:spacing w:line="360" w:lineRule="auto"/>
        <w:rPr>
          <w:rFonts w:ascii="Arial" w:eastAsia="Calibri" w:hAnsi="Arial" w:cs="Arial"/>
          <w:sz w:val="26"/>
          <w:szCs w:val="26"/>
        </w:rPr>
      </w:pPr>
    </w:p>
    <w:p w14:paraId="58DF4E03" w14:textId="5F9BF847" w:rsidR="00710B03" w:rsidRPr="0084158E" w:rsidRDefault="0084158E" w:rsidP="0084158E">
      <w:pPr>
        <w:spacing w:line="360" w:lineRule="auto"/>
        <w:jc w:val="center"/>
        <w:rPr>
          <w:rFonts w:ascii="Arial" w:eastAsia="Calibri" w:hAnsi="Arial" w:cs="Arial"/>
          <w:b/>
          <w:bCs/>
          <w:sz w:val="14"/>
          <w:szCs w:val="14"/>
        </w:rPr>
      </w:pPr>
      <w:r w:rsidRPr="0084158E">
        <w:rPr>
          <w:rFonts w:ascii="Arial" w:eastAsia="Calibri" w:hAnsi="Arial" w:cs="Arial"/>
          <w:b/>
          <w:bCs/>
          <w:sz w:val="14"/>
          <w:szCs w:val="14"/>
        </w:rPr>
        <w:t xml:space="preserve">LAS PRESENTES FIRMAS CORRESPONDEN AL RECURSO DE REVISIÓN </w:t>
      </w:r>
      <w:r w:rsidR="0023680F">
        <w:rPr>
          <w:rFonts w:ascii="Arial" w:eastAsia="Calibri" w:hAnsi="Arial" w:cs="Arial"/>
          <w:b/>
          <w:bCs/>
          <w:sz w:val="14"/>
          <w:szCs w:val="14"/>
        </w:rPr>
        <w:t>332</w:t>
      </w:r>
      <w:r w:rsidRPr="0084158E">
        <w:rPr>
          <w:rFonts w:ascii="Arial" w:eastAsia="Calibri" w:hAnsi="Arial" w:cs="Arial"/>
          <w:b/>
          <w:bCs/>
          <w:sz w:val="14"/>
          <w:szCs w:val="14"/>
        </w:rPr>
        <w:t>/2019</w:t>
      </w:r>
    </w:p>
    <w:p w14:paraId="09C0B60A" w14:textId="0DB7C4A8" w:rsidR="00710B03" w:rsidRDefault="00710B03" w:rsidP="00710B03">
      <w:pPr>
        <w:spacing w:line="360" w:lineRule="auto"/>
        <w:rPr>
          <w:rFonts w:ascii="Arial" w:eastAsia="Calibri" w:hAnsi="Arial" w:cs="Arial"/>
          <w:sz w:val="26"/>
          <w:szCs w:val="26"/>
        </w:rPr>
      </w:pPr>
    </w:p>
    <w:p w14:paraId="5E000658" w14:textId="42004957" w:rsidR="0084158E" w:rsidRDefault="0084158E" w:rsidP="00710B03">
      <w:pPr>
        <w:spacing w:line="360" w:lineRule="auto"/>
        <w:rPr>
          <w:rFonts w:ascii="Arial" w:eastAsia="Calibri" w:hAnsi="Arial" w:cs="Arial"/>
          <w:sz w:val="26"/>
          <w:szCs w:val="26"/>
        </w:rPr>
      </w:pPr>
    </w:p>
    <w:p w14:paraId="200A739C" w14:textId="77777777" w:rsidR="0084158E" w:rsidRDefault="0084158E" w:rsidP="00710B03">
      <w:pPr>
        <w:spacing w:line="360" w:lineRule="auto"/>
        <w:rPr>
          <w:rFonts w:ascii="Arial" w:eastAsia="Calibri" w:hAnsi="Arial" w:cs="Arial"/>
          <w:sz w:val="26"/>
          <w:szCs w:val="26"/>
        </w:rPr>
      </w:pPr>
    </w:p>
    <w:p w14:paraId="41145528" w14:textId="77777777" w:rsidR="00710B03" w:rsidRDefault="00710B03" w:rsidP="00710B03">
      <w:pPr>
        <w:spacing w:line="360" w:lineRule="auto"/>
        <w:jc w:val="center"/>
        <w:rPr>
          <w:rFonts w:ascii="Arial" w:eastAsia="Calibri" w:hAnsi="Arial" w:cs="Arial"/>
          <w:sz w:val="26"/>
          <w:szCs w:val="26"/>
        </w:rPr>
      </w:pPr>
      <w:r>
        <w:rPr>
          <w:rFonts w:ascii="Arial" w:eastAsia="Calibri" w:hAnsi="Arial" w:cs="Arial"/>
          <w:sz w:val="26"/>
          <w:szCs w:val="26"/>
          <w:lang w:val="es-MX"/>
        </w:rPr>
        <w:t>MAGISTRADO MANUEL VELASCO ALCÁNTARA</w:t>
      </w:r>
    </w:p>
    <w:p w14:paraId="41683DF4" w14:textId="77777777" w:rsidR="00710B03" w:rsidRDefault="00710B03" w:rsidP="0084158E">
      <w:pPr>
        <w:spacing w:line="360" w:lineRule="auto"/>
        <w:rPr>
          <w:rFonts w:ascii="Arial" w:eastAsia="Calibri" w:hAnsi="Arial" w:cs="Arial"/>
          <w:sz w:val="26"/>
          <w:szCs w:val="26"/>
        </w:rPr>
      </w:pPr>
    </w:p>
    <w:p w14:paraId="571D9C18" w14:textId="0CD8DD8A" w:rsidR="00710B03" w:rsidRDefault="00710B03" w:rsidP="00710B03">
      <w:pPr>
        <w:spacing w:line="360" w:lineRule="auto"/>
        <w:jc w:val="center"/>
        <w:rPr>
          <w:rFonts w:ascii="Arial" w:eastAsia="Calibri" w:hAnsi="Arial" w:cs="Arial"/>
          <w:sz w:val="26"/>
          <w:szCs w:val="26"/>
        </w:rPr>
      </w:pPr>
    </w:p>
    <w:p w14:paraId="76B7B71E" w14:textId="77777777" w:rsidR="0084158E" w:rsidRDefault="0084158E" w:rsidP="00710B03">
      <w:pPr>
        <w:spacing w:line="360" w:lineRule="auto"/>
        <w:jc w:val="center"/>
        <w:rPr>
          <w:rFonts w:ascii="Arial" w:eastAsia="Calibri" w:hAnsi="Arial" w:cs="Arial"/>
          <w:sz w:val="26"/>
          <w:szCs w:val="26"/>
        </w:rPr>
      </w:pPr>
    </w:p>
    <w:p w14:paraId="25FA387C" w14:textId="77777777" w:rsidR="00710B03" w:rsidRDefault="00710B03" w:rsidP="00710B03">
      <w:pPr>
        <w:spacing w:line="360" w:lineRule="auto"/>
        <w:jc w:val="center"/>
        <w:rPr>
          <w:rFonts w:ascii="Arial" w:eastAsia="Calibri" w:hAnsi="Arial" w:cs="Arial"/>
          <w:sz w:val="26"/>
          <w:szCs w:val="26"/>
        </w:rPr>
      </w:pPr>
      <w:r>
        <w:rPr>
          <w:rFonts w:ascii="Arial" w:eastAsia="Calibri" w:hAnsi="Arial" w:cs="Arial"/>
          <w:sz w:val="26"/>
          <w:szCs w:val="26"/>
        </w:rPr>
        <w:t>MAGISTRADO RAÚL PALOMARES PALOMINO.</w:t>
      </w:r>
    </w:p>
    <w:p w14:paraId="0B55B8E1" w14:textId="77777777" w:rsidR="00710B03" w:rsidRDefault="00710B03" w:rsidP="00710B03">
      <w:pPr>
        <w:jc w:val="center"/>
        <w:rPr>
          <w:rFonts w:ascii="Arial" w:eastAsia="Calibri" w:hAnsi="Arial" w:cs="Arial"/>
          <w:sz w:val="26"/>
          <w:szCs w:val="26"/>
        </w:rPr>
      </w:pPr>
    </w:p>
    <w:p w14:paraId="54F0F28D" w14:textId="4C01FBD1" w:rsidR="00710B03" w:rsidRDefault="00710B03" w:rsidP="0084158E">
      <w:pPr>
        <w:spacing w:after="0" w:line="240" w:lineRule="auto"/>
        <w:rPr>
          <w:rFonts w:ascii="Arial" w:eastAsia="Calibri" w:hAnsi="Arial" w:cs="Arial"/>
          <w:sz w:val="26"/>
          <w:szCs w:val="26"/>
        </w:rPr>
      </w:pPr>
    </w:p>
    <w:p w14:paraId="03265A18" w14:textId="715B0409" w:rsidR="0084158E" w:rsidRDefault="0084158E" w:rsidP="0084158E">
      <w:pPr>
        <w:spacing w:after="0" w:line="240" w:lineRule="auto"/>
        <w:rPr>
          <w:rFonts w:ascii="Arial" w:eastAsia="Calibri" w:hAnsi="Arial" w:cs="Arial"/>
          <w:sz w:val="26"/>
          <w:szCs w:val="26"/>
        </w:rPr>
      </w:pPr>
    </w:p>
    <w:p w14:paraId="4BB6CBC0" w14:textId="77777777" w:rsidR="0084158E" w:rsidRDefault="0084158E" w:rsidP="0084158E">
      <w:pPr>
        <w:spacing w:after="0" w:line="240" w:lineRule="auto"/>
        <w:rPr>
          <w:rFonts w:ascii="Arial" w:eastAsia="Calibri" w:hAnsi="Arial" w:cs="Arial"/>
          <w:sz w:val="26"/>
          <w:szCs w:val="26"/>
        </w:rPr>
      </w:pPr>
    </w:p>
    <w:p w14:paraId="3A95E044" w14:textId="77777777" w:rsidR="00710B03" w:rsidRDefault="00710B03" w:rsidP="00710B03">
      <w:pPr>
        <w:spacing w:after="0" w:line="240" w:lineRule="auto"/>
        <w:jc w:val="center"/>
        <w:rPr>
          <w:rFonts w:ascii="Arial" w:eastAsia="Calibri" w:hAnsi="Arial" w:cs="Arial"/>
          <w:sz w:val="26"/>
          <w:szCs w:val="26"/>
        </w:rPr>
      </w:pPr>
    </w:p>
    <w:p w14:paraId="22C970C3" w14:textId="77777777" w:rsidR="00710B03" w:rsidRDefault="00710B03" w:rsidP="00710B03">
      <w:pPr>
        <w:spacing w:after="0" w:line="240" w:lineRule="auto"/>
        <w:jc w:val="center"/>
        <w:rPr>
          <w:rFonts w:ascii="Arial" w:eastAsia="Calibri" w:hAnsi="Arial" w:cs="Arial"/>
          <w:sz w:val="26"/>
          <w:szCs w:val="26"/>
        </w:rPr>
      </w:pPr>
    </w:p>
    <w:p w14:paraId="24F7BD70" w14:textId="77777777" w:rsidR="00710B03" w:rsidRDefault="00710B03" w:rsidP="00710B03">
      <w:pPr>
        <w:tabs>
          <w:tab w:val="center" w:pos="4135"/>
          <w:tab w:val="left" w:pos="7515"/>
        </w:tabs>
        <w:spacing w:line="360" w:lineRule="auto"/>
        <w:jc w:val="center"/>
        <w:rPr>
          <w:rFonts w:ascii="Arial" w:hAnsi="Arial" w:cs="Arial"/>
          <w:sz w:val="14"/>
          <w:szCs w:val="26"/>
          <w:lang w:val="es-MX"/>
        </w:rPr>
      </w:pPr>
      <w:r>
        <w:rPr>
          <w:rFonts w:ascii="Arial" w:hAnsi="Arial" w:cs="Arial"/>
          <w:sz w:val="26"/>
          <w:szCs w:val="26"/>
        </w:rPr>
        <w:t>MAGISTRADO ABRAHAM SANTIAGO SORIANO</w:t>
      </w:r>
    </w:p>
    <w:p w14:paraId="4F2B27EF" w14:textId="77777777" w:rsidR="00710B03" w:rsidRDefault="00710B03" w:rsidP="00710B03">
      <w:pPr>
        <w:spacing w:after="0" w:line="240" w:lineRule="auto"/>
        <w:jc w:val="center"/>
        <w:rPr>
          <w:rFonts w:ascii="Arial" w:eastAsia="Calibri" w:hAnsi="Arial" w:cs="Arial"/>
          <w:sz w:val="26"/>
          <w:szCs w:val="26"/>
        </w:rPr>
      </w:pPr>
    </w:p>
    <w:p w14:paraId="55A80ACE" w14:textId="3EB366AF" w:rsidR="00710B03" w:rsidRDefault="00710B03" w:rsidP="00195155">
      <w:pPr>
        <w:rPr>
          <w:rFonts w:ascii="Arial" w:eastAsia="Calibri" w:hAnsi="Arial" w:cs="Arial"/>
          <w:sz w:val="26"/>
          <w:szCs w:val="26"/>
        </w:rPr>
      </w:pPr>
    </w:p>
    <w:p w14:paraId="03770A90" w14:textId="08DCF8A1" w:rsidR="0084158E" w:rsidRDefault="0084158E" w:rsidP="00710B03">
      <w:pPr>
        <w:jc w:val="center"/>
        <w:rPr>
          <w:rFonts w:ascii="Arial" w:eastAsia="Calibri" w:hAnsi="Arial" w:cs="Arial"/>
          <w:sz w:val="26"/>
          <w:szCs w:val="26"/>
        </w:rPr>
      </w:pPr>
    </w:p>
    <w:p w14:paraId="203AE273" w14:textId="77777777" w:rsidR="0084158E" w:rsidRDefault="0084158E" w:rsidP="00710B03">
      <w:pPr>
        <w:jc w:val="center"/>
        <w:rPr>
          <w:rFonts w:ascii="Arial" w:eastAsia="Calibri" w:hAnsi="Arial" w:cs="Arial"/>
          <w:sz w:val="26"/>
          <w:szCs w:val="26"/>
        </w:rPr>
      </w:pPr>
    </w:p>
    <w:p w14:paraId="2AB35CED" w14:textId="77777777" w:rsidR="00710B03" w:rsidRDefault="00710B03" w:rsidP="00710B03">
      <w:pPr>
        <w:jc w:val="center"/>
        <w:rPr>
          <w:rFonts w:ascii="Arial" w:eastAsia="Calibri" w:hAnsi="Arial" w:cs="Arial"/>
          <w:sz w:val="26"/>
          <w:szCs w:val="26"/>
        </w:rPr>
      </w:pPr>
      <w:r>
        <w:rPr>
          <w:rFonts w:ascii="Arial" w:eastAsia="Calibri" w:hAnsi="Arial" w:cs="Arial"/>
          <w:sz w:val="26"/>
          <w:szCs w:val="26"/>
        </w:rPr>
        <w:t>MAGISTRADO ADRIÁN QUIROGA AVENDAÑO</w:t>
      </w:r>
    </w:p>
    <w:p w14:paraId="3AEBE06D" w14:textId="0E0E24D4" w:rsidR="00710B03" w:rsidRDefault="00710B03" w:rsidP="00195155">
      <w:pPr>
        <w:spacing w:line="360" w:lineRule="auto"/>
        <w:rPr>
          <w:rFonts w:ascii="Arial" w:eastAsia="Calibri" w:hAnsi="Arial" w:cs="Arial"/>
          <w:sz w:val="26"/>
          <w:szCs w:val="26"/>
        </w:rPr>
      </w:pPr>
    </w:p>
    <w:p w14:paraId="4FA7A4B1" w14:textId="6D6605AC" w:rsidR="0084158E" w:rsidRDefault="0084158E" w:rsidP="00710B03">
      <w:pPr>
        <w:spacing w:line="360" w:lineRule="auto"/>
        <w:jc w:val="center"/>
        <w:rPr>
          <w:rFonts w:ascii="Arial" w:eastAsia="Calibri" w:hAnsi="Arial" w:cs="Arial"/>
          <w:sz w:val="26"/>
          <w:szCs w:val="26"/>
        </w:rPr>
      </w:pPr>
    </w:p>
    <w:p w14:paraId="7DF47C7C" w14:textId="77777777" w:rsidR="0084158E" w:rsidRDefault="0084158E" w:rsidP="00710B03">
      <w:pPr>
        <w:spacing w:line="360" w:lineRule="auto"/>
        <w:jc w:val="center"/>
        <w:rPr>
          <w:rFonts w:ascii="Arial" w:eastAsia="Calibri" w:hAnsi="Arial" w:cs="Arial"/>
          <w:sz w:val="26"/>
          <w:szCs w:val="26"/>
        </w:rPr>
      </w:pPr>
    </w:p>
    <w:p w14:paraId="060D8F11" w14:textId="77777777" w:rsidR="00710B03" w:rsidRDefault="00710B03" w:rsidP="00710B03">
      <w:pPr>
        <w:spacing w:after="0" w:line="240" w:lineRule="auto"/>
        <w:jc w:val="center"/>
        <w:rPr>
          <w:rFonts w:ascii="Arial" w:eastAsia="Calibri" w:hAnsi="Arial" w:cs="Arial"/>
          <w:sz w:val="26"/>
          <w:szCs w:val="26"/>
        </w:rPr>
      </w:pPr>
      <w:r>
        <w:rPr>
          <w:rFonts w:ascii="Arial" w:eastAsia="Calibri" w:hAnsi="Arial" w:cs="Arial"/>
          <w:sz w:val="26"/>
          <w:szCs w:val="26"/>
        </w:rPr>
        <w:t>LICENCIADA FELICITAS DIAZ VÁZQUEZ</w:t>
      </w:r>
    </w:p>
    <w:p w14:paraId="7160B14F" w14:textId="681BDD18" w:rsidR="00C22D4A" w:rsidRPr="00C4418B" w:rsidRDefault="00710B03" w:rsidP="00C4418B">
      <w:pPr>
        <w:spacing w:line="360" w:lineRule="auto"/>
        <w:jc w:val="center"/>
        <w:rPr>
          <w:rFonts w:ascii="Arial" w:eastAsia="Calibri" w:hAnsi="Arial" w:cs="Arial"/>
          <w:sz w:val="28"/>
          <w:szCs w:val="28"/>
        </w:rPr>
      </w:pPr>
      <w:r>
        <w:rPr>
          <w:rFonts w:ascii="Arial" w:eastAsia="Calibri" w:hAnsi="Arial" w:cs="Arial"/>
          <w:sz w:val="26"/>
          <w:szCs w:val="26"/>
        </w:rPr>
        <w:t>SECRETARIA GENERAL DE ACUERDO</w:t>
      </w:r>
    </w:p>
    <w:sectPr w:rsidR="00C22D4A" w:rsidRPr="00C4418B" w:rsidSect="00A01965">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AF4506" w14:textId="77777777" w:rsidR="00B450FB" w:rsidRDefault="00B450FB">
      <w:pPr>
        <w:spacing w:after="0" w:line="240" w:lineRule="auto"/>
      </w:pPr>
      <w:r>
        <w:separator/>
      </w:r>
    </w:p>
  </w:endnote>
  <w:endnote w:type="continuationSeparator" w:id="0">
    <w:p w14:paraId="454BDED2" w14:textId="77777777" w:rsidR="00B450FB" w:rsidRDefault="00B45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30FB6B" w14:textId="77777777" w:rsidR="00B450FB" w:rsidRDefault="00B450FB">
      <w:pPr>
        <w:spacing w:after="0" w:line="240" w:lineRule="auto"/>
      </w:pPr>
      <w:r>
        <w:separator/>
      </w:r>
    </w:p>
  </w:footnote>
  <w:footnote w:type="continuationSeparator" w:id="0">
    <w:p w14:paraId="1FAB05A0" w14:textId="77777777" w:rsidR="00B450FB" w:rsidRDefault="00B450FB">
      <w:pPr>
        <w:spacing w:after="0" w:line="240" w:lineRule="auto"/>
      </w:pPr>
      <w:r>
        <w:continuationSeparator/>
      </w:r>
    </w:p>
  </w:footnote>
  <w:footnote w:id="1">
    <w:p w14:paraId="2F29C0ED" w14:textId="77777777" w:rsidR="0023680F" w:rsidRPr="00402042" w:rsidRDefault="0023680F" w:rsidP="0023680F">
      <w:pPr>
        <w:pStyle w:val="Textonotapie"/>
        <w:rPr>
          <w:lang w:val="es-MX"/>
        </w:rPr>
      </w:pPr>
      <w:r>
        <w:rPr>
          <w:rStyle w:val="Refdenotaalpie"/>
        </w:rPr>
        <w:footnoteRef/>
      </w:r>
      <w:r>
        <w:t xml:space="preserve"> </w:t>
      </w:r>
      <w:r>
        <w:rPr>
          <w:lang w:val="es-MX"/>
        </w:rPr>
        <w:t>visible y consultable de folio37 al 46 del expediente de nulidad de origen.</w:t>
      </w:r>
    </w:p>
  </w:footnote>
  <w:footnote w:id="2">
    <w:p w14:paraId="6FDB0CB3" w14:textId="77777777" w:rsidR="0023680F" w:rsidRPr="00945E3C" w:rsidRDefault="0023680F" w:rsidP="0023680F">
      <w:pPr>
        <w:jc w:val="both"/>
        <w:rPr>
          <w:rFonts w:ascii="Arial" w:eastAsia="Times New Roman" w:hAnsi="Arial" w:cs="Arial"/>
          <w:b/>
          <w:bCs/>
          <w:i/>
          <w:color w:val="000000"/>
          <w:sz w:val="20"/>
          <w:szCs w:val="20"/>
          <w:lang w:eastAsia="es-ES"/>
        </w:rPr>
      </w:pPr>
      <w:r>
        <w:rPr>
          <w:rStyle w:val="Refdenotaalpie"/>
        </w:rPr>
        <w:footnoteRef/>
      </w:r>
      <w:r>
        <w:t xml:space="preserve"> </w:t>
      </w:r>
      <w:r w:rsidRPr="003801B8">
        <w:rPr>
          <w:rFonts w:ascii="Arial" w:hAnsi="Arial" w:cs="Arial"/>
          <w:b/>
          <w:i/>
          <w:sz w:val="20"/>
          <w:szCs w:val="20"/>
        </w:rPr>
        <w:t>FUNDAMENTACION Y MOTIVACION;</w:t>
      </w:r>
      <w:r w:rsidRPr="00945E3C">
        <w:rPr>
          <w:rFonts w:ascii="Arial" w:hAnsi="Arial" w:cs="Arial"/>
          <w:i/>
          <w:sz w:val="20"/>
          <w:szCs w:val="20"/>
        </w:rPr>
        <w:t xml:space="preserve"> Séptima Época; Registro: 394216; Instancia: Segunda Sala; Jurisprudencia; Apéndice de 1995; Tomo VI, Parte SCJN; Tesis: 260; Página: 175.</w:t>
      </w:r>
    </w:p>
    <w:p w14:paraId="41832F9B" w14:textId="77777777" w:rsidR="0023680F" w:rsidRDefault="0023680F" w:rsidP="0023680F">
      <w:pPr>
        <w:pStyle w:val="Textonotapie"/>
      </w:pPr>
    </w:p>
  </w:footnote>
  <w:footnote w:id="3">
    <w:p w14:paraId="60C61B75" w14:textId="77777777" w:rsidR="0023680F" w:rsidRPr="00B35C04" w:rsidRDefault="0023680F" w:rsidP="0023680F">
      <w:pPr>
        <w:pStyle w:val="Textonotapie"/>
        <w:jc w:val="both"/>
        <w:rPr>
          <w:rFonts w:ascii="Arial" w:hAnsi="Arial" w:cs="Arial"/>
          <w:i/>
        </w:rPr>
      </w:pPr>
      <w:r>
        <w:rPr>
          <w:rStyle w:val="Refdenotaalpie"/>
        </w:rPr>
        <w:footnoteRef/>
      </w:r>
      <w:r>
        <w:t xml:space="preserve"> </w:t>
      </w:r>
      <w:r w:rsidRPr="00B35C04">
        <w:rPr>
          <w:rFonts w:ascii="Arial" w:hAnsi="Arial" w:cs="Arial"/>
          <w:i/>
        </w:rPr>
        <w:t>“</w:t>
      </w:r>
      <w:r w:rsidRPr="00B35C04">
        <w:rPr>
          <w:rFonts w:ascii="Arial" w:hAnsi="Arial" w:cs="Arial"/>
          <w:b/>
          <w:i/>
        </w:rPr>
        <w:t>ARTÍCULO 173</w:t>
      </w:r>
      <w:r w:rsidRPr="00B35C04">
        <w:rPr>
          <w:rFonts w:ascii="Arial" w:hAnsi="Arial" w:cs="Arial"/>
          <w:i/>
        </w:rPr>
        <w:t>.- La valoración de las pruebas se hará de acuerdo con las siguientes reglas:</w:t>
      </w:r>
    </w:p>
    <w:p w14:paraId="2B1842A7" w14:textId="77777777" w:rsidR="0023680F" w:rsidRPr="00B35C04" w:rsidRDefault="0023680F" w:rsidP="0023680F">
      <w:pPr>
        <w:pStyle w:val="Textonotapie"/>
        <w:jc w:val="both"/>
        <w:rPr>
          <w:rFonts w:ascii="Arial" w:hAnsi="Arial" w:cs="Arial"/>
          <w:i/>
          <w:lang w:val="es-MX"/>
        </w:rPr>
      </w:pPr>
      <w:r w:rsidRPr="00B35C04">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 w:id="4">
    <w:p w14:paraId="5CC1D0C4" w14:textId="77777777" w:rsidR="0023680F" w:rsidRPr="00766B53" w:rsidRDefault="0023680F" w:rsidP="0023680F">
      <w:pPr>
        <w:pStyle w:val="Textonotapie"/>
        <w:jc w:val="both"/>
        <w:rPr>
          <w:rFonts w:ascii="Arial" w:hAnsi="Arial" w:cs="Arial"/>
          <w:i/>
        </w:rPr>
      </w:pPr>
      <w:r w:rsidRPr="00766B53">
        <w:rPr>
          <w:rStyle w:val="Refdenotaalpie"/>
          <w:rFonts w:ascii="Arial" w:hAnsi="Arial" w:cs="Arial"/>
          <w:i/>
        </w:rPr>
        <w:footnoteRef/>
      </w:r>
      <w:r>
        <w:rPr>
          <w:rFonts w:ascii="Arial" w:hAnsi="Arial" w:cs="Arial"/>
          <w:i/>
        </w:rPr>
        <w:t xml:space="preserve"> visibles a fojas 16 a 19 del expediente </w:t>
      </w:r>
      <w:r w:rsidRPr="00766B53">
        <w:rPr>
          <w:rFonts w:ascii="Arial" w:hAnsi="Arial" w:cs="Arial"/>
          <w:i/>
        </w:rPr>
        <w:t xml:space="preserve">de Primera Instancia. </w:t>
      </w:r>
    </w:p>
  </w:footnote>
  <w:footnote w:id="5">
    <w:p w14:paraId="1272CFB7" w14:textId="77777777" w:rsidR="0023680F" w:rsidRPr="004F6133" w:rsidRDefault="0023680F" w:rsidP="0023680F">
      <w:pPr>
        <w:pStyle w:val="Textonotapie"/>
        <w:rPr>
          <w:lang w:val="es-MX"/>
        </w:rPr>
      </w:pPr>
      <w:r>
        <w:rPr>
          <w:rStyle w:val="Refdenotaalpie"/>
        </w:rPr>
        <w:footnoteRef/>
      </w:r>
      <w:r>
        <w:t xml:space="preserve"> </w:t>
      </w:r>
      <w:r>
        <w:rPr>
          <w:lang w:val="es-MX"/>
        </w:rPr>
        <w:t>Visible de foja 23 29 del expediente de nulidad de origen.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5A2D24B9" w14:textId="77777777" w:rsidR="00E61AB6" w:rsidRDefault="00E61AB6" w:rsidP="00D25099">
        <w:pPr>
          <w:pStyle w:val="Encabezado"/>
          <w:jc w:val="center"/>
        </w:pPr>
        <w:r>
          <w:fldChar w:fldCharType="begin"/>
        </w:r>
        <w:r>
          <w:instrText>PAGE   \* MERGEFORMAT</w:instrText>
        </w:r>
        <w:r>
          <w:fldChar w:fldCharType="separate"/>
        </w:r>
        <w:r w:rsidR="004A0CAC">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7C21C356" w14:textId="77777777" w:rsidR="00E61AB6" w:rsidRDefault="00E61AB6" w:rsidP="00206B99">
        <w:pPr>
          <w:pStyle w:val="Encabezado"/>
          <w:jc w:val="center"/>
          <w:rPr>
            <w:noProof/>
          </w:rPr>
        </w:pPr>
        <w:r>
          <w:fldChar w:fldCharType="begin"/>
        </w:r>
        <w:r>
          <w:instrText xml:space="preserve"> PAGE   \* MERGEFORMAT </w:instrText>
        </w:r>
        <w:r>
          <w:fldChar w:fldCharType="separate"/>
        </w:r>
        <w:r w:rsidR="004A0CAC">
          <w:rPr>
            <w:noProof/>
          </w:rPr>
          <w:t>1</w:t>
        </w:r>
        <w:r>
          <w:rPr>
            <w:noProof/>
          </w:rPr>
          <w:fldChar w:fldCharType="end"/>
        </w:r>
      </w:p>
      <w:p w14:paraId="364FC47C" w14:textId="77777777" w:rsidR="00E61AB6" w:rsidRDefault="00B450FB" w:rsidP="008C74CA">
        <w:pPr>
          <w:pStyle w:val="Encabezado"/>
          <w:jc w:val="center"/>
        </w:pPr>
      </w:p>
    </w:sdtContent>
  </w:sdt>
  <w:p w14:paraId="2D31A7D5" w14:textId="77777777" w:rsidR="00E61AB6" w:rsidRDefault="00E61AB6" w:rsidP="00256B01">
    <w:pPr>
      <w:pStyle w:val="Encabezado"/>
      <w:jc w:val="center"/>
    </w:pPr>
  </w:p>
  <w:p w14:paraId="65006799" w14:textId="77777777" w:rsidR="00E61AB6" w:rsidRDefault="00E61AB6" w:rsidP="00256B01">
    <w:pPr>
      <w:pStyle w:val="Encabezado"/>
      <w:jc w:val="center"/>
    </w:pPr>
    <w:r>
      <w:rPr>
        <w:noProof/>
        <w:lang w:val="es-MX" w:eastAsia="es-MX"/>
      </w:rPr>
      <w:drawing>
        <wp:anchor distT="0" distB="0" distL="114300" distR="114300" simplePos="0" relativeHeight="251661312" behindDoc="1" locked="0" layoutInCell="1" allowOverlap="1" wp14:anchorId="49BB2560" wp14:editId="2B95B4FC">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294CEA9C" wp14:editId="06D12BF5">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AED784E"/>
    <w:multiLevelType w:val="hybridMultilevel"/>
    <w:tmpl w:val="E0302C5E"/>
    <w:lvl w:ilvl="0" w:tplc="3A46FBF0">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F2B3FA2"/>
    <w:multiLevelType w:val="hybridMultilevel"/>
    <w:tmpl w:val="5A700EB4"/>
    <w:lvl w:ilvl="0" w:tplc="D0585FD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777D70"/>
    <w:multiLevelType w:val="hybridMultilevel"/>
    <w:tmpl w:val="FB54585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6DF11478"/>
    <w:multiLevelType w:val="hybridMultilevel"/>
    <w:tmpl w:val="EEBC4A1E"/>
    <w:lvl w:ilvl="0" w:tplc="62B086C6">
      <w:start w:val="1"/>
      <w:numFmt w:val="lowerLetter"/>
      <w:lvlText w:val="%1)"/>
      <w:lvlJc w:val="left"/>
      <w:pPr>
        <w:ind w:left="2484" w:hanging="360"/>
      </w:pPr>
      <w:rPr>
        <w:rFonts w:hint="default"/>
      </w:rPr>
    </w:lvl>
    <w:lvl w:ilvl="1" w:tplc="080A0019" w:tentative="1">
      <w:start w:val="1"/>
      <w:numFmt w:val="lowerLetter"/>
      <w:lvlText w:val="%2."/>
      <w:lvlJc w:val="left"/>
      <w:pPr>
        <w:ind w:left="3204" w:hanging="360"/>
      </w:pPr>
    </w:lvl>
    <w:lvl w:ilvl="2" w:tplc="080A001B" w:tentative="1">
      <w:start w:val="1"/>
      <w:numFmt w:val="lowerRoman"/>
      <w:lvlText w:val="%3."/>
      <w:lvlJc w:val="right"/>
      <w:pPr>
        <w:ind w:left="3924" w:hanging="180"/>
      </w:pPr>
    </w:lvl>
    <w:lvl w:ilvl="3" w:tplc="080A000F" w:tentative="1">
      <w:start w:val="1"/>
      <w:numFmt w:val="decimal"/>
      <w:lvlText w:val="%4."/>
      <w:lvlJc w:val="left"/>
      <w:pPr>
        <w:ind w:left="4644" w:hanging="360"/>
      </w:pPr>
    </w:lvl>
    <w:lvl w:ilvl="4" w:tplc="080A0019" w:tentative="1">
      <w:start w:val="1"/>
      <w:numFmt w:val="lowerLetter"/>
      <w:lvlText w:val="%5."/>
      <w:lvlJc w:val="left"/>
      <w:pPr>
        <w:ind w:left="5364" w:hanging="360"/>
      </w:pPr>
    </w:lvl>
    <w:lvl w:ilvl="5" w:tplc="080A001B" w:tentative="1">
      <w:start w:val="1"/>
      <w:numFmt w:val="lowerRoman"/>
      <w:lvlText w:val="%6."/>
      <w:lvlJc w:val="right"/>
      <w:pPr>
        <w:ind w:left="6084" w:hanging="180"/>
      </w:pPr>
    </w:lvl>
    <w:lvl w:ilvl="6" w:tplc="080A000F" w:tentative="1">
      <w:start w:val="1"/>
      <w:numFmt w:val="decimal"/>
      <w:lvlText w:val="%7."/>
      <w:lvlJc w:val="left"/>
      <w:pPr>
        <w:ind w:left="6804" w:hanging="360"/>
      </w:pPr>
    </w:lvl>
    <w:lvl w:ilvl="7" w:tplc="080A0019" w:tentative="1">
      <w:start w:val="1"/>
      <w:numFmt w:val="lowerLetter"/>
      <w:lvlText w:val="%8."/>
      <w:lvlJc w:val="left"/>
      <w:pPr>
        <w:ind w:left="7524" w:hanging="360"/>
      </w:pPr>
    </w:lvl>
    <w:lvl w:ilvl="8" w:tplc="080A001B" w:tentative="1">
      <w:start w:val="1"/>
      <w:numFmt w:val="lowerRoman"/>
      <w:lvlText w:val="%9."/>
      <w:lvlJc w:val="right"/>
      <w:pPr>
        <w:ind w:left="8244"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8214B24"/>
    <w:multiLevelType w:val="hybridMultilevel"/>
    <w:tmpl w:val="6D2A41E6"/>
    <w:lvl w:ilvl="0" w:tplc="1B04D53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5"/>
  </w:num>
  <w:num w:numId="7">
    <w:abstractNumId w:val="2"/>
  </w:num>
  <w:num w:numId="8">
    <w:abstractNumId w:val="8"/>
  </w:num>
  <w:num w:numId="9">
    <w:abstractNumId w:val="6"/>
  </w:num>
  <w:num w:numId="10">
    <w:abstractNumId w:val="7"/>
  </w:num>
  <w:num w:numId="11">
    <w:abstractNumId w:val="14"/>
  </w:num>
  <w:num w:numId="12">
    <w:abstractNumId w:val="4"/>
  </w:num>
  <w:num w:numId="13">
    <w:abstractNumId w:val="10"/>
  </w:num>
  <w:num w:numId="14">
    <w:abstractNumId w:val="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DC"/>
    <w:rsid w:val="00004A31"/>
    <w:rsid w:val="0000725B"/>
    <w:rsid w:val="00011594"/>
    <w:rsid w:val="000138F0"/>
    <w:rsid w:val="00013E4D"/>
    <w:rsid w:val="000169A3"/>
    <w:rsid w:val="00017C09"/>
    <w:rsid w:val="0002043C"/>
    <w:rsid w:val="00021DF1"/>
    <w:rsid w:val="0002236D"/>
    <w:rsid w:val="00023C0F"/>
    <w:rsid w:val="00026119"/>
    <w:rsid w:val="000265E3"/>
    <w:rsid w:val="00026C11"/>
    <w:rsid w:val="000330FB"/>
    <w:rsid w:val="0003331C"/>
    <w:rsid w:val="00035047"/>
    <w:rsid w:val="00035379"/>
    <w:rsid w:val="00036D01"/>
    <w:rsid w:val="000410A1"/>
    <w:rsid w:val="00041D15"/>
    <w:rsid w:val="0004288B"/>
    <w:rsid w:val="00042B31"/>
    <w:rsid w:val="0004387E"/>
    <w:rsid w:val="000451B6"/>
    <w:rsid w:val="0004575F"/>
    <w:rsid w:val="000458B9"/>
    <w:rsid w:val="00045A11"/>
    <w:rsid w:val="00050B7F"/>
    <w:rsid w:val="00053617"/>
    <w:rsid w:val="00053C13"/>
    <w:rsid w:val="00055CE8"/>
    <w:rsid w:val="0005701D"/>
    <w:rsid w:val="00057174"/>
    <w:rsid w:val="00057817"/>
    <w:rsid w:val="000612E4"/>
    <w:rsid w:val="000616B5"/>
    <w:rsid w:val="00061ABC"/>
    <w:rsid w:val="00061FEE"/>
    <w:rsid w:val="0006757B"/>
    <w:rsid w:val="00070777"/>
    <w:rsid w:val="00070E09"/>
    <w:rsid w:val="00070EF0"/>
    <w:rsid w:val="000737BF"/>
    <w:rsid w:val="0007458B"/>
    <w:rsid w:val="000752E9"/>
    <w:rsid w:val="0007568E"/>
    <w:rsid w:val="00075FE9"/>
    <w:rsid w:val="00076CEA"/>
    <w:rsid w:val="000803AB"/>
    <w:rsid w:val="00081361"/>
    <w:rsid w:val="000822AF"/>
    <w:rsid w:val="00083BEB"/>
    <w:rsid w:val="00085132"/>
    <w:rsid w:val="000856F6"/>
    <w:rsid w:val="00085F69"/>
    <w:rsid w:val="000862F6"/>
    <w:rsid w:val="00090B95"/>
    <w:rsid w:val="00093F83"/>
    <w:rsid w:val="00094546"/>
    <w:rsid w:val="0009618C"/>
    <w:rsid w:val="000961D2"/>
    <w:rsid w:val="000A1494"/>
    <w:rsid w:val="000A4E40"/>
    <w:rsid w:val="000A6360"/>
    <w:rsid w:val="000A6EC7"/>
    <w:rsid w:val="000A71C1"/>
    <w:rsid w:val="000A7BA9"/>
    <w:rsid w:val="000B0E70"/>
    <w:rsid w:val="000B1A06"/>
    <w:rsid w:val="000B2429"/>
    <w:rsid w:val="000B2654"/>
    <w:rsid w:val="000B3B3B"/>
    <w:rsid w:val="000B4122"/>
    <w:rsid w:val="000C1D4F"/>
    <w:rsid w:val="000C1F7C"/>
    <w:rsid w:val="000C313C"/>
    <w:rsid w:val="000C3DBF"/>
    <w:rsid w:val="000C4061"/>
    <w:rsid w:val="000C5F37"/>
    <w:rsid w:val="000D0E1D"/>
    <w:rsid w:val="000D1BD0"/>
    <w:rsid w:val="000D29A1"/>
    <w:rsid w:val="000D2FDE"/>
    <w:rsid w:val="000D3A61"/>
    <w:rsid w:val="000D6784"/>
    <w:rsid w:val="000E12D3"/>
    <w:rsid w:val="000E218B"/>
    <w:rsid w:val="000E2E24"/>
    <w:rsid w:val="000E322A"/>
    <w:rsid w:val="000E661D"/>
    <w:rsid w:val="000E7B02"/>
    <w:rsid w:val="000F018A"/>
    <w:rsid w:val="000F162C"/>
    <w:rsid w:val="000F1C5E"/>
    <w:rsid w:val="000F3FF9"/>
    <w:rsid w:val="000F54B0"/>
    <w:rsid w:val="000F5D12"/>
    <w:rsid w:val="000F62C3"/>
    <w:rsid w:val="000F7CF6"/>
    <w:rsid w:val="000F7D7D"/>
    <w:rsid w:val="00103D64"/>
    <w:rsid w:val="00103FE7"/>
    <w:rsid w:val="00104403"/>
    <w:rsid w:val="001058D3"/>
    <w:rsid w:val="00105DF0"/>
    <w:rsid w:val="0010644A"/>
    <w:rsid w:val="00111465"/>
    <w:rsid w:val="00111B33"/>
    <w:rsid w:val="00111BFC"/>
    <w:rsid w:val="001144A1"/>
    <w:rsid w:val="00114AC5"/>
    <w:rsid w:val="00116579"/>
    <w:rsid w:val="00117924"/>
    <w:rsid w:val="00120740"/>
    <w:rsid w:val="001208F4"/>
    <w:rsid w:val="00121600"/>
    <w:rsid w:val="0012217B"/>
    <w:rsid w:val="00122F5E"/>
    <w:rsid w:val="001249CE"/>
    <w:rsid w:val="00125C8E"/>
    <w:rsid w:val="00126917"/>
    <w:rsid w:val="00126F80"/>
    <w:rsid w:val="00127839"/>
    <w:rsid w:val="00127D14"/>
    <w:rsid w:val="00130500"/>
    <w:rsid w:val="001308D4"/>
    <w:rsid w:val="00131CDF"/>
    <w:rsid w:val="00132794"/>
    <w:rsid w:val="00133C57"/>
    <w:rsid w:val="00133D64"/>
    <w:rsid w:val="00136897"/>
    <w:rsid w:val="0014067A"/>
    <w:rsid w:val="00140B67"/>
    <w:rsid w:val="00141175"/>
    <w:rsid w:val="00142893"/>
    <w:rsid w:val="001438A5"/>
    <w:rsid w:val="001441D3"/>
    <w:rsid w:val="0014459C"/>
    <w:rsid w:val="0014484E"/>
    <w:rsid w:val="0014634E"/>
    <w:rsid w:val="00146509"/>
    <w:rsid w:val="00147A8B"/>
    <w:rsid w:val="00151D48"/>
    <w:rsid w:val="00152A17"/>
    <w:rsid w:val="00152D3F"/>
    <w:rsid w:val="00152EF4"/>
    <w:rsid w:val="0015351E"/>
    <w:rsid w:val="00154584"/>
    <w:rsid w:val="00154C09"/>
    <w:rsid w:val="0015751B"/>
    <w:rsid w:val="00164061"/>
    <w:rsid w:val="0016462A"/>
    <w:rsid w:val="00164BAD"/>
    <w:rsid w:val="00171831"/>
    <w:rsid w:val="00172205"/>
    <w:rsid w:val="00172B29"/>
    <w:rsid w:val="001761CB"/>
    <w:rsid w:val="00177C76"/>
    <w:rsid w:val="00180F55"/>
    <w:rsid w:val="001822E2"/>
    <w:rsid w:val="001827CF"/>
    <w:rsid w:val="001843E8"/>
    <w:rsid w:val="00184B23"/>
    <w:rsid w:val="001858DC"/>
    <w:rsid w:val="00186B0E"/>
    <w:rsid w:val="00190DE9"/>
    <w:rsid w:val="00191A27"/>
    <w:rsid w:val="00192287"/>
    <w:rsid w:val="00194A88"/>
    <w:rsid w:val="00194C5C"/>
    <w:rsid w:val="00195155"/>
    <w:rsid w:val="00195F2D"/>
    <w:rsid w:val="0019600D"/>
    <w:rsid w:val="001A2DD1"/>
    <w:rsid w:val="001A2EEB"/>
    <w:rsid w:val="001A3755"/>
    <w:rsid w:val="001A5951"/>
    <w:rsid w:val="001A5B4D"/>
    <w:rsid w:val="001A608E"/>
    <w:rsid w:val="001A7D56"/>
    <w:rsid w:val="001B1297"/>
    <w:rsid w:val="001B40F8"/>
    <w:rsid w:val="001B469D"/>
    <w:rsid w:val="001B6227"/>
    <w:rsid w:val="001C0740"/>
    <w:rsid w:val="001C085D"/>
    <w:rsid w:val="001C1FCF"/>
    <w:rsid w:val="001C3488"/>
    <w:rsid w:val="001C429B"/>
    <w:rsid w:val="001C4AAC"/>
    <w:rsid w:val="001C6A1B"/>
    <w:rsid w:val="001D0254"/>
    <w:rsid w:val="001D0A5A"/>
    <w:rsid w:val="001D2397"/>
    <w:rsid w:val="001D27A6"/>
    <w:rsid w:val="001D3995"/>
    <w:rsid w:val="001D3B81"/>
    <w:rsid w:val="001D4ABD"/>
    <w:rsid w:val="001D68F4"/>
    <w:rsid w:val="001D694C"/>
    <w:rsid w:val="001D730F"/>
    <w:rsid w:val="001D7F75"/>
    <w:rsid w:val="001D7FCD"/>
    <w:rsid w:val="001E1453"/>
    <w:rsid w:val="001E1758"/>
    <w:rsid w:val="001E3B11"/>
    <w:rsid w:val="001E503D"/>
    <w:rsid w:val="001E631B"/>
    <w:rsid w:val="001E680E"/>
    <w:rsid w:val="001E713F"/>
    <w:rsid w:val="001F03C6"/>
    <w:rsid w:val="001F3EC3"/>
    <w:rsid w:val="001F6B9A"/>
    <w:rsid w:val="001F72DF"/>
    <w:rsid w:val="00200843"/>
    <w:rsid w:val="0020247E"/>
    <w:rsid w:val="00202ECA"/>
    <w:rsid w:val="00203FD3"/>
    <w:rsid w:val="00205B4A"/>
    <w:rsid w:val="00206222"/>
    <w:rsid w:val="00206B99"/>
    <w:rsid w:val="002113FA"/>
    <w:rsid w:val="00211AEE"/>
    <w:rsid w:val="00211DEF"/>
    <w:rsid w:val="00212CDB"/>
    <w:rsid w:val="00212D0A"/>
    <w:rsid w:val="002142F8"/>
    <w:rsid w:val="00214B69"/>
    <w:rsid w:val="00216474"/>
    <w:rsid w:val="00216595"/>
    <w:rsid w:val="0021705A"/>
    <w:rsid w:val="00220280"/>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680F"/>
    <w:rsid w:val="00236BA4"/>
    <w:rsid w:val="002378DE"/>
    <w:rsid w:val="00242891"/>
    <w:rsid w:val="00243181"/>
    <w:rsid w:val="0024497C"/>
    <w:rsid w:val="00245BAC"/>
    <w:rsid w:val="00246862"/>
    <w:rsid w:val="00246915"/>
    <w:rsid w:val="00246F70"/>
    <w:rsid w:val="00247875"/>
    <w:rsid w:val="00247D11"/>
    <w:rsid w:val="00254ED2"/>
    <w:rsid w:val="00256B01"/>
    <w:rsid w:val="00256DFE"/>
    <w:rsid w:val="0025722F"/>
    <w:rsid w:val="00261857"/>
    <w:rsid w:val="00262666"/>
    <w:rsid w:val="00263720"/>
    <w:rsid w:val="00265058"/>
    <w:rsid w:val="0026762A"/>
    <w:rsid w:val="00267A88"/>
    <w:rsid w:val="00271A24"/>
    <w:rsid w:val="00271BBE"/>
    <w:rsid w:val="002729E4"/>
    <w:rsid w:val="00273171"/>
    <w:rsid w:val="00274366"/>
    <w:rsid w:val="00275D15"/>
    <w:rsid w:val="002802EC"/>
    <w:rsid w:val="002805AC"/>
    <w:rsid w:val="002811D0"/>
    <w:rsid w:val="0028174E"/>
    <w:rsid w:val="0028299E"/>
    <w:rsid w:val="002836D7"/>
    <w:rsid w:val="00283967"/>
    <w:rsid w:val="00283B3F"/>
    <w:rsid w:val="0028420C"/>
    <w:rsid w:val="002844AF"/>
    <w:rsid w:val="002870CA"/>
    <w:rsid w:val="002908C0"/>
    <w:rsid w:val="00291333"/>
    <w:rsid w:val="00292316"/>
    <w:rsid w:val="002923BB"/>
    <w:rsid w:val="00292C7D"/>
    <w:rsid w:val="00293A57"/>
    <w:rsid w:val="0029542B"/>
    <w:rsid w:val="00296549"/>
    <w:rsid w:val="00296748"/>
    <w:rsid w:val="00297F23"/>
    <w:rsid w:val="002A0B1C"/>
    <w:rsid w:val="002A28E5"/>
    <w:rsid w:val="002A2985"/>
    <w:rsid w:val="002A4088"/>
    <w:rsid w:val="002A411F"/>
    <w:rsid w:val="002A5510"/>
    <w:rsid w:val="002A63FB"/>
    <w:rsid w:val="002A6EF0"/>
    <w:rsid w:val="002A72DF"/>
    <w:rsid w:val="002A7D29"/>
    <w:rsid w:val="002B2AF4"/>
    <w:rsid w:val="002B3CD7"/>
    <w:rsid w:val="002B5C82"/>
    <w:rsid w:val="002B73F3"/>
    <w:rsid w:val="002B7422"/>
    <w:rsid w:val="002B79C4"/>
    <w:rsid w:val="002C01EA"/>
    <w:rsid w:val="002C0324"/>
    <w:rsid w:val="002C1CEA"/>
    <w:rsid w:val="002C291C"/>
    <w:rsid w:val="002C68FE"/>
    <w:rsid w:val="002C7363"/>
    <w:rsid w:val="002D0ACC"/>
    <w:rsid w:val="002D1979"/>
    <w:rsid w:val="002D2BC6"/>
    <w:rsid w:val="002D3B49"/>
    <w:rsid w:val="002D7BCE"/>
    <w:rsid w:val="002E07CB"/>
    <w:rsid w:val="002E26EB"/>
    <w:rsid w:val="002E30AB"/>
    <w:rsid w:val="002E31CA"/>
    <w:rsid w:val="002E5004"/>
    <w:rsid w:val="002E796C"/>
    <w:rsid w:val="002F19AF"/>
    <w:rsid w:val="002F45B6"/>
    <w:rsid w:val="002F4F72"/>
    <w:rsid w:val="002F69D0"/>
    <w:rsid w:val="002F7173"/>
    <w:rsid w:val="002F7484"/>
    <w:rsid w:val="002F7C56"/>
    <w:rsid w:val="00302511"/>
    <w:rsid w:val="00302C57"/>
    <w:rsid w:val="00303020"/>
    <w:rsid w:val="003032E2"/>
    <w:rsid w:val="00304999"/>
    <w:rsid w:val="003076B0"/>
    <w:rsid w:val="00307E06"/>
    <w:rsid w:val="00310EFD"/>
    <w:rsid w:val="00312470"/>
    <w:rsid w:val="003124A7"/>
    <w:rsid w:val="00315C76"/>
    <w:rsid w:val="0031730E"/>
    <w:rsid w:val="00317BA9"/>
    <w:rsid w:val="00321708"/>
    <w:rsid w:val="00321AAB"/>
    <w:rsid w:val="00321C10"/>
    <w:rsid w:val="003253CA"/>
    <w:rsid w:val="003312FD"/>
    <w:rsid w:val="00331836"/>
    <w:rsid w:val="0033426E"/>
    <w:rsid w:val="0033591A"/>
    <w:rsid w:val="00335EF4"/>
    <w:rsid w:val="00337583"/>
    <w:rsid w:val="0034180B"/>
    <w:rsid w:val="00342CE5"/>
    <w:rsid w:val="00343662"/>
    <w:rsid w:val="00345FEC"/>
    <w:rsid w:val="003462AA"/>
    <w:rsid w:val="003505C2"/>
    <w:rsid w:val="00351298"/>
    <w:rsid w:val="003548E8"/>
    <w:rsid w:val="00355E72"/>
    <w:rsid w:val="00360A0B"/>
    <w:rsid w:val="00362E0E"/>
    <w:rsid w:val="003633B9"/>
    <w:rsid w:val="003646B9"/>
    <w:rsid w:val="003667C2"/>
    <w:rsid w:val="003708D3"/>
    <w:rsid w:val="003731F5"/>
    <w:rsid w:val="00373BA6"/>
    <w:rsid w:val="003749AE"/>
    <w:rsid w:val="00375176"/>
    <w:rsid w:val="003779D8"/>
    <w:rsid w:val="00380BAC"/>
    <w:rsid w:val="003818BD"/>
    <w:rsid w:val="00381DC3"/>
    <w:rsid w:val="00382FD0"/>
    <w:rsid w:val="003873E7"/>
    <w:rsid w:val="00387C97"/>
    <w:rsid w:val="003911F5"/>
    <w:rsid w:val="00391ED4"/>
    <w:rsid w:val="00392CD9"/>
    <w:rsid w:val="00395197"/>
    <w:rsid w:val="00395802"/>
    <w:rsid w:val="003965ED"/>
    <w:rsid w:val="00397FC3"/>
    <w:rsid w:val="003A0ACC"/>
    <w:rsid w:val="003A1F55"/>
    <w:rsid w:val="003A3A38"/>
    <w:rsid w:val="003A6E94"/>
    <w:rsid w:val="003B1512"/>
    <w:rsid w:val="003B1F45"/>
    <w:rsid w:val="003B20F0"/>
    <w:rsid w:val="003B2E9F"/>
    <w:rsid w:val="003B2FF4"/>
    <w:rsid w:val="003B303C"/>
    <w:rsid w:val="003B373B"/>
    <w:rsid w:val="003B4BAF"/>
    <w:rsid w:val="003B4FA7"/>
    <w:rsid w:val="003B68EA"/>
    <w:rsid w:val="003B6C7E"/>
    <w:rsid w:val="003B7C3A"/>
    <w:rsid w:val="003B7C7A"/>
    <w:rsid w:val="003C0AC1"/>
    <w:rsid w:val="003C3C72"/>
    <w:rsid w:val="003C4A93"/>
    <w:rsid w:val="003C63BE"/>
    <w:rsid w:val="003C6F64"/>
    <w:rsid w:val="003C7351"/>
    <w:rsid w:val="003D1C8C"/>
    <w:rsid w:val="003D1EF2"/>
    <w:rsid w:val="003D5E2A"/>
    <w:rsid w:val="003D62DC"/>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1B8B"/>
    <w:rsid w:val="003F47AD"/>
    <w:rsid w:val="003F5E8A"/>
    <w:rsid w:val="003F7C34"/>
    <w:rsid w:val="00400164"/>
    <w:rsid w:val="004029F5"/>
    <w:rsid w:val="00403D47"/>
    <w:rsid w:val="0040457E"/>
    <w:rsid w:val="00404D0E"/>
    <w:rsid w:val="00405695"/>
    <w:rsid w:val="00407B2F"/>
    <w:rsid w:val="00411707"/>
    <w:rsid w:val="00412972"/>
    <w:rsid w:val="0041349D"/>
    <w:rsid w:val="004138D3"/>
    <w:rsid w:val="0041760B"/>
    <w:rsid w:val="00417A04"/>
    <w:rsid w:val="00423A9D"/>
    <w:rsid w:val="00424229"/>
    <w:rsid w:val="00425A0A"/>
    <w:rsid w:val="00425E38"/>
    <w:rsid w:val="00427081"/>
    <w:rsid w:val="00427DB7"/>
    <w:rsid w:val="0043026A"/>
    <w:rsid w:val="00433FAD"/>
    <w:rsid w:val="004365BF"/>
    <w:rsid w:val="004374C9"/>
    <w:rsid w:val="004400FB"/>
    <w:rsid w:val="004407BC"/>
    <w:rsid w:val="00441D6B"/>
    <w:rsid w:val="004426E6"/>
    <w:rsid w:val="00444733"/>
    <w:rsid w:val="004503A6"/>
    <w:rsid w:val="00454494"/>
    <w:rsid w:val="00454525"/>
    <w:rsid w:val="004547D3"/>
    <w:rsid w:val="004567C7"/>
    <w:rsid w:val="00457CC7"/>
    <w:rsid w:val="00460696"/>
    <w:rsid w:val="004633DC"/>
    <w:rsid w:val="004715AF"/>
    <w:rsid w:val="00472E19"/>
    <w:rsid w:val="0047436D"/>
    <w:rsid w:val="00474E30"/>
    <w:rsid w:val="0047763B"/>
    <w:rsid w:val="00477B24"/>
    <w:rsid w:val="00485388"/>
    <w:rsid w:val="004870D8"/>
    <w:rsid w:val="00491DA5"/>
    <w:rsid w:val="004961AD"/>
    <w:rsid w:val="00496E71"/>
    <w:rsid w:val="00497E3B"/>
    <w:rsid w:val="004A0CAC"/>
    <w:rsid w:val="004A1C7E"/>
    <w:rsid w:val="004A2326"/>
    <w:rsid w:val="004A319F"/>
    <w:rsid w:val="004A4ECC"/>
    <w:rsid w:val="004A54A3"/>
    <w:rsid w:val="004B0F4C"/>
    <w:rsid w:val="004B2234"/>
    <w:rsid w:val="004B3A33"/>
    <w:rsid w:val="004B3D2E"/>
    <w:rsid w:val="004B483F"/>
    <w:rsid w:val="004B6F87"/>
    <w:rsid w:val="004B748E"/>
    <w:rsid w:val="004B74CE"/>
    <w:rsid w:val="004B7A3D"/>
    <w:rsid w:val="004C10F3"/>
    <w:rsid w:val="004C20AC"/>
    <w:rsid w:val="004C3E13"/>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43DB"/>
    <w:rsid w:val="004E570F"/>
    <w:rsid w:val="004E661E"/>
    <w:rsid w:val="004F03BE"/>
    <w:rsid w:val="004F151E"/>
    <w:rsid w:val="004F1CDA"/>
    <w:rsid w:val="004F3CA8"/>
    <w:rsid w:val="004F3D2D"/>
    <w:rsid w:val="004F4970"/>
    <w:rsid w:val="004F4B8D"/>
    <w:rsid w:val="004F5821"/>
    <w:rsid w:val="004F674E"/>
    <w:rsid w:val="00501DFC"/>
    <w:rsid w:val="00501EAB"/>
    <w:rsid w:val="005043E1"/>
    <w:rsid w:val="00504407"/>
    <w:rsid w:val="005053FA"/>
    <w:rsid w:val="00505B50"/>
    <w:rsid w:val="005068F2"/>
    <w:rsid w:val="00510956"/>
    <w:rsid w:val="00510C9F"/>
    <w:rsid w:val="0051131D"/>
    <w:rsid w:val="005115C3"/>
    <w:rsid w:val="00512FF2"/>
    <w:rsid w:val="0051428C"/>
    <w:rsid w:val="00515E05"/>
    <w:rsid w:val="00516F56"/>
    <w:rsid w:val="00517C59"/>
    <w:rsid w:val="00520000"/>
    <w:rsid w:val="00521C06"/>
    <w:rsid w:val="00524659"/>
    <w:rsid w:val="00526DC4"/>
    <w:rsid w:val="005300DF"/>
    <w:rsid w:val="00531A5A"/>
    <w:rsid w:val="00531A6D"/>
    <w:rsid w:val="00531B0F"/>
    <w:rsid w:val="00531B2A"/>
    <w:rsid w:val="00531DE3"/>
    <w:rsid w:val="0053422E"/>
    <w:rsid w:val="00534C95"/>
    <w:rsid w:val="00535B74"/>
    <w:rsid w:val="00535C19"/>
    <w:rsid w:val="0053715D"/>
    <w:rsid w:val="005410B3"/>
    <w:rsid w:val="00541ACF"/>
    <w:rsid w:val="00541B18"/>
    <w:rsid w:val="00542671"/>
    <w:rsid w:val="00542F3C"/>
    <w:rsid w:val="005443FC"/>
    <w:rsid w:val="00544A76"/>
    <w:rsid w:val="00544EE8"/>
    <w:rsid w:val="00545D35"/>
    <w:rsid w:val="005478F9"/>
    <w:rsid w:val="00551263"/>
    <w:rsid w:val="00551897"/>
    <w:rsid w:val="00553578"/>
    <w:rsid w:val="00557727"/>
    <w:rsid w:val="005609AA"/>
    <w:rsid w:val="00563B9C"/>
    <w:rsid w:val="00565465"/>
    <w:rsid w:val="00567E8E"/>
    <w:rsid w:val="005700D1"/>
    <w:rsid w:val="00570117"/>
    <w:rsid w:val="0057052D"/>
    <w:rsid w:val="005707BD"/>
    <w:rsid w:val="00571B02"/>
    <w:rsid w:val="005720EB"/>
    <w:rsid w:val="005758AC"/>
    <w:rsid w:val="005770F4"/>
    <w:rsid w:val="005776B9"/>
    <w:rsid w:val="00580F64"/>
    <w:rsid w:val="005817AB"/>
    <w:rsid w:val="005856A6"/>
    <w:rsid w:val="005864C3"/>
    <w:rsid w:val="00587EE4"/>
    <w:rsid w:val="005903F7"/>
    <w:rsid w:val="005913ED"/>
    <w:rsid w:val="00593333"/>
    <w:rsid w:val="00594670"/>
    <w:rsid w:val="00595186"/>
    <w:rsid w:val="00597A8F"/>
    <w:rsid w:val="00597C5A"/>
    <w:rsid w:val="005A0A32"/>
    <w:rsid w:val="005A0D5F"/>
    <w:rsid w:val="005A10FA"/>
    <w:rsid w:val="005A1C28"/>
    <w:rsid w:val="005A3800"/>
    <w:rsid w:val="005A415D"/>
    <w:rsid w:val="005A493F"/>
    <w:rsid w:val="005A717E"/>
    <w:rsid w:val="005B1192"/>
    <w:rsid w:val="005B13A7"/>
    <w:rsid w:val="005B2365"/>
    <w:rsid w:val="005B74A1"/>
    <w:rsid w:val="005C09C8"/>
    <w:rsid w:val="005C0B46"/>
    <w:rsid w:val="005C18BB"/>
    <w:rsid w:val="005C2C8E"/>
    <w:rsid w:val="005C32A7"/>
    <w:rsid w:val="005C3AA7"/>
    <w:rsid w:val="005C414F"/>
    <w:rsid w:val="005C770C"/>
    <w:rsid w:val="005C7C2F"/>
    <w:rsid w:val="005C7EFF"/>
    <w:rsid w:val="005D1684"/>
    <w:rsid w:val="005D3503"/>
    <w:rsid w:val="005D3F0B"/>
    <w:rsid w:val="005D4300"/>
    <w:rsid w:val="005D536A"/>
    <w:rsid w:val="005D5E20"/>
    <w:rsid w:val="005D62CD"/>
    <w:rsid w:val="005D65FC"/>
    <w:rsid w:val="005D74CC"/>
    <w:rsid w:val="005D751A"/>
    <w:rsid w:val="005E18B0"/>
    <w:rsid w:val="005E3275"/>
    <w:rsid w:val="005E40A8"/>
    <w:rsid w:val="005E5273"/>
    <w:rsid w:val="005E76E1"/>
    <w:rsid w:val="005F0B76"/>
    <w:rsid w:val="005F1575"/>
    <w:rsid w:val="005F1FFD"/>
    <w:rsid w:val="005F35AE"/>
    <w:rsid w:val="005F6650"/>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42A0"/>
    <w:rsid w:val="006150FB"/>
    <w:rsid w:val="00621035"/>
    <w:rsid w:val="00621070"/>
    <w:rsid w:val="00626DD6"/>
    <w:rsid w:val="00630C62"/>
    <w:rsid w:val="006331D2"/>
    <w:rsid w:val="00633FA0"/>
    <w:rsid w:val="006345EE"/>
    <w:rsid w:val="006361ED"/>
    <w:rsid w:val="006418C8"/>
    <w:rsid w:val="00641ABB"/>
    <w:rsid w:val="006422F6"/>
    <w:rsid w:val="0064256C"/>
    <w:rsid w:val="006427D9"/>
    <w:rsid w:val="0064316D"/>
    <w:rsid w:val="00643498"/>
    <w:rsid w:val="00643506"/>
    <w:rsid w:val="00645439"/>
    <w:rsid w:val="00645E2A"/>
    <w:rsid w:val="00647B58"/>
    <w:rsid w:val="0065279D"/>
    <w:rsid w:val="00653354"/>
    <w:rsid w:val="006534F5"/>
    <w:rsid w:val="00653C7A"/>
    <w:rsid w:val="00655BA3"/>
    <w:rsid w:val="00655D87"/>
    <w:rsid w:val="006609C0"/>
    <w:rsid w:val="00661E08"/>
    <w:rsid w:val="00662EA5"/>
    <w:rsid w:val="0066306B"/>
    <w:rsid w:val="0066335A"/>
    <w:rsid w:val="0066407D"/>
    <w:rsid w:val="006640C5"/>
    <w:rsid w:val="00667874"/>
    <w:rsid w:val="00670A3B"/>
    <w:rsid w:val="006735F6"/>
    <w:rsid w:val="00674D05"/>
    <w:rsid w:val="00675661"/>
    <w:rsid w:val="00676994"/>
    <w:rsid w:val="00676DFB"/>
    <w:rsid w:val="006776E3"/>
    <w:rsid w:val="0068180A"/>
    <w:rsid w:val="00681F17"/>
    <w:rsid w:val="00682164"/>
    <w:rsid w:val="006826DA"/>
    <w:rsid w:val="0068325D"/>
    <w:rsid w:val="00683DC9"/>
    <w:rsid w:val="00685A2A"/>
    <w:rsid w:val="00686E73"/>
    <w:rsid w:val="00687B92"/>
    <w:rsid w:val="006921D8"/>
    <w:rsid w:val="00692778"/>
    <w:rsid w:val="00696616"/>
    <w:rsid w:val="00696F11"/>
    <w:rsid w:val="00697ECB"/>
    <w:rsid w:val="006A141D"/>
    <w:rsid w:val="006A4C24"/>
    <w:rsid w:val="006A5F24"/>
    <w:rsid w:val="006A634D"/>
    <w:rsid w:val="006A6FE7"/>
    <w:rsid w:val="006B0915"/>
    <w:rsid w:val="006B0B08"/>
    <w:rsid w:val="006B10A8"/>
    <w:rsid w:val="006B119B"/>
    <w:rsid w:val="006B201F"/>
    <w:rsid w:val="006B26D3"/>
    <w:rsid w:val="006B3BEA"/>
    <w:rsid w:val="006B4FD6"/>
    <w:rsid w:val="006B52CD"/>
    <w:rsid w:val="006B78C5"/>
    <w:rsid w:val="006C12EE"/>
    <w:rsid w:val="006C1383"/>
    <w:rsid w:val="006C2F23"/>
    <w:rsid w:val="006C31AF"/>
    <w:rsid w:val="006C3540"/>
    <w:rsid w:val="006D1203"/>
    <w:rsid w:val="006D4142"/>
    <w:rsid w:val="006D4B71"/>
    <w:rsid w:val="006D7AAA"/>
    <w:rsid w:val="006D7DDD"/>
    <w:rsid w:val="006E01BD"/>
    <w:rsid w:val="006E04EF"/>
    <w:rsid w:val="006E19FC"/>
    <w:rsid w:val="006E1B16"/>
    <w:rsid w:val="006E22F2"/>
    <w:rsid w:val="006E27BA"/>
    <w:rsid w:val="006E3292"/>
    <w:rsid w:val="006E43D3"/>
    <w:rsid w:val="006E44A9"/>
    <w:rsid w:val="006E6519"/>
    <w:rsid w:val="006F0897"/>
    <w:rsid w:val="006F0D29"/>
    <w:rsid w:val="006F2412"/>
    <w:rsid w:val="006F2D83"/>
    <w:rsid w:val="006F3312"/>
    <w:rsid w:val="006F3363"/>
    <w:rsid w:val="006F53BB"/>
    <w:rsid w:val="006F5760"/>
    <w:rsid w:val="006F6BE0"/>
    <w:rsid w:val="006F72C4"/>
    <w:rsid w:val="00700013"/>
    <w:rsid w:val="0070099B"/>
    <w:rsid w:val="0070169E"/>
    <w:rsid w:val="00701FA5"/>
    <w:rsid w:val="00702862"/>
    <w:rsid w:val="00702D97"/>
    <w:rsid w:val="00703F64"/>
    <w:rsid w:val="00704CD1"/>
    <w:rsid w:val="00705520"/>
    <w:rsid w:val="0070679D"/>
    <w:rsid w:val="00707019"/>
    <w:rsid w:val="00707245"/>
    <w:rsid w:val="00710B03"/>
    <w:rsid w:val="00710E5B"/>
    <w:rsid w:val="00712EE0"/>
    <w:rsid w:val="0071697F"/>
    <w:rsid w:val="0071716F"/>
    <w:rsid w:val="0071748C"/>
    <w:rsid w:val="00720148"/>
    <w:rsid w:val="0072215B"/>
    <w:rsid w:val="0072271C"/>
    <w:rsid w:val="00723286"/>
    <w:rsid w:val="0072595C"/>
    <w:rsid w:val="007272DA"/>
    <w:rsid w:val="00727C09"/>
    <w:rsid w:val="00733866"/>
    <w:rsid w:val="007372AF"/>
    <w:rsid w:val="007372F0"/>
    <w:rsid w:val="007402AF"/>
    <w:rsid w:val="00742461"/>
    <w:rsid w:val="00742758"/>
    <w:rsid w:val="0074315B"/>
    <w:rsid w:val="00745F93"/>
    <w:rsid w:val="00747AB7"/>
    <w:rsid w:val="007508A5"/>
    <w:rsid w:val="00752052"/>
    <w:rsid w:val="00752A88"/>
    <w:rsid w:val="00752B02"/>
    <w:rsid w:val="0075416A"/>
    <w:rsid w:val="00755251"/>
    <w:rsid w:val="007568F4"/>
    <w:rsid w:val="007569A2"/>
    <w:rsid w:val="007571C0"/>
    <w:rsid w:val="0075724E"/>
    <w:rsid w:val="007618AE"/>
    <w:rsid w:val="0076494C"/>
    <w:rsid w:val="00766389"/>
    <w:rsid w:val="0077356E"/>
    <w:rsid w:val="007737E8"/>
    <w:rsid w:val="00773DC9"/>
    <w:rsid w:val="007744C1"/>
    <w:rsid w:val="0077478C"/>
    <w:rsid w:val="007758EE"/>
    <w:rsid w:val="00776E5E"/>
    <w:rsid w:val="0077739D"/>
    <w:rsid w:val="007806D4"/>
    <w:rsid w:val="0078132A"/>
    <w:rsid w:val="00782019"/>
    <w:rsid w:val="0078202A"/>
    <w:rsid w:val="00782337"/>
    <w:rsid w:val="00783317"/>
    <w:rsid w:val="00785325"/>
    <w:rsid w:val="00787152"/>
    <w:rsid w:val="00790C1A"/>
    <w:rsid w:val="00790E52"/>
    <w:rsid w:val="00792E46"/>
    <w:rsid w:val="007931B7"/>
    <w:rsid w:val="00795CE3"/>
    <w:rsid w:val="007A0DD5"/>
    <w:rsid w:val="007A1ABA"/>
    <w:rsid w:val="007A25A8"/>
    <w:rsid w:val="007A2B3C"/>
    <w:rsid w:val="007A3ECB"/>
    <w:rsid w:val="007A4CC0"/>
    <w:rsid w:val="007A6908"/>
    <w:rsid w:val="007B0E0D"/>
    <w:rsid w:val="007B29E4"/>
    <w:rsid w:val="007B448D"/>
    <w:rsid w:val="007B4995"/>
    <w:rsid w:val="007B6958"/>
    <w:rsid w:val="007C4D7C"/>
    <w:rsid w:val="007C4FC7"/>
    <w:rsid w:val="007C5134"/>
    <w:rsid w:val="007C6CD3"/>
    <w:rsid w:val="007C7AD1"/>
    <w:rsid w:val="007D2543"/>
    <w:rsid w:val="007D345B"/>
    <w:rsid w:val="007D4645"/>
    <w:rsid w:val="007D4E0F"/>
    <w:rsid w:val="007D55DA"/>
    <w:rsid w:val="007D6D8D"/>
    <w:rsid w:val="007D7972"/>
    <w:rsid w:val="007E0BAE"/>
    <w:rsid w:val="007E1BC3"/>
    <w:rsid w:val="007E2D66"/>
    <w:rsid w:val="007E32FC"/>
    <w:rsid w:val="007E503E"/>
    <w:rsid w:val="007E52F1"/>
    <w:rsid w:val="007E6C99"/>
    <w:rsid w:val="007E6F05"/>
    <w:rsid w:val="007E7DD4"/>
    <w:rsid w:val="007F0F74"/>
    <w:rsid w:val="007F1451"/>
    <w:rsid w:val="007F3488"/>
    <w:rsid w:val="007F4057"/>
    <w:rsid w:val="007F43B4"/>
    <w:rsid w:val="007F4ED0"/>
    <w:rsid w:val="007F566C"/>
    <w:rsid w:val="007F5AE4"/>
    <w:rsid w:val="007F62DC"/>
    <w:rsid w:val="007F64F9"/>
    <w:rsid w:val="007F7B65"/>
    <w:rsid w:val="007F7BAE"/>
    <w:rsid w:val="007F7F91"/>
    <w:rsid w:val="0080043A"/>
    <w:rsid w:val="008014CB"/>
    <w:rsid w:val="00801F35"/>
    <w:rsid w:val="0080399F"/>
    <w:rsid w:val="00805C67"/>
    <w:rsid w:val="00807736"/>
    <w:rsid w:val="00807A29"/>
    <w:rsid w:val="00807D70"/>
    <w:rsid w:val="00815878"/>
    <w:rsid w:val="008158F8"/>
    <w:rsid w:val="0082010D"/>
    <w:rsid w:val="00821C04"/>
    <w:rsid w:val="008229A4"/>
    <w:rsid w:val="008234B9"/>
    <w:rsid w:val="0082584E"/>
    <w:rsid w:val="00827DD2"/>
    <w:rsid w:val="0083002A"/>
    <w:rsid w:val="00830234"/>
    <w:rsid w:val="00830884"/>
    <w:rsid w:val="008308BC"/>
    <w:rsid w:val="00831537"/>
    <w:rsid w:val="00831727"/>
    <w:rsid w:val="00832757"/>
    <w:rsid w:val="00832BFA"/>
    <w:rsid w:val="00832F03"/>
    <w:rsid w:val="00832FE5"/>
    <w:rsid w:val="00836C5E"/>
    <w:rsid w:val="0084114B"/>
    <w:rsid w:val="00841573"/>
    <w:rsid w:val="0084158E"/>
    <w:rsid w:val="00841AEF"/>
    <w:rsid w:val="00841CA9"/>
    <w:rsid w:val="00842ED4"/>
    <w:rsid w:val="00844A42"/>
    <w:rsid w:val="00845EA4"/>
    <w:rsid w:val="00847A1D"/>
    <w:rsid w:val="00847D32"/>
    <w:rsid w:val="00847F39"/>
    <w:rsid w:val="00851407"/>
    <w:rsid w:val="008525A5"/>
    <w:rsid w:val="008550F0"/>
    <w:rsid w:val="00855650"/>
    <w:rsid w:val="008561AA"/>
    <w:rsid w:val="00857BD3"/>
    <w:rsid w:val="00860037"/>
    <w:rsid w:val="008602E9"/>
    <w:rsid w:val="00860FEF"/>
    <w:rsid w:val="008618D9"/>
    <w:rsid w:val="00861BBB"/>
    <w:rsid w:val="0086361E"/>
    <w:rsid w:val="0086364F"/>
    <w:rsid w:val="008649E5"/>
    <w:rsid w:val="00864F72"/>
    <w:rsid w:val="00866FC9"/>
    <w:rsid w:val="00872B14"/>
    <w:rsid w:val="008738A1"/>
    <w:rsid w:val="00873D60"/>
    <w:rsid w:val="00874C23"/>
    <w:rsid w:val="00874D05"/>
    <w:rsid w:val="0087504D"/>
    <w:rsid w:val="00875CD2"/>
    <w:rsid w:val="00880B66"/>
    <w:rsid w:val="00881A6F"/>
    <w:rsid w:val="00881FFB"/>
    <w:rsid w:val="008827C3"/>
    <w:rsid w:val="00883E64"/>
    <w:rsid w:val="0088403D"/>
    <w:rsid w:val="008850E5"/>
    <w:rsid w:val="00885C97"/>
    <w:rsid w:val="00885CDE"/>
    <w:rsid w:val="008946EA"/>
    <w:rsid w:val="008947B5"/>
    <w:rsid w:val="00894942"/>
    <w:rsid w:val="00894D4A"/>
    <w:rsid w:val="00897C9D"/>
    <w:rsid w:val="008A0C2E"/>
    <w:rsid w:val="008A20F1"/>
    <w:rsid w:val="008A2A09"/>
    <w:rsid w:val="008A3E11"/>
    <w:rsid w:val="008A4071"/>
    <w:rsid w:val="008A47B2"/>
    <w:rsid w:val="008A5670"/>
    <w:rsid w:val="008A6B4E"/>
    <w:rsid w:val="008B1D4F"/>
    <w:rsid w:val="008B2E64"/>
    <w:rsid w:val="008B2FDE"/>
    <w:rsid w:val="008B4B2E"/>
    <w:rsid w:val="008B4EBC"/>
    <w:rsid w:val="008B57AB"/>
    <w:rsid w:val="008B5E35"/>
    <w:rsid w:val="008C0452"/>
    <w:rsid w:val="008C297E"/>
    <w:rsid w:val="008C3544"/>
    <w:rsid w:val="008C380D"/>
    <w:rsid w:val="008C508D"/>
    <w:rsid w:val="008C74CA"/>
    <w:rsid w:val="008D04B8"/>
    <w:rsid w:val="008D1236"/>
    <w:rsid w:val="008D38EC"/>
    <w:rsid w:val="008E030D"/>
    <w:rsid w:val="008E215F"/>
    <w:rsid w:val="008E2F27"/>
    <w:rsid w:val="008E4231"/>
    <w:rsid w:val="008E586E"/>
    <w:rsid w:val="008E5A8E"/>
    <w:rsid w:val="008E7F37"/>
    <w:rsid w:val="008F05C2"/>
    <w:rsid w:val="008F52F4"/>
    <w:rsid w:val="008F6A42"/>
    <w:rsid w:val="008F7D31"/>
    <w:rsid w:val="00900115"/>
    <w:rsid w:val="009007FC"/>
    <w:rsid w:val="00900A88"/>
    <w:rsid w:val="0090282D"/>
    <w:rsid w:val="009031EC"/>
    <w:rsid w:val="00903BE5"/>
    <w:rsid w:val="009049BE"/>
    <w:rsid w:val="00904D09"/>
    <w:rsid w:val="009050C9"/>
    <w:rsid w:val="0090661F"/>
    <w:rsid w:val="009073DD"/>
    <w:rsid w:val="00907FE3"/>
    <w:rsid w:val="00910E44"/>
    <w:rsid w:val="009111EA"/>
    <w:rsid w:val="0091170B"/>
    <w:rsid w:val="00912837"/>
    <w:rsid w:val="00912C68"/>
    <w:rsid w:val="0091304F"/>
    <w:rsid w:val="009133A9"/>
    <w:rsid w:val="009159DA"/>
    <w:rsid w:val="00920D15"/>
    <w:rsid w:val="00920E02"/>
    <w:rsid w:val="009210A6"/>
    <w:rsid w:val="009233B3"/>
    <w:rsid w:val="00923F4E"/>
    <w:rsid w:val="00926FCD"/>
    <w:rsid w:val="00927607"/>
    <w:rsid w:val="00930306"/>
    <w:rsid w:val="00931E3D"/>
    <w:rsid w:val="00931E6C"/>
    <w:rsid w:val="009320FF"/>
    <w:rsid w:val="00935CFF"/>
    <w:rsid w:val="0094005B"/>
    <w:rsid w:val="00940AD4"/>
    <w:rsid w:val="00941CE1"/>
    <w:rsid w:val="00943709"/>
    <w:rsid w:val="00943B62"/>
    <w:rsid w:val="009443A6"/>
    <w:rsid w:val="0094607A"/>
    <w:rsid w:val="00947785"/>
    <w:rsid w:val="0095436D"/>
    <w:rsid w:val="0095524F"/>
    <w:rsid w:val="0095564D"/>
    <w:rsid w:val="00956CD1"/>
    <w:rsid w:val="009623FA"/>
    <w:rsid w:val="00963968"/>
    <w:rsid w:val="00963AB5"/>
    <w:rsid w:val="00964969"/>
    <w:rsid w:val="00964A87"/>
    <w:rsid w:val="00965794"/>
    <w:rsid w:val="00965870"/>
    <w:rsid w:val="00970BC4"/>
    <w:rsid w:val="0097108A"/>
    <w:rsid w:val="00973D8D"/>
    <w:rsid w:val="00974E8B"/>
    <w:rsid w:val="009752F6"/>
    <w:rsid w:val="009758DB"/>
    <w:rsid w:val="009768B5"/>
    <w:rsid w:val="009773A7"/>
    <w:rsid w:val="0097768E"/>
    <w:rsid w:val="009801AA"/>
    <w:rsid w:val="00981C46"/>
    <w:rsid w:val="00983201"/>
    <w:rsid w:val="00984197"/>
    <w:rsid w:val="00984587"/>
    <w:rsid w:val="00986534"/>
    <w:rsid w:val="009874A8"/>
    <w:rsid w:val="009913D4"/>
    <w:rsid w:val="00991B75"/>
    <w:rsid w:val="00993A3D"/>
    <w:rsid w:val="00995692"/>
    <w:rsid w:val="0099574B"/>
    <w:rsid w:val="00996B6C"/>
    <w:rsid w:val="00997217"/>
    <w:rsid w:val="00997F96"/>
    <w:rsid w:val="009A33AC"/>
    <w:rsid w:val="009A33BE"/>
    <w:rsid w:val="009A595E"/>
    <w:rsid w:val="009A5AE2"/>
    <w:rsid w:val="009A5D8D"/>
    <w:rsid w:val="009B1106"/>
    <w:rsid w:val="009B1A81"/>
    <w:rsid w:val="009B1EAF"/>
    <w:rsid w:val="009B38C8"/>
    <w:rsid w:val="009B3FAA"/>
    <w:rsid w:val="009B4DEF"/>
    <w:rsid w:val="009B7683"/>
    <w:rsid w:val="009C4221"/>
    <w:rsid w:val="009C4881"/>
    <w:rsid w:val="009C5CF3"/>
    <w:rsid w:val="009C5CFE"/>
    <w:rsid w:val="009D1ED8"/>
    <w:rsid w:val="009D3911"/>
    <w:rsid w:val="009D4A0A"/>
    <w:rsid w:val="009D6659"/>
    <w:rsid w:val="009D7058"/>
    <w:rsid w:val="009E0336"/>
    <w:rsid w:val="009E10EC"/>
    <w:rsid w:val="009E3A9A"/>
    <w:rsid w:val="009E5841"/>
    <w:rsid w:val="009F50FA"/>
    <w:rsid w:val="009F7944"/>
    <w:rsid w:val="00A01965"/>
    <w:rsid w:val="00A01E9B"/>
    <w:rsid w:val="00A022D9"/>
    <w:rsid w:val="00A033BB"/>
    <w:rsid w:val="00A0357E"/>
    <w:rsid w:val="00A03702"/>
    <w:rsid w:val="00A045F4"/>
    <w:rsid w:val="00A04F63"/>
    <w:rsid w:val="00A05B4F"/>
    <w:rsid w:val="00A072A0"/>
    <w:rsid w:val="00A10387"/>
    <w:rsid w:val="00A10467"/>
    <w:rsid w:val="00A20393"/>
    <w:rsid w:val="00A21B13"/>
    <w:rsid w:val="00A22D3D"/>
    <w:rsid w:val="00A2508C"/>
    <w:rsid w:val="00A2572E"/>
    <w:rsid w:val="00A25FC0"/>
    <w:rsid w:val="00A262B6"/>
    <w:rsid w:val="00A26D41"/>
    <w:rsid w:val="00A27138"/>
    <w:rsid w:val="00A30AAA"/>
    <w:rsid w:val="00A3359F"/>
    <w:rsid w:val="00A33A89"/>
    <w:rsid w:val="00A35046"/>
    <w:rsid w:val="00A3709C"/>
    <w:rsid w:val="00A3728F"/>
    <w:rsid w:val="00A40958"/>
    <w:rsid w:val="00A4105D"/>
    <w:rsid w:val="00A41837"/>
    <w:rsid w:val="00A43EDC"/>
    <w:rsid w:val="00A442A4"/>
    <w:rsid w:val="00A4466C"/>
    <w:rsid w:val="00A4628E"/>
    <w:rsid w:val="00A51216"/>
    <w:rsid w:val="00A5314A"/>
    <w:rsid w:val="00A5422F"/>
    <w:rsid w:val="00A57F60"/>
    <w:rsid w:val="00A61A6E"/>
    <w:rsid w:val="00A65B8D"/>
    <w:rsid w:val="00A66FFF"/>
    <w:rsid w:val="00A670F3"/>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016B"/>
    <w:rsid w:val="00A923D9"/>
    <w:rsid w:val="00A93F22"/>
    <w:rsid w:val="00A94D13"/>
    <w:rsid w:val="00A94E2C"/>
    <w:rsid w:val="00A97437"/>
    <w:rsid w:val="00A977D1"/>
    <w:rsid w:val="00A97A74"/>
    <w:rsid w:val="00AA0100"/>
    <w:rsid w:val="00AA0A4A"/>
    <w:rsid w:val="00AA1DF2"/>
    <w:rsid w:val="00AA27AB"/>
    <w:rsid w:val="00AA29D9"/>
    <w:rsid w:val="00AA29E9"/>
    <w:rsid w:val="00AA38C5"/>
    <w:rsid w:val="00AA3DF2"/>
    <w:rsid w:val="00AA512C"/>
    <w:rsid w:val="00AA7DE5"/>
    <w:rsid w:val="00AB00F1"/>
    <w:rsid w:val="00AB0764"/>
    <w:rsid w:val="00AB10A6"/>
    <w:rsid w:val="00AB19C6"/>
    <w:rsid w:val="00AB1E7B"/>
    <w:rsid w:val="00AB4741"/>
    <w:rsid w:val="00AB6195"/>
    <w:rsid w:val="00AB628D"/>
    <w:rsid w:val="00AB641E"/>
    <w:rsid w:val="00AB6F46"/>
    <w:rsid w:val="00AC03C7"/>
    <w:rsid w:val="00AC1530"/>
    <w:rsid w:val="00AC1D64"/>
    <w:rsid w:val="00AC2BA3"/>
    <w:rsid w:val="00AC4CF3"/>
    <w:rsid w:val="00AC52C6"/>
    <w:rsid w:val="00AC68EB"/>
    <w:rsid w:val="00AD1E25"/>
    <w:rsid w:val="00AD38ED"/>
    <w:rsid w:val="00AD4282"/>
    <w:rsid w:val="00AD77FD"/>
    <w:rsid w:val="00AE1A7A"/>
    <w:rsid w:val="00AE4894"/>
    <w:rsid w:val="00AE5AC8"/>
    <w:rsid w:val="00AF32B0"/>
    <w:rsid w:val="00AF6B54"/>
    <w:rsid w:val="00AF6F6A"/>
    <w:rsid w:val="00AF71F0"/>
    <w:rsid w:val="00AF75C3"/>
    <w:rsid w:val="00B049EC"/>
    <w:rsid w:val="00B04DD6"/>
    <w:rsid w:val="00B078A6"/>
    <w:rsid w:val="00B10264"/>
    <w:rsid w:val="00B10FF6"/>
    <w:rsid w:val="00B1153A"/>
    <w:rsid w:val="00B1212B"/>
    <w:rsid w:val="00B14213"/>
    <w:rsid w:val="00B15800"/>
    <w:rsid w:val="00B173E2"/>
    <w:rsid w:val="00B177F2"/>
    <w:rsid w:val="00B216FE"/>
    <w:rsid w:val="00B219F8"/>
    <w:rsid w:val="00B240E3"/>
    <w:rsid w:val="00B244A4"/>
    <w:rsid w:val="00B259E2"/>
    <w:rsid w:val="00B26CCB"/>
    <w:rsid w:val="00B31114"/>
    <w:rsid w:val="00B31B5C"/>
    <w:rsid w:val="00B347AA"/>
    <w:rsid w:val="00B34D98"/>
    <w:rsid w:val="00B35503"/>
    <w:rsid w:val="00B37C1A"/>
    <w:rsid w:val="00B37E5F"/>
    <w:rsid w:val="00B408F8"/>
    <w:rsid w:val="00B450FB"/>
    <w:rsid w:val="00B45AA5"/>
    <w:rsid w:val="00B461BE"/>
    <w:rsid w:val="00B466DA"/>
    <w:rsid w:val="00B5088E"/>
    <w:rsid w:val="00B517B3"/>
    <w:rsid w:val="00B51D39"/>
    <w:rsid w:val="00B53176"/>
    <w:rsid w:val="00B53626"/>
    <w:rsid w:val="00B55C20"/>
    <w:rsid w:val="00B573D1"/>
    <w:rsid w:val="00B57E76"/>
    <w:rsid w:val="00B60F70"/>
    <w:rsid w:val="00B61D3E"/>
    <w:rsid w:val="00B61F76"/>
    <w:rsid w:val="00B626F5"/>
    <w:rsid w:val="00B62A45"/>
    <w:rsid w:val="00B64A03"/>
    <w:rsid w:val="00B64AED"/>
    <w:rsid w:val="00B64EFA"/>
    <w:rsid w:val="00B661E3"/>
    <w:rsid w:val="00B66885"/>
    <w:rsid w:val="00B7058E"/>
    <w:rsid w:val="00B70873"/>
    <w:rsid w:val="00B70EC1"/>
    <w:rsid w:val="00B7103E"/>
    <w:rsid w:val="00B71315"/>
    <w:rsid w:val="00B7173A"/>
    <w:rsid w:val="00B72FDD"/>
    <w:rsid w:val="00B737DD"/>
    <w:rsid w:val="00B73E27"/>
    <w:rsid w:val="00B758E5"/>
    <w:rsid w:val="00B76BB2"/>
    <w:rsid w:val="00B76F62"/>
    <w:rsid w:val="00B77236"/>
    <w:rsid w:val="00B77B2E"/>
    <w:rsid w:val="00B8098C"/>
    <w:rsid w:val="00B81A09"/>
    <w:rsid w:val="00B81A76"/>
    <w:rsid w:val="00B83381"/>
    <w:rsid w:val="00B8390D"/>
    <w:rsid w:val="00B860B7"/>
    <w:rsid w:val="00B86AC7"/>
    <w:rsid w:val="00B87E94"/>
    <w:rsid w:val="00B90D57"/>
    <w:rsid w:val="00B90ED9"/>
    <w:rsid w:val="00B91207"/>
    <w:rsid w:val="00B92A38"/>
    <w:rsid w:val="00B9309D"/>
    <w:rsid w:val="00B94DC9"/>
    <w:rsid w:val="00B95F1A"/>
    <w:rsid w:val="00B96976"/>
    <w:rsid w:val="00BA05BF"/>
    <w:rsid w:val="00BA0DB3"/>
    <w:rsid w:val="00BA0E31"/>
    <w:rsid w:val="00BA2A3B"/>
    <w:rsid w:val="00BA2FEE"/>
    <w:rsid w:val="00BA3827"/>
    <w:rsid w:val="00BA3BBE"/>
    <w:rsid w:val="00BA42E0"/>
    <w:rsid w:val="00BB1EC2"/>
    <w:rsid w:val="00BB2686"/>
    <w:rsid w:val="00BB60AA"/>
    <w:rsid w:val="00BB62D7"/>
    <w:rsid w:val="00BB7BCF"/>
    <w:rsid w:val="00BC05E2"/>
    <w:rsid w:val="00BC0C9A"/>
    <w:rsid w:val="00BC578F"/>
    <w:rsid w:val="00BC7BD0"/>
    <w:rsid w:val="00BD08FE"/>
    <w:rsid w:val="00BD249F"/>
    <w:rsid w:val="00BD3D4C"/>
    <w:rsid w:val="00BD5CAE"/>
    <w:rsid w:val="00BD5DA1"/>
    <w:rsid w:val="00BD6297"/>
    <w:rsid w:val="00BD6C96"/>
    <w:rsid w:val="00BD7208"/>
    <w:rsid w:val="00BD7515"/>
    <w:rsid w:val="00BD7C52"/>
    <w:rsid w:val="00BE01B0"/>
    <w:rsid w:val="00BE17E5"/>
    <w:rsid w:val="00BE1BBE"/>
    <w:rsid w:val="00BE2486"/>
    <w:rsid w:val="00BE32C7"/>
    <w:rsid w:val="00BE4652"/>
    <w:rsid w:val="00BE4A75"/>
    <w:rsid w:val="00BE4FDC"/>
    <w:rsid w:val="00BE5C36"/>
    <w:rsid w:val="00BF01B4"/>
    <w:rsid w:val="00BF0DCB"/>
    <w:rsid w:val="00BF1EC0"/>
    <w:rsid w:val="00BF2AD9"/>
    <w:rsid w:val="00BF2F98"/>
    <w:rsid w:val="00BF4398"/>
    <w:rsid w:val="00BF5BE2"/>
    <w:rsid w:val="00C00D17"/>
    <w:rsid w:val="00C02A64"/>
    <w:rsid w:val="00C052EA"/>
    <w:rsid w:val="00C05316"/>
    <w:rsid w:val="00C06278"/>
    <w:rsid w:val="00C06502"/>
    <w:rsid w:val="00C06661"/>
    <w:rsid w:val="00C11344"/>
    <w:rsid w:val="00C1297D"/>
    <w:rsid w:val="00C13734"/>
    <w:rsid w:val="00C14017"/>
    <w:rsid w:val="00C148AE"/>
    <w:rsid w:val="00C14B07"/>
    <w:rsid w:val="00C1506F"/>
    <w:rsid w:val="00C22D01"/>
    <w:rsid w:val="00C22D4A"/>
    <w:rsid w:val="00C22D64"/>
    <w:rsid w:val="00C236E4"/>
    <w:rsid w:val="00C25ED1"/>
    <w:rsid w:val="00C31741"/>
    <w:rsid w:val="00C31CFE"/>
    <w:rsid w:val="00C32E20"/>
    <w:rsid w:val="00C33CFB"/>
    <w:rsid w:val="00C34493"/>
    <w:rsid w:val="00C35B04"/>
    <w:rsid w:val="00C35CE7"/>
    <w:rsid w:val="00C362F6"/>
    <w:rsid w:val="00C3656D"/>
    <w:rsid w:val="00C37A09"/>
    <w:rsid w:val="00C40905"/>
    <w:rsid w:val="00C412FF"/>
    <w:rsid w:val="00C41357"/>
    <w:rsid w:val="00C4233C"/>
    <w:rsid w:val="00C42EFC"/>
    <w:rsid w:val="00C439D5"/>
    <w:rsid w:val="00C43BCA"/>
    <w:rsid w:val="00C4418B"/>
    <w:rsid w:val="00C446B2"/>
    <w:rsid w:val="00C45315"/>
    <w:rsid w:val="00C46841"/>
    <w:rsid w:val="00C46DE0"/>
    <w:rsid w:val="00C51424"/>
    <w:rsid w:val="00C51952"/>
    <w:rsid w:val="00C52510"/>
    <w:rsid w:val="00C539E3"/>
    <w:rsid w:val="00C55168"/>
    <w:rsid w:val="00C5557D"/>
    <w:rsid w:val="00C56885"/>
    <w:rsid w:val="00C57680"/>
    <w:rsid w:val="00C57997"/>
    <w:rsid w:val="00C57C9F"/>
    <w:rsid w:val="00C57DE8"/>
    <w:rsid w:val="00C607C9"/>
    <w:rsid w:val="00C60EB1"/>
    <w:rsid w:val="00C61DC9"/>
    <w:rsid w:val="00C6230B"/>
    <w:rsid w:val="00C625C8"/>
    <w:rsid w:val="00C669B9"/>
    <w:rsid w:val="00C674AD"/>
    <w:rsid w:val="00C70AD4"/>
    <w:rsid w:val="00C725E6"/>
    <w:rsid w:val="00C72D55"/>
    <w:rsid w:val="00C732C5"/>
    <w:rsid w:val="00C734EC"/>
    <w:rsid w:val="00C747C2"/>
    <w:rsid w:val="00C80261"/>
    <w:rsid w:val="00C80B4A"/>
    <w:rsid w:val="00C80FE1"/>
    <w:rsid w:val="00C8246A"/>
    <w:rsid w:val="00C830CA"/>
    <w:rsid w:val="00C83120"/>
    <w:rsid w:val="00C8387E"/>
    <w:rsid w:val="00C83BAB"/>
    <w:rsid w:val="00C84197"/>
    <w:rsid w:val="00C84410"/>
    <w:rsid w:val="00C84663"/>
    <w:rsid w:val="00C85BEE"/>
    <w:rsid w:val="00C861DF"/>
    <w:rsid w:val="00C8777A"/>
    <w:rsid w:val="00C904A0"/>
    <w:rsid w:val="00C9115E"/>
    <w:rsid w:val="00C9167C"/>
    <w:rsid w:val="00C926A1"/>
    <w:rsid w:val="00C9405A"/>
    <w:rsid w:val="00C94AA0"/>
    <w:rsid w:val="00C95207"/>
    <w:rsid w:val="00C962CF"/>
    <w:rsid w:val="00C96DB7"/>
    <w:rsid w:val="00CA1B76"/>
    <w:rsid w:val="00CA4E8C"/>
    <w:rsid w:val="00CA4F35"/>
    <w:rsid w:val="00CA6573"/>
    <w:rsid w:val="00CA7887"/>
    <w:rsid w:val="00CB27A4"/>
    <w:rsid w:val="00CB621B"/>
    <w:rsid w:val="00CB65EC"/>
    <w:rsid w:val="00CB6E8A"/>
    <w:rsid w:val="00CB742F"/>
    <w:rsid w:val="00CB7D13"/>
    <w:rsid w:val="00CC1DB1"/>
    <w:rsid w:val="00CC5A7E"/>
    <w:rsid w:val="00CC7CEF"/>
    <w:rsid w:val="00CD0468"/>
    <w:rsid w:val="00CD0E3B"/>
    <w:rsid w:val="00CD1491"/>
    <w:rsid w:val="00CD64DE"/>
    <w:rsid w:val="00CD6EC0"/>
    <w:rsid w:val="00CD7121"/>
    <w:rsid w:val="00CE49FC"/>
    <w:rsid w:val="00CE50AD"/>
    <w:rsid w:val="00CE5195"/>
    <w:rsid w:val="00CE51E4"/>
    <w:rsid w:val="00CF10FC"/>
    <w:rsid w:val="00CF1E45"/>
    <w:rsid w:val="00CF5631"/>
    <w:rsid w:val="00CF6971"/>
    <w:rsid w:val="00CF7993"/>
    <w:rsid w:val="00D00AC1"/>
    <w:rsid w:val="00D014AF"/>
    <w:rsid w:val="00D03926"/>
    <w:rsid w:val="00D03B93"/>
    <w:rsid w:val="00D05227"/>
    <w:rsid w:val="00D12214"/>
    <w:rsid w:val="00D12D3B"/>
    <w:rsid w:val="00D1615A"/>
    <w:rsid w:val="00D16225"/>
    <w:rsid w:val="00D16547"/>
    <w:rsid w:val="00D16B1C"/>
    <w:rsid w:val="00D2010F"/>
    <w:rsid w:val="00D20368"/>
    <w:rsid w:val="00D22035"/>
    <w:rsid w:val="00D24260"/>
    <w:rsid w:val="00D2478C"/>
    <w:rsid w:val="00D2489A"/>
    <w:rsid w:val="00D24BE6"/>
    <w:rsid w:val="00D25099"/>
    <w:rsid w:val="00D26CAF"/>
    <w:rsid w:val="00D279B8"/>
    <w:rsid w:val="00D309C0"/>
    <w:rsid w:val="00D33C66"/>
    <w:rsid w:val="00D34A5A"/>
    <w:rsid w:val="00D35A50"/>
    <w:rsid w:val="00D35BF1"/>
    <w:rsid w:val="00D3635F"/>
    <w:rsid w:val="00D378CF"/>
    <w:rsid w:val="00D40179"/>
    <w:rsid w:val="00D434D5"/>
    <w:rsid w:val="00D44218"/>
    <w:rsid w:val="00D4494B"/>
    <w:rsid w:val="00D45843"/>
    <w:rsid w:val="00D45EB6"/>
    <w:rsid w:val="00D51380"/>
    <w:rsid w:val="00D5482F"/>
    <w:rsid w:val="00D566F5"/>
    <w:rsid w:val="00D56752"/>
    <w:rsid w:val="00D56F54"/>
    <w:rsid w:val="00D5720A"/>
    <w:rsid w:val="00D60C8A"/>
    <w:rsid w:val="00D62375"/>
    <w:rsid w:val="00D63A6F"/>
    <w:rsid w:val="00D70AB8"/>
    <w:rsid w:val="00D7104A"/>
    <w:rsid w:val="00D718E2"/>
    <w:rsid w:val="00D73B5B"/>
    <w:rsid w:val="00D74FDC"/>
    <w:rsid w:val="00D750D6"/>
    <w:rsid w:val="00D81429"/>
    <w:rsid w:val="00D82506"/>
    <w:rsid w:val="00D871A9"/>
    <w:rsid w:val="00D9154A"/>
    <w:rsid w:val="00D91AF2"/>
    <w:rsid w:val="00D927CA"/>
    <w:rsid w:val="00D93271"/>
    <w:rsid w:val="00D94A8E"/>
    <w:rsid w:val="00D96319"/>
    <w:rsid w:val="00DA0CA2"/>
    <w:rsid w:val="00DA158D"/>
    <w:rsid w:val="00DA30A9"/>
    <w:rsid w:val="00DA4B87"/>
    <w:rsid w:val="00DB03CE"/>
    <w:rsid w:val="00DB04B5"/>
    <w:rsid w:val="00DB0766"/>
    <w:rsid w:val="00DB225F"/>
    <w:rsid w:val="00DB31F5"/>
    <w:rsid w:val="00DB4D86"/>
    <w:rsid w:val="00DB53F2"/>
    <w:rsid w:val="00DB55B5"/>
    <w:rsid w:val="00DB5D12"/>
    <w:rsid w:val="00DB685F"/>
    <w:rsid w:val="00DC016C"/>
    <w:rsid w:val="00DC0207"/>
    <w:rsid w:val="00DC1DD2"/>
    <w:rsid w:val="00DC1DEF"/>
    <w:rsid w:val="00DC25C1"/>
    <w:rsid w:val="00DC3F3A"/>
    <w:rsid w:val="00DC638A"/>
    <w:rsid w:val="00DC68E2"/>
    <w:rsid w:val="00DC691A"/>
    <w:rsid w:val="00DC6A6C"/>
    <w:rsid w:val="00DC6CDC"/>
    <w:rsid w:val="00DC6D72"/>
    <w:rsid w:val="00DC71EE"/>
    <w:rsid w:val="00DC76BD"/>
    <w:rsid w:val="00DC7E64"/>
    <w:rsid w:val="00DD0702"/>
    <w:rsid w:val="00DD1BAF"/>
    <w:rsid w:val="00DD2130"/>
    <w:rsid w:val="00DD4CC6"/>
    <w:rsid w:val="00DD4DB8"/>
    <w:rsid w:val="00DD4E98"/>
    <w:rsid w:val="00DD58B8"/>
    <w:rsid w:val="00DD664B"/>
    <w:rsid w:val="00DE06FD"/>
    <w:rsid w:val="00DE2129"/>
    <w:rsid w:val="00DE28BF"/>
    <w:rsid w:val="00DE44E9"/>
    <w:rsid w:val="00DE5048"/>
    <w:rsid w:val="00DE52C3"/>
    <w:rsid w:val="00DE6690"/>
    <w:rsid w:val="00DE756E"/>
    <w:rsid w:val="00DE7637"/>
    <w:rsid w:val="00DF09B8"/>
    <w:rsid w:val="00DF0D73"/>
    <w:rsid w:val="00DF15EE"/>
    <w:rsid w:val="00DF2313"/>
    <w:rsid w:val="00DF382F"/>
    <w:rsid w:val="00DF53EA"/>
    <w:rsid w:val="00E006B6"/>
    <w:rsid w:val="00E006CC"/>
    <w:rsid w:val="00E013E9"/>
    <w:rsid w:val="00E02840"/>
    <w:rsid w:val="00E02932"/>
    <w:rsid w:val="00E06CE6"/>
    <w:rsid w:val="00E07702"/>
    <w:rsid w:val="00E1020C"/>
    <w:rsid w:val="00E1033E"/>
    <w:rsid w:val="00E10F14"/>
    <w:rsid w:val="00E11F28"/>
    <w:rsid w:val="00E125BC"/>
    <w:rsid w:val="00E12B19"/>
    <w:rsid w:val="00E14744"/>
    <w:rsid w:val="00E14816"/>
    <w:rsid w:val="00E1487F"/>
    <w:rsid w:val="00E154AB"/>
    <w:rsid w:val="00E164E7"/>
    <w:rsid w:val="00E16654"/>
    <w:rsid w:val="00E2108B"/>
    <w:rsid w:val="00E21CDD"/>
    <w:rsid w:val="00E22360"/>
    <w:rsid w:val="00E23669"/>
    <w:rsid w:val="00E25425"/>
    <w:rsid w:val="00E25B8B"/>
    <w:rsid w:val="00E25C3E"/>
    <w:rsid w:val="00E2789A"/>
    <w:rsid w:val="00E31D43"/>
    <w:rsid w:val="00E32EEE"/>
    <w:rsid w:val="00E33520"/>
    <w:rsid w:val="00E3623E"/>
    <w:rsid w:val="00E37775"/>
    <w:rsid w:val="00E40BC0"/>
    <w:rsid w:val="00E411D3"/>
    <w:rsid w:val="00E41A8D"/>
    <w:rsid w:val="00E41EAA"/>
    <w:rsid w:val="00E427DF"/>
    <w:rsid w:val="00E43435"/>
    <w:rsid w:val="00E475A6"/>
    <w:rsid w:val="00E47828"/>
    <w:rsid w:val="00E50DBE"/>
    <w:rsid w:val="00E52305"/>
    <w:rsid w:val="00E526B7"/>
    <w:rsid w:val="00E53BFB"/>
    <w:rsid w:val="00E553C7"/>
    <w:rsid w:val="00E57493"/>
    <w:rsid w:val="00E60ED0"/>
    <w:rsid w:val="00E613F2"/>
    <w:rsid w:val="00E61AB6"/>
    <w:rsid w:val="00E61CDE"/>
    <w:rsid w:val="00E65459"/>
    <w:rsid w:val="00E66317"/>
    <w:rsid w:val="00E66951"/>
    <w:rsid w:val="00E67D3C"/>
    <w:rsid w:val="00E7006D"/>
    <w:rsid w:val="00E705F5"/>
    <w:rsid w:val="00E75BB5"/>
    <w:rsid w:val="00E808D6"/>
    <w:rsid w:val="00E80E37"/>
    <w:rsid w:val="00E83450"/>
    <w:rsid w:val="00E8389D"/>
    <w:rsid w:val="00E83965"/>
    <w:rsid w:val="00E86739"/>
    <w:rsid w:val="00E90E54"/>
    <w:rsid w:val="00E91457"/>
    <w:rsid w:val="00E9157A"/>
    <w:rsid w:val="00E91FF2"/>
    <w:rsid w:val="00E94929"/>
    <w:rsid w:val="00E94FF3"/>
    <w:rsid w:val="00E9514D"/>
    <w:rsid w:val="00E96BEB"/>
    <w:rsid w:val="00EA0F7F"/>
    <w:rsid w:val="00EA2C19"/>
    <w:rsid w:val="00EA379C"/>
    <w:rsid w:val="00EA37E1"/>
    <w:rsid w:val="00EA4780"/>
    <w:rsid w:val="00EA4997"/>
    <w:rsid w:val="00EA4DC3"/>
    <w:rsid w:val="00EA4F63"/>
    <w:rsid w:val="00EA5167"/>
    <w:rsid w:val="00EA7123"/>
    <w:rsid w:val="00EB37B1"/>
    <w:rsid w:val="00EB4DFF"/>
    <w:rsid w:val="00EB5240"/>
    <w:rsid w:val="00EC1888"/>
    <w:rsid w:val="00EC2DA8"/>
    <w:rsid w:val="00EC45FC"/>
    <w:rsid w:val="00EC4A4E"/>
    <w:rsid w:val="00EC6A8E"/>
    <w:rsid w:val="00EC6BCB"/>
    <w:rsid w:val="00ED073E"/>
    <w:rsid w:val="00ED2E55"/>
    <w:rsid w:val="00ED54D9"/>
    <w:rsid w:val="00ED5DDA"/>
    <w:rsid w:val="00ED7D48"/>
    <w:rsid w:val="00EE06BA"/>
    <w:rsid w:val="00EE082B"/>
    <w:rsid w:val="00EE1352"/>
    <w:rsid w:val="00EE3E2A"/>
    <w:rsid w:val="00EE480B"/>
    <w:rsid w:val="00EE695C"/>
    <w:rsid w:val="00EF452B"/>
    <w:rsid w:val="00EF4ADB"/>
    <w:rsid w:val="00F0156D"/>
    <w:rsid w:val="00F02DE0"/>
    <w:rsid w:val="00F0430C"/>
    <w:rsid w:val="00F053FC"/>
    <w:rsid w:val="00F06CB3"/>
    <w:rsid w:val="00F06E50"/>
    <w:rsid w:val="00F079CC"/>
    <w:rsid w:val="00F07A83"/>
    <w:rsid w:val="00F07FC2"/>
    <w:rsid w:val="00F123A4"/>
    <w:rsid w:val="00F13DD5"/>
    <w:rsid w:val="00F14677"/>
    <w:rsid w:val="00F1519C"/>
    <w:rsid w:val="00F16359"/>
    <w:rsid w:val="00F21698"/>
    <w:rsid w:val="00F22195"/>
    <w:rsid w:val="00F24A07"/>
    <w:rsid w:val="00F2514D"/>
    <w:rsid w:val="00F27F68"/>
    <w:rsid w:val="00F321E1"/>
    <w:rsid w:val="00F3389F"/>
    <w:rsid w:val="00F347DD"/>
    <w:rsid w:val="00F3568E"/>
    <w:rsid w:val="00F35DBE"/>
    <w:rsid w:val="00F36D77"/>
    <w:rsid w:val="00F37880"/>
    <w:rsid w:val="00F42116"/>
    <w:rsid w:val="00F43423"/>
    <w:rsid w:val="00F4377C"/>
    <w:rsid w:val="00F4392A"/>
    <w:rsid w:val="00F43B62"/>
    <w:rsid w:val="00F4491E"/>
    <w:rsid w:val="00F466A1"/>
    <w:rsid w:val="00F469C7"/>
    <w:rsid w:val="00F469E3"/>
    <w:rsid w:val="00F46C66"/>
    <w:rsid w:val="00F512B9"/>
    <w:rsid w:val="00F530D1"/>
    <w:rsid w:val="00F54415"/>
    <w:rsid w:val="00F54463"/>
    <w:rsid w:val="00F54E38"/>
    <w:rsid w:val="00F551B0"/>
    <w:rsid w:val="00F57E57"/>
    <w:rsid w:val="00F62D24"/>
    <w:rsid w:val="00F6398A"/>
    <w:rsid w:val="00F668B1"/>
    <w:rsid w:val="00F72E7B"/>
    <w:rsid w:val="00F74BA1"/>
    <w:rsid w:val="00F762D5"/>
    <w:rsid w:val="00F76381"/>
    <w:rsid w:val="00F7668F"/>
    <w:rsid w:val="00F76E79"/>
    <w:rsid w:val="00F81765"/>
    <w:rsid w:val="00F821AA"/>
    <w:rsid w:val="00F82312"/>
    <w:rsid w:val="00F83C99"/>
    <w:rsid w:val="00F841EA"/>
    <w:rsid w:val="00F8426B"/>
    <w:rsid w:val="00F84FA2"/>
    <w:rsid w:val="00F85E40"/>
    <w:rsid w:val="00F8623A"/>
    <w:rsid w:val="00F8652F"/>
    <w:rsid w:val="00F9081B"/>
    <w:rsid w:val="00F90B7E"/>
    <w:rsid w:val="00F90CCF"/>
    <w:rsid w:val="00F915A6"/>
    <w:rsid w:val="00F91F19"/>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247"/>
    <w:rsid w:val="00FD46BA"/>
    <w:rsid w:val="00FD50B6"/>
    <w:rsid w:val="00FD5D4A"/>
    <w:rsid w:val="00FD7489"/>
    <w:rsid w:val="00FE09B0"/>
    <w:rsid w:val="00FE0F9D"/>
    <w:rsid w:val="00FE0FB0"/>
    <w:rsid w:val="00FE10E6"/>
    <w:rsid w:val="00FE1705"/>
    <w:rsid w:val="00FE2152"/>
    <w:rsid w:val="00FE3242"/>
    <w:rsid w:val="00FE45F5"/>
    <w:rsid w:val="00FE48CB"/>
    <w:rsid w:val="00FE6F33"/>
    <w:rsid w:val="00FF1B0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BD5CE5"/>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A5422F"/>
    <w:pPr>
      <w:spacing w:after="0" w:line="360" w:lineRule="auto"/>
      <w:ind w:firstLine="709"/>
      <w:jc w:val="both"/>
    </w:pPr>
    <w:rPr>
      <w:rFonts w:ascii="Arial" w:eastAsia="Times New Roman" w:hAnsi="Arial" w:cs="Times New Roman"/>
      <w:sz w:val="30"/>
      <w:szCs w:val="20"/>
      <w:lang w:val="es-ES_tradnl" w:eastAsia="x-none"/>
    </w:rPr>
  </w:style>
  <w:style w:type="paragraph" w:customStyle="1" w:styleId="corte5transcripcion">
    <w:name w:val="corte5 transcripcion"/>
    <w:basedOn w:val="Normal"/>
    <w:link w:val="corte5transcripcionCar1"/>
    <w:qFormat/>
    <w:rsid w:val="00A5422F"/>
    <w:pPr>
      <w:spacing w:after="0" w:line="360" w:lineRule="auto"/>
      <w:ind w:left="709" w:right="709"/>
      <w:jc w:val="both"/>
    </w:pPr>
    <w:rPr>
      <w:rFonts w:ascii="Arial" w:eastAsia="Times New Roman" w:hAnsi="Arial" w:cs="Times New Roman"/>
      <w:b/>
      <w:i/>
      <w:sz w:val="30"/>
      <w:szCs w:val="20"/>
      <w:lang w:val="es-ES_tradnl" w:eastAsia="x-none"/>
    </w:rPr>
  </w:style>
  <w:style w:type="character" w:customStyle="1" w:styleId="corte4fondoCar">
    <w:name w:val="corte4 fondo Car"/>
    <w:link w:val="corte4fondo"/>
    <w:rsid w:val="00A5422F"/>
    <w:rPr>
      <w:rFonts w:ascii="Arial" w:eastAsia="Times New Roman" w:hAnsi="Arial" w:cs="Times New Roman"/>
      <w:sz w:val="30"/>
      <w:szCs w:val="20"/>
      <w:lang w:val="es-ES_tradnl" w:eastAsia="x-none"/>
    </w:rPr>
  </w:style>
  <w:style w:type="character" w:customStyle="1" w:styleId="corte5transcripcionCar1">
    <w:name w:val="corte5 transcripcion Car1"/>
    <w:link w:val="corte5transcripcion"/>
    <w:locked/>
    <w:rsid w:val="00A5422F"/>
    <w:rPr>
      <w:rFonts w:ascii="Arial" w:eastAsia="Times New Roman" w:hAnsi="Arial" w:cs="Times New Roman"/>
      <w:b/>
      <w:i/>
      <w:sz w:val="30"/>
      <w:szCs w:val="20"/>
      <w:lang w:val="es-ES_tradnl" w:eastAsia="x-none"/>
    </w:rPr>
  </w:style>
  <w:style w:type="character" w:customStyle="1" w:styleId="corte5transcripcionCar">
    <w:name w:val="corte5 transcripcion Car"/>
    <w:rsid w:val="00A5422F"/>
    <w:rPr>
      <w:rFonts w:ascii="Arial" w:hAnsi="Arial"/>
      <w:b/>
      <w:i/>
      <w:sz w:val="30"/>
    </w:rPr>
  </w:style>
  <w:style w:type="character" w:customStyle="1" w:styleId="red">
    <w:name w:val="red"/>
    <w:basedOn w:val="Fuentedeprrafopredeter"/>
    <w:rsid w:val="00E613F2"/>
  </w:style>
  <w:style w:type="paragraph" w:styleId="Textoindependiente">
    <w:name w:val="Body Text"/>
    <w:basedOn w:val="Normal"/>
    <w:link w:val="TextoindependienteCar"/>
    <w:uiPriority w:val="99"/>
    <w:semiHidden/>
    <w:unhideWhenUsed/>
    <w:rsid w:val="00397FC3"/>
    <w:pPr>
      <w:spacing w:after="120"/>
    </w:pPr>
  </w:style>
  <w:style w:type="character" w:customStyle="1" w:styleId="TextoindependienteCar">
    <w:name w:val="Texto independiente Car"/>
    <w:basedOn w:val="Fuentedeprrafopredeter"/>
    <w:link w:val="Textoindependiente"/>
    <w:uiPriority w:val="99"/>
    <w:semiHidden/>
    <w:rsid w:val="00397FC3"/>
    <w:rPr>
      <w:lang w:val="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397FC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0373520">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40416444">
      <w:bodyDiv w:val="1"/>
      <w:marLeft w:val="0"/>
      <w:marRight w:val="0"/>
      <w:marTop w:val="0"/>
      <w:marBottom w:val="0"/>
      <w:divBdr>
        <w:top w:val="none" w:sz="0" w:space="0" w:color="auto"/>
        <w:left w:val="none" w:sz="0" w:space="0" w:color="auto"/>
        <w:bottom w:val="none" w:sz="0" w:space="0" w:color="auto"/>
        <w:right w:val="none" w:sz="0" w:space="0" w:color="auto"/>
      </w:divBdr>
      <w:divsChild>
        <w:div w:id="325397696">
          <w:marLeft w:val="0"/>
          <w:marRight w:val="0"/>
          <w:marTop w:val="0"/>
          <w:marBottom w:val="0"/>
          <w:divBdr>
            <w:top w:val="none" w:sz="0" w:space="0" w:color="auto"/>
            <w:left w:val="none" w:sz="0" w:space="0" w:color="auto"/>
            <w:bottom w:val="none" w:sz="0" w:space="0" w:color="auto"/>
            <w:right w:val="none" w:sz="0" w:space="0" w:color="auto"/>
          </w:divBdr>
        </w:div>
      </w:divsChild>
    </w:div>
    <w:div w:id="1448966308">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1F20B-5891-410F-99E7-12F12CA91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3164</Words>
  <Characters>17405</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JuanEdy</cp:lastModifiedBy>
  <cp:revision>2</cp:revision>
  <cp:lastPrinted>2020-03-02T15:53:00Z</cp:lastPrinted>
  <dcterms:created xsi:type="dcterms:W3CDTF">2020-09-23T16:58:00Z</dcterms:created>
  <dcterms:modified xsi:type="dcterms:W3CDTF">2020-09-23T16:58:00Z</dcterms:modified>
</cp:coreProperties>
</file>