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w:t>
      </w:r>
      <w:r w:rsidR="00A66CC9">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r>
      <w:r w:rsidR="00A66CC9">
        <w:rPr>
          <w:rFonts w:ascii="Arial" w:hAnsi="Arial" w:cs="Arial"/>
          <w:b/>
          <w:sz w:val="26"/>
          <w:szCs w:val="26"/>
        </w:rPr>
        <w:t>227</w:t>
      </w:r>
      <w:r w:rsidRPr="00CB6405">
        <w:rPr>
          <w:rFonts w:ascii="Arial" w:hAnsi="Arial" w:cs="Arial"/>
          <w:b/>
          <w:sz w:val="26"/>
          <w:szCs w:val="26"/>
        </w:rPr>
        <w:t>/201</w:t>
      </w:r>
      <w:r w:rsidR="00805D28">
        <w:rPr>
          <w:rFonts w:ascii="Arial" w:hAnsi="Arial" w:cs="Arial"/>
          <w:b/>
          <w:sz w:val="26"/>
          <w:szCs w:val="26"/>
        </w:rPr>
        <w:t>9</w:t>
      </w:r>
      <w:r w:rsidR="00A66CC9">
        <w:rPr>
          <w:rFonts w:ascii="Arial" w:hAnsi="Arial" w:cs="Arial"/>
          <w:b/>
          <w:sz w:val="26"/>
          <w:szCs w:val="26"/>
        </w:rPr>
        <w:t xml:space="preserve"> y 234/2019</w:t>
      </w:r>
    </w:p>
    <w:p w:rsidR="005770C1" w:rsidRPr="00CB6405" w:rsidRDefault="00D17D46" w:rsidP="005770C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5770C1" w:rsidRPr="00CB6405">
        <w:rPr>
          <w:rFonts w:ascii="Arial" w:hAnsi="Arial" w:cs="Arial"/>
          <w:b/>
          <w:sz w:val="26"/>
          <w:szCs w:val="26"/>
        </w:rPr>
        <w:t>EXPEDIENTE:</w:t>
      </w:r>
      <w:r w:rsidR="005770C1" w:rsidRPr="00CB6405">
        <w:rPr>
          <w:rFonts w:ascii="Arial" w:hAnsi="Arial" w:cs="Arial"/>
          <w:b/>
          <w:sz w:val="26"/>
          <w:szCs w:val="26"/>
        </w:rPr>
        <w:tab/>
      </w:r>
      <w:r w:rsidR="005770C1">
        <w:rPr>
          <w:rFonts w:ascii="Arial" w:hAnsi="Arial" w:cs="Arial"/>
          <w:b/>
          <w:sz w:val="26"/>
          <w:szCs w:val="26"/>
        </w:rPr>
        <w:t>0</w:t>
      </w:r>
      <w:r w:rsidR="004958FA">
        <w:rPr>
          <w:rFonts w:ascii="Arial" w:hAnsi="Arial" w:cs="Arial"/>
          <w:b/>
          <w:sz w:val="26"/>
          <w:szCs w:val="26"/>
        </w:rPr>
        <w:t>0</w:t>
      </w:r>
      <w:r w:rsidR="00A66CC9">
        <w:rPr>
          <w:rFonts w:ascii="Arial" w:hAnsi="Arial" w:cs="Arial"/>
          <w:b/>
          <w:sz w:val="26"/>
          <w:szCs w:val="26"/>
        </w:rPr>
        <w:t>55</w:t>
      </w:r>
      <w:r w:rsidR="00805D28">
        <w:rPr>
          <w:rFonts w:ascii="Arial" w:hAnsi="Arial" w:cs="Arial"/>
          <w:b/>
          <w:sz w:val="26"/>
          <w:szCs w:val="26"/>
        </w:rPr>
        <w:t>/</w:t>
      </w:r>
      <w:r w:rsidR="005770C1" w:rsidRPr="00CB6405">
        <w:rPr>
          <w:rFonts w:ascii="Arial" w:hAnsi="Arial" w:cs="Arial"/>
          <w:b/>
          <w:sz w:val="26"/>
          <w:szCs w:val="26"/>
        </w:rPr>
        <w:t>201</w:t>
      </w:r>
      <w:r w:rsidR="00A66CC9">
        <w:rPr>
          <w:rFonts w:ascii="Arial" w:hAnsi="Arial" w:cs="Arial"/>
          <w:b/>
          <w:sz w:val="26"/>
          <w:szCs w:val="26"/>
        </w:rPr>
        <w:t>9</w:t>
      </w:r>
      <w:r w:rsidR="005770C1" w:rsidRPr="00CB6405">
        <w:rPr>
          <w:rFonts w:ascii="Arial" w:hAnsi="Arial" w:cs="Arial"/>
          <w:b/>
          <w:sz w:val="26"/>
          <w:szCs w:val="26"/>
        </w:rPr>
        <w:t xml:space="preserve"> </w:t>
      </w:r>
      <w:r w:rsidR="004958FA">
        <w:rPr>
          <w:rFonts w:ascii="Arial" w:hAnsi="Arial" w:cs="Arial"/>
          <w:b/>
          <w:sz w:val="26"/>
          <w:szCs w:val="26"/>
        </w:rPr>
        <w:t xml:space="preserve">SEXTA </w:t>
      </w:r>
      <w:r w:rsidR="005770C1"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772A26" w:rsidRDefault="00374257" w:rsidP="00772A26">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3F3076">
        <w:rPr>
          <w:rFonts w:ascii="Arial" w:hAnsi="Arial" w:cs="Arial"/>
          <w:b/>
          <w:sz w:val="26"/>
          <w:szCs w:val="26"/>
        </w:rPr>
        <w:t xml:space="preserve">, A </w:t>
      </w:r>
      <w:r w:rsidR="00772A26">
        <w:rPr>
          <w:rFonts w:ascii="Arial" w:hAnsi="Arial" w:cs="Arial"/>
          <w:b/>
          <w:sz w:val="26"/>
          <w:szCs w:val="26"/>
        </w:rPr>
        <w:t>QUIN</w:t>
      </w:r>
      <w:r w:rsidR="000A2C75">
        <w:rPr>
          <w:rFonts w:ascii="Arial" w:hAnsi="Arial" w:cs="Arial"/>
          <w:b/>
          <w:sz w:val="26"/>
          <w:szCs w:val="26"/>
        </w:rPr>
        <w:t>CE DE ENERO DE DOS MIL VEINTE.</w:t>
      </w:r>
    </w:p>
    <w:p w:rsidR="005770C1" w:rsidRPr="00AA1C55" w:rsidRDefault="005770C1" w:rsidP="00AA1C55">
      <w:pPr>
        <w:spacing w:line="360" w:lineRule="auto"/>
        <w:ind w:firstLine="708"/>
        <w:jc w:val="both"/>
        <w:rPr>
          <w:rFonts w:ascii="Arial" w:hAnsi="Arial" w:cs="Arial"/>
          <w:b/>
          <w:bCs/>
          <w:sz w:val="26"/>
          <w:szCs w:val="26"/>
        </w:rPr>
      </w:pPr>
      <w:r w:rsidRPr="00CB6405">
        <w:rPr>
          <w:rFonts w:ascii="Arial" w:hAnsi="Arial" w:cs="Arial"/>
          <w:sz w:val="26"/>
          <w:szCs w:val="26"/>
        </w:rPr>
        <w:t>Por recibido l</w:t>
      </w:r>
      <w:r w:rsidR="00A66CC9">
        <w:rPr>
          <w:rFonts w:ascii="Arial" w:hAnsi="Arial" w:cs="Arial"/>
          <w:sz w:val="26"/>
          <w:szCs w:val="26"/>
        </w:rPr>
        <w:t>os</w:t>
      </w:r>
      <w:r w:rsidRPr="00CB6405">
        <w:rPr>
          <w:rFonts w:ascii="Arial" w:hAnsi="Arial" w:cs="Arial"/>
          <w:sz w:val="26"/>
          <w:szCs w:val="26"/>
        </w:rPr>
        <w:t xml:space="preserve"> Cuaderno</w:t>
      </w:r>
      <w:r w:rsidR="00A66CC9">
        <w:rPr>
          <w:rFonts w:ascii="Arial" w:hAnsi="Arial" w:cs="Arial"/>
          <w:sz w:val="26"/>
          <w:szCs w:val="26"/>
        </w:rPr>
        <w:t>s</w:t>
      </w:r>
      <w:r w:rsidRPr="00CB6405">
        <w:rPr>
          <w:rFonts w:ascii="Arial" w:hAnsi="Arial" w:cs="Arial"/>
          <w:sz w:val="26"/>
          <w:szCs w:val="26"/>
        </w:rPr>
        <w:t xml:space="preserve"> de Revisión </w:t>
      </w:r>
      <w:r w:rsidR="00A66CC9">
        <w:rPr>
          <w:rFonts w:ascii="Arial" w:hAnsi="Arial" w:cs="Arial"/>
          <w:b/>
          <w:sz w:val="26"/>
          <w:szCs w:val="26"/>
        </w:rPr>
        <w:t>227</w:t>
      </w:r>
      <w:r w:rsidRPr="00CB6405">
        <w:rPr>
          <w:rFonts w:ascii="Arial" w:hAnsi="Arial" w:cs="Arial"/>
          <w:b/>
          <w:sz w:val="26"/>
          <w:szCs w:val="26"/>
        </w:rPr>
        <w:t>/201</w:t>
      </w:r>
      <w:r w:rsidR="004958FA">
        <w:rPr>
          <w:rFonts w:ascii="Arial" w:hAnsi="Arial" w:cs="Arial"/>
          <w:b/>
          <w:sz w:val="26"/>
          <w:szCs w:val="26"/>
        </w:rPr>
        <w:t>9</w:t>
      </w:r>
      <w:r w:rsidR="00A66CC9">
        <w:rPr>
          <w:rFonts w:ascii="Arial" w:hAnsi="Arial" w:cs="Arial"/>
          <w:b/>
          <w:sz w:val="26"/>
          <w:szCs w:val="26"/>
        </w:rPr>
        <w:t xml:space="preserve"> y 234/2019</w:t>
      </w:r>
      <w:r w:rsidRPr="00CB6405">
        <w:rPr>
          <w:rFonts w:ascii="Arial" w:hAnsi="Arial" w:cs="Arial"/>
          <w:sz w:val="26"/>
          <w:szCs w:val="26"/>
        </w:rPr>
        <w:t>, que remite la Secretaría General de Acuerdos, con motivo del recurso de revisión interpuesto por</w:t>
      </w:r>
      <w:r w:rsidR="00316B92" w:rsidRPr="00D17D46">
        <w:rPr>
          <w:rFonts w:ascii="Arial" w:hAnsi="Arial" w:cs="Arial"/>
          <w:sz w:val="26"/>
          <w:szCs w:val="26"/>
        </w:rPr>
        <w:t xml:space="preserve"> </w:t>
      </w:r>
      <w:r w:rsidR="008B3573">
        <w:rPr>
          <w:rFonts w:ascii="Arial" w:hAnsi="Arial" w:cs="Arial"/>
          <w:b/>
          <w:sz w:val="26"/>
          <w:szCs w:val="26"/>
        </w:rPr>
        <w:t>***********</w:t>
      </w:r>
      <w:r w:rsidRPr="00CB6405">
        <w:rPr>
          <w:rFonts w:ascii="Arial" w:hAnsi="Arial" w:cs="Arial"/>
          <w:sz w:val="26"/>
          <w:szCs w:val="26"/>
        </w:rPr>
        <w:t>, en contra de</w:t>
      </w:r>
      <w:r w:rsidR="004958FA">
        <w:rPr>
          <w:rFonts w:ascii="Arial" w:hAnsi="Arial" w:cs="Arial"/>
          <w:sz w:val="26"/>
          <w:szCs w:val="26"/>
        </w:rPr>
        <w:t>l</w:t>
      </w:r>
      <w:r w:rsidR="00A66CC9">
        <w:rPr>
          <w:rFonts w:ascii="Arial" w:hAnsi="Arial" w:cs="Arial"/>
          <w:sz w:val="26"/>
          <w:szCs w:val="26"/>
        </w:rPr>
        <w:t xml:space="preserve"> acuerdo de diez de junio </w:t>
      </w:r>
      <w:r>
        <w:rPr>
          <w:rFonts w:ascii="Arial" w:hAnsi="Arial" w:cs="Arial"/>
          <w:sz w:val="26"/>
          <w:szCs w:val="26"/>
        </w:rPr>
        <w:t>de</w:t>
      </w:r>
      <w:r w:rsidR="00805D28">
        <w:rPr>
          <w:rFonts w:ascii="Arial" w:hAnsi="Arial" w:cs="Arial"/>
          <w:sz w:val="26"/>
          <w:szCs w:val="26"/>
        </w:rPr>
        <w:t xml:space="preserve"> </w:t>
      </w:r>
      <w:r w:rsidRPr="00CB6405">
        <w:rPr>
          <w:rFonts w:ascii="Arial" w:hAnsi="Arial" w:cs="Arial"/>
          <w:sz w:val="26"/>
          <w:szCs w:val="26"/>
        </w:rPr>
        <w:t>dos mil dieci</w:t>
      </w:r>
      <w:r w:rsidR="00A66CC9">
        <w:rPr>
          <w:rFonts w:ascii="Arial" w:hAnsi="Arial" w:cs="Arial"/>
          <w:sz w:val="26"/>
          <w:szCs w:val="26"/>
        </w:rPr>
        <w:t>nueve</w:t>
      </w:r>
      <w:r>
        <w:rPr>
          <w:rFonts w:ascii="Arial" w:hAnsi="Arial" w:cs="Arial"/>
          <w:sz w:val="26"/>
          <w:szCs w:val="26"/>
        </w:rPr>
        <w:t>, dictad</w:t>
      </w:r>
      <w:r w:rsidR="00233FC9">
        <w:rPr>
          <w:rFonts w:ascii="Arial" w:hAnsi="Arial" w:cs="Arial"/>
          <w:sz w:val="26"/>
          <w:szCs w:val="26"/>
        </w:rPr>
        <w:t>o</w:t>
      </w:r>
      <w:r w:rsidRPr="00CB6405">
        <w:rPr>
          <w:rFonts w:ascii="Arial" w:hAnsi="Arial" w:cs="Arial"/>
          <w:sz w:val="26"/>
          <w:szCs w:val="26"/>
        </w:rPr>
        <w:t xml:space="preserve"> en el </w:t>
      </w:r>
      <w:r w:rsidR="001C7145">
        <w:rPr>
          <w:rFonts w:ascii="Arial" w:hAnsi="Arial" w:cs="Arial"/>
          <w:sz w:val="26"/>
          <w:szCs w:val="26"/>
        </w:rPr>
        <w:t xml:space="preserve">cuaderno de suspensión </w:t>
      </w:r>
      <w:r w:rsidR="00D17D46">
        <w:rPr>
          <w:rFonts w:ascii="Arial" w:hAnsi="Arial" w:cs="Arial"/>
          <w:sz w:val="26"/>
          <w:szCs w:val="26"/>
        </w:rPr>
        <w:t xml:space="preserve">deducido </w:t>
      </w:r>
      <w:r w:rsidR="001C7145">
        <w:rPr>
          <w:rFonts w:ascii="Arial" w:hAnsi="Arial" w:cs="Arial"/>
          <w:sz w:val="26"/>
          <w:szCs w:val="26"/>
        </w:rPr>
        <w:t xml:space="preserve">del </w:t>
      </w:r>
      <w:r w:rsidRPr="00CB6405">
        <w:rPr>
          <w:rFonts w:ascii="Arial" w:hAnsi="Arial" w:cs="Arial"/>
          <w:sz w:val="26"/>
          <w:szCs w:val="26"/>
        </w:rPr>
        <w:t xml:space="preserve">expediente </w:t>
      </w:r>
      <w:r w:rsidR="00DE569E">
        <w:rPr>
          <w:rFonts w:ascii="Arial" w:hAnsi="Arial" w:cs="Arial"/>
          <w:b/>
          <w:sz w:val="26"/>
          <w:szCs w:val="26"/>
        </w:rPr>
        <w:t>0</w:t>
      </w:r>
      <w:r w:rsidR="004958FA">
        <w:rPr>
          <w:rFonts w:ascii="Arial" w:hAnsi="Arial" w:cs="Arial"/>
          <w:b/>
          <w:sz w:val="26"/>
          <w:szCs w:val="26"/>
        </w:rPr>
        <w:t>0</w:t>
      </w:r>
      <w:r w:rsidR="00A66CC9">
        <w:rPr>
          <w:rFonts w:ascii="Arial" w:hAnsi="Arial" w:cs="Arial"/>
          <w:b/>
          <w:sz w:val="26"/>
          <w:szCs w:val="26"/>
        </w:rPr>
        <w:t>55</w:t>
      </w:r>
      <w:r w:rsidRPr="00CB6405">
        <w:rPr>
          <w:rFonts w:ascii="Arial" w:hAnsi="Arial" w:cs="Arial"/>
          <w:b/>
          <w:sz w:val="26"/>
          <w:szCs w:val="26"/>
        </w:rPr>
        <w:t>/201</w:t>
      </w:r>
      <w:r w:rsidR="00A66CC9">
        <w:rPr>
          <w:rFonts w:ascii="Arial" w:hAnsi="Arial" w:cs="Arial"/>
          <w:b/>
          <w:sz w:val="26"/>
          <w:szCs w:val="26"/>
        </w:rPr>
        <w:t>9</w:t>
      </w:r>
      <w:r w:rsidRPr="00CB6405">
        <w:rPr>
          <w:rFonts w:ascii="Arial" w:hAnsi="Arial" w:cs="Arial"/>
          <w:sz w:val="26"/>
          <w:szCs w:val="26"/>
        </w:rPr>
        <w:t xml:space="preserve"> de la </w:t>
      </w:r>
      <w:r w:rsidR="004958FA">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8B3573">
        <w:rPr>
          <w:rFonts w:ascii="Arial" w:hAnsi="Arial" w:cs="Arial"/>
          <w:sz w:val="26"/>
          <w:szCs w:val="26"/>
        </w:rPr>
        <w:t>el **********</w:t>
      </w:r>
      <w:r w:rsidR="001C7145">
        <w:rPr>
          <w:rFonts w:ascii="Arial" w:hAnsi="Arial" w:cs="Arial"/>
          <w:b/>
          <w:bCs/>
          <w:sz w:val="26"/>
          <w:szCs w:val="26"/>
        </w:rPr>
        <w:t xml:space="preserve"> </w:t>
      </w:r>
      <w:r w:rsidR="001C7145">
        <w:rPr>
          <w:rFonts w:ascii="Arial" w:hAnsi="Arial" w:cs="Arial"/>
          <w:sz w:val="26"/>
          <w:szCs w:val="26"/>
        </w:rPr>
        <w:t>en contra de</w:t>
      </w:r>
      <w:r w:rsidR="00F10CA3">
        <w:rPr>
          <w:rFonts w:ascii="Arial" w:hAnsi="Arial" w:cs="Arial"/>
          <w:sz w:val="26"/>
          <w:szCs w:val="26"/>
        </w:rPr>
        <w:t xml:space="preserve"> </w:t>
      </w:r>
      <w:r w:rsidR="00A66CC9">
        <w:rPr>
          <w:rFonts w:ascii="Arial" w:hAnsi="Arial" w:cs="Arial"/>
          <w:sz w:val="26"/>
          <w:szCs w:val="26"/>
        </w:rPr>
        <w:t xml:space="preserve">la </w:t>
      </w:r>
      <w:r w:rsidR="00A66CC9">
        <w:rPr>
          <w:rFonts w:ascii="Arial" w:hAnsi="Arial" w:cs="Arial"/>
          <w:b/>
          <w:sz w:val="26"/>
          <w:szCs w:val="26"/>
        </w:rPr>
        <w:t>DIRECTORA DE INGRESOS Y RECAUDACIÓN DE LA SECRETARÍA DE FINANZAS y del SECRETARIO DE FINANZAS, ambos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Default="005770C1" w:rsidP="00F10CA3">
      <w:pPr>
        <w:spacing w:line="360" w:lineRule="auto"/>
        <w:ind w:firstLine="708"/>
        <w:jc w:val="both"/>
        <w:rPr>
          <w:rFonts w:ascii="Arial" w:hAnsi="Arial" w:cs="Arial"/>
          <w:sz w:val="26"/>
          <w:szCs w:val="26"/>
        </w:rPr>
      </w:pPr>
      <w:r w:rsidRPr="00CB6405">
        <w:rPr>
          <w:rFonts w:ascii="Arial" w:hAnsi="Arial" w:cs="Arial"/>
          <w:b/>
          <w:bCs/>
          <w:sz w:val="26"/>
          <w:szCs w:val="26"/>
        </w:rPr>
        <w:t>PRIMERO.</w:t>
      </w:r>
      <w:r w:rsidR="00FA5B4C">
        <w:rPr>
          <w:rFonts w:ascii="Arial" w:hAnsi="Arial" w:cs="Arial"/>
          <w:b/>
          <w:bCs/>
          <w:sz w:val="26"/>
          <w:szCs w:val="26"/>
        </w:rPr>
        <w:t xml:space="preserve"> </w:t>
      </w:r>
      <w:r w:rsidRPr="00CB6405">
        <w:rPr>
          <w:rFonts w:ascii="Arial" w:hAnsi="Arial" w:cs="Arial"/>
          <w:sz w:val="26"/>
          <w:szCs w:val="26"/>
        </w:rPr>
        <w:t>Inconforme</w:t>
      </w:r>
      <w:r w:rsidR="004958FA">
        <w:rPr>
          <w:rFonts w:ascii="Arial" w:hAnsi="Arial" w:cs="Arial"/>
          <w:sz w:val="26"/>
          <w:szCs w:val="26"/>
        </w:rPr>
        <w:t xml:space="preserve"> con </w:t>
      </w:r>
      <w:r w:rsidR="00A66CC9">
        <w:rPr>
          <w:rFonts w:ascii="Arial" w:hAnsi="Arial" w:cs="Arial"/>
          <w:sz w:val="26"/>
          <w:szCs w:val="26"/>
        </w:rPr>
        <w:t>el acuerdo de diez de junio de dos mil diecinueve</w:t>
      </w:r>
      <w:r w:rsidRPr="00CB6405">
        <w:rPr>
          <w:rFonts w:ascii="Arial" w:hAnsi="Arial" w:cs="Arial"/>
          <w:sz w:val="26"/>
          <w:szCs w:val="26"/>
        </w:rPr>
        <w:t>, dictad</w:t>
      </w:r>
      <w:r w:rsidR="00A66CC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4958FA">
        <w:rPr>
          <w:rFonts w:ascii="Arial" w:hAnsi="Arial" w:cs="Arial"/>
          <w:sz w:val="26"/>
          <w:szCs w:val="26"/>
        </w:rPr>
        <w:t xml:space="preserve">Sexta </w:t>
      </w:r>
      <w:r w:rsidRPr="00CB6405">
        <w:rPr>
          <w:rFonts w:ascii="Arial" w:hAnsi="Arial" w:cs="Arial"/>
          <w:sz w:val="26"/>
          <w:szCs w:val="26"/>
        </w:rPr>
        <w:t xml:space="preserve">Sala Unitaria de Primera Instancia, </w:t>
      </w:r>
      <w:r w:rsidR="008B3573">
        <w:rPr>
          <w:rFonts w:ascii="Arial" w:hAnsi="Arial" w:cs="Arial"/>
          <w:b/>
          <w:sz w:val="26"/>
          <w:szCs w:val="26"/>
        </w:rPr>
        <w:t>**********</w:t>
      </w:r>
      <w:r w:rsidR="00A66CC9" w:rsidRPr="00CB6405">
        <w:rPr>
          <w:rFonts w:ascii="Arial" w:hAnsi="Arial" w:cs="Arial"/>
          <w:sz w:val="26"/>
          <w:szCs w:val="26"/>
        </w:rPr>
        <w:t>,</w:t>
      </w:r>
      <w:r w:rsidR="00DE569E" w:rsidRPr="00CB6405">
        <w:rPr>
          <w:rFonts w:ascii="Arial" w:hAnsi="Arial" w:cs="Arial"/>
          <w:sz w:val="26"/>
          <w:szCs w:val="26"/>
        </w:rPr>
        <w:t xml:space="preserve"> </w:t>
      </w:r>
      <w:r w:rsidRPr="00CB6405">
        <w:rPr>
          <w:rFonts w:ascii="Arial" w:hAnsi="Arial" w:cs="Arial"/>
          <w:sz w:val="26"/>
          <w:szCs w:val="26"/>
        </w:rPr>
        <w:t>interpus</w:t>
      </w:r>
      <w:r w:rsidR="00A66CC9">
        <w:rPr>
          <w:rFonts w:ascii="Arial" w:hAnsi="Arial" w:cs="Arial"/>
          <w:sz w:val="26"/>
          <w:szCs w:val="26"/>
        </w:rPr>
        <w:t>o</w:t>
      </w:r>
      <w:r w:rsidRPr="00CB6405">
        <w:rPr>
          <w:rFonts w:ascii="Arial" w:hAnsi="Arial" w:cs="Arial"/>
          <w:sz w:val="26"/>
          <w:szCs w:val="26"/>
        </w:rPr>
        <w:t xml:space="preserve"> en su contra recurso de revisión.</w:t>
      </w:r>
    </w:p>
    <w:p w:rsidR="004958FA" w:rsidRDefault="00EE5FFA" w:rsidP="0054755B">
      <w:pPr>
        <w:spacing w:after="0" w:line="360" w:lineRule="auto"/>
        <w:ind w:firstLine="708"/>
        <w:jc w:val="both"/>
        <w:rPr>
          <w:rFonts w:ascii="Arial" w:hAnsi="Arial" w:cs="Arial"/>
          <w:bCs/>
          <w:sz w:val="26"/>
          <w:szCs w:val="26"/>
        </w:rPr>
      </w:pPr>
      <w:r>
        <w:rPr>
          <w:rFonts w:ascii="Arial" w:hAnsi="Arial" w:cs="Arial"/>
          <w:b/>
          <w:sz w:val="26"/>
          <w:szCs w:val="26"/>
        </w:rPr>
        <w:t xml:space="preserve">SEGUNDO. </w:t>
      </w:r>
      <w:r w:rsidR="00A66CC9">
        <w:rPr>
          <w:rFonts w:ascii="Arial" w:hAnsi="Arial" w:cs="Arial"/>
          <w:sz w:val="26"/>
          <w:szCs w:val="26"/>
        </w:rPr>
        <w:t>La parte conducente del acuerdo recurrido e</w:t>
      </w:r>
      <w:r>
        <w:rPr>
          <w:rFonts w:ascii="Arial" w:hAnsi="Arial" w:cs="Arial"/>
          <w:sz w:val="26"/>
          <w:szCs w:val="26"/>
        </w:rPr>
        <w:t xml:space="preserve">s </w:t>
      </w:r>
      <w:r w:rsidR="00A66CC9">
        <w:rPr>
          <w:rFonts w:ascii="Arial" w:hAnsi="Arial" w:cs="Arial"/>
          <w:sz w:val="26"/>
          <w:szCs w:val="26"/>
        </w:rPr>
        <w:t>e</w:t>
      </w:r>
      <w:r>
        <w:rPr>
          <w:rFonts w:ascii="Arial" w:hAnsi="Arial" w:cs="Arial"/>
          <w:sz w:val="26"/>
          <w:szCs w:val="26"/>
        </w:rPr>
        <w:t>l</w:t>
      </w:r>
      <w:r w:rsidR="00A66CC9">
        <w:rPr>
          <w:rFonts w:ascii="Arial" w:hAnsi="Arial" w:cs="Arial"/>
          <w:sz w:val="26"/>
          <w:szCs w:val="26"/>
        </w:rPr>
        <w:t xml:space="preserve"> siguiente</w:t>
      </w:r>
      <w:r>
        <w:rPr>
          <w:rFonts w:ascii="Arial" w:hAnsi="Arial" w:cs="Arial"/>
          <w:sz w:val="26"/>
          <w:szCs w:val="26"/>
        </w:rPr>
        <w:t>:</w:t>
      </w:r>
    </w:p>
    <w:p w:rsidR="0099624C" w:rsidRPr="008C011E" w:rsidRDefault="008C011E" w:rsidP="0054755B">
      <w:pPr>
        <w:spacing w:after="0" w:line="360" w:lineRule="auto"/>
        <w:ind w:left="1134" w:right="616"/>
        <w:jc w:val="both"/>
        <w:rPr>
          <w:rFonts w:ascii="Arial" w:eastAsia="Times New Roman" w:hAnsi="Arial" w:cs="Arial"/>
          <w:bCs/>
          <w:i/>
          <w:iCs/>
          <w:lang w:eastAsia="es-ES"/>
        </w:rPr>
      </w:pPr>
      <w:r w:rsidRPr="008C011E">
        <w:rPr>
          <w:rFonts w:ascii="Arial" w:eastAsia="Times New Roman" w:hAnsi="Arial" w:cs="Arial"/>
          <w:bCs/>
          <w:i/>
          <w:iCs/>
          <w:lang w:eastAsia="es-ES"/>
        </w:rPr>
        <w:t xml:space="preserve">“En cumplimiento al acuerdo de la misma fecha, dictado en los autos del expediente </w:t>
      </w:r>
      <w:r w:rsidRPr="008C011E">
        <w:rPr>
          <w:rFonts w:ascii="Arial" w:eastAsia="Times New Roman" w:hAnsi="Arial" w:cs="Arial"/>
          <w:b/>
          <w:bCs/>
          <w:i/>
          <w:iCs/>
          <w:lang w:eastAsia="es-ES"/>
        </w:rPr>
        <w:t xml:space="preserve">55/2019, </w:t>
      </w:r>
      <w:r w:rsidRPr="008C011E">
        <w:rPr>
          <w:rFonts w:ascii="Arial" w:eastAsia="Times New Roman" w:hAnsi="Arial" w:cs="Arial"/>
          <w:bCs/>
          <w:i/>
          <w:iCs/>
          <w:lang w:eastAsia="es-ES"/>
        </w:rPr>
        <w:t xml:space="preserve">fórmese el presente cuaderno de suspensión, con copia simple del escrito de demanda de </w:t>
      </w:r>
      <w:r w:rsidR="008B3573" w:rsidRPr="008B3573">
        <w:rPr>
          <w:rFonts w:ascii="Arial" w:hAnsi="Arial" w:cs="Arial"/>
          <w:b/>
        </w:rPr>
        <w:t>***********</w:t>
      </w:r>
      <w:r w:rsidRPr="008B3573">
        <w:rPr>
          <w:rFonts w:ascii="Arial" w:hAnsi="Arial" w:cs="Arial"/>
          <w:b/>
        </w:rPr>
        <w:t>,</w:t>
      </w:r>
      <w:r w:rsidRPr="008C011E">
        <w:rPr>
          <w:rFonts w:ascii="Arial" w:hAnsi="Arial" w:cs="Arial"/>
        </w:rPr>
        <w:t xml:space="preserve"> </w:t>
      </w:r>
      <w:r w:rsidRPr="008C011E">
        <w:rPr>
          <w:rFonts w:ascii="Arial" w:eastAsia="Times New Roman" w:hAnsi="Arial" w:cs="Arial"/>
          <w:bCs/>
          <w:i/>
          <w:iCs/>
          <w:lang w:eastAsia="es-ES"/>
        </w:rPr>
        <w:t>por medio del cual manifiesta... Con fundamento en los artículos 218, fracción I (contrario sensu) y 218 fracción IV de la</w:t>
      </w:r>
      <w:r w:rsidRPr="000A2C75">
        <w:rPr>
          <w:rFonts w:ascii="Arial" w:eastAsia="Times New Roman" w:hAnsi="Arial" w:cs="Arial"/>
          <w:bCs/>
          <w:i/>
          <w:iCs/>
          <w:szCs w:val="24"/>
          <w:lang w:eastAsia="es-ES"/>
        </w:rPr>
        <w:t xml:space="preserve"> </w:t>
      </w:r>
      <w:r w:rsidR="008B3573" w:rsidRPr="008C011E">
        <w:rPr>
          <w:rFonts w:ascii="Arial" w:eastAsia="Times New Roman" w:hAnsi="Arial" w:cs="Arial"/>
          <w:bCs/>
          <w:i/>
          <w:iCs/>
          <w:lang w:eastAsia="es-ES"/>
        </w:rPr>
        <w:t>ley</w:t>
      </w:r>
      <w:r w:rsidR="00A66CC9" w:rsidRPr="008C011E">
        <w:rPr>
          <w:rFonts w:ascii="Arial" w:eastAsia="Times New Roman" w:hAnsi="Arial" w:cs="Arial"/>
          <w:bCs/>
          <w:i/>
          <w:iCs/>
          <w:lang w:eastAsia="es-ES"/>
        </w:rPr>
        <w:t xml:space="preserve"> de Procedimiento y Justicia Administrativa para el Estado de Oaxaca </w:t>
      </w:r>
      <w:r w:rsidR="00A66CC9" w:rsidRPr="008C011E">
        <w:rPr>
          <w:rFonts w:ascii="Arial" w:eastAsia="Times New Roman" w:hAnsi="Arial" w:cs="Arial"/>
          <w:b/>
          <w:bCs/>
          <w:i/>
          <w:iCs/>
          <w:u w:val="single"/>
          <w:lang w:eastAsia="es-ES"/>
        </w:rPr>
        <w:t>se niega la suspensión provisional a la parte actora,</w:t>
      </w:r>
      <w:r w:rsidR="00A66CC9" w:rsidRPr="008C011E">
        <w:rPr>
          <w:rFonts w:ascii="Arial" w:eastAsia="Times New Roman" w:hAnsi="Arial" w:cs="Arial"/>
          <w:bCs/>
          <w:i/>
          <w:iCs/>
          <w:lang w:eastAsia="es-ES"/>
        </w:rPr>
        <w:t xml:space="preserve"> porque su solicitud es para efecto de que se suspendan los actos que impugna en su demanda, consistentes en la Multa por Infracción </w:t>
      </w:r>
      <w:r w:rsidR="00A66CC9" w:rsidRPr="008C011E">
        <w:rPr>
          <w:rFonts w:ascii="Arial" w:eastAsia="Times New Roman" w:hAnsi="Arial" w:cs="Arial"/>
          <w:bCs/>
          <w:i/>
          <w:iCs/>
          <w:lang w:eastAsia="es-ES"/>
        </w:rPr>
        <w:lastRenderedPageBreak/>
        <w:t xml:space="preserve">Relacionada con la Presentación de Declaraciones del Impuesto Sobre Erogaciones por Remuneraciones al Trabajo Personal emitido por la Directora de Ingresos y Recaudación de la Secretaría de Finanzas del Estado y, el o hacer del Secretario de Finanzas respecto del cobro de multas y recargos realizados por la referida autoridad, esto es así, porque es precisamente la legalidad de los mismo materia del fondo del asunto que deberá resolverse en sentencia </w:t>
      </w:r>
      <w:r w:rsidR="00233FC9" w:rsidRPr="008C011E">
        <w:rPr>
          <w:rFonts w:ascii="Arial" w:eastAsia="Times New Roman" w:hAnsi="Arial" w:cs="Arial"/>
          <w:bCs/>
          <w:i/>
          <w:iCs/>
          <w:lang w:eastAsia="es-ES"/>
        </w:rPr>
        <w:t>definitiva, por lo que la concesión de la suspensión provisional dejaría sin materia el juicio y, en relación al acto atribuido al Secretario de Finanzas del Estado se advierte de los autos que constan en el expediente principal del que deriva el presente cuaderno de suspensión, que se desechó la demanda en contra de esa autoridad</w:t>
      </w:r>
      <w:r w:rsidR="00F60CD1" w:rsidRPr="008C011E">
        <w:rPr>
          <w:rFonts w:ascii="Arial" w:eastAsia="Times New Roman" w:hAnsi="Arial" w:cs="Arial"/>
          <w:bCs/>
          <w:i/>
          <w:iCs/>
          <w:lang w:eastAsia="es-ES"/>
        </w:rPr>
        <w:t>.</w:t>
      </w:r>
      <w:r w:rsidR="004958FA" w:rsidRPr="008C011E">
        <w:rPr>
          <w:rFonts w:ascii="Arial" w:eastAsia="Times New Roman" w:hAnsi="Arial" w:cs="Arial"/>
          <w:bCs/>
          <w:i/>
          <w:iCs/>
          <w:lang w:eastAsia="es-ES"/>
        </w:rPr>
        <w:t>- - -</w:t>
      </w:r>
      <w:r>
        <w:rPr>
          <w:rFonts w:ascii="Arial" w:eastAsia="Times New Roman" w:hAnsi="Arial" w:cs="Arial"/>
          <w:bCs/>
          <w:i/>
          <w:iCs/>
          <w:lang w:eastAsia="es-ES"/>
        </w:rPr>
        <w:t xml:space="preserve"> - - - - - - - </w:t>
      </w:r>
      <w:r w:rsidR="004958FA" w:rsidRPr="008C011E">
        <w:rPr>
          <w:rFonts w:ascii="Arial" w:eastAsia="Times New Roman" w:hAnsi="Arial" w:cs="Arial"/>
          <w:bCs/>
          <w:i/>
          <w:iCs/>
          <w:lang w:eastAsia="es-ES"/>
        </w:rPr>
        <w:t>”</w:t>
      </w:r>
    </w:p>
    <w:p w:rsidR="005770C1" w:rsidRPr="00CB6405" w:rsidRDefault="005770C1" w:rsidP="0054755B">
      <w:pPr>
        <w:spacing w:before="240" w:after="0" w:line="360" w:lineRule="auto"/>
        <w:ind w:left="1559" w:right="616" w:firstLine="565"/>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233FC9" w:rsidP="0054755B">
      <w:pPr>
        <w:spacing w:before="240" w:after="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w:t>
      </w:r>
      <w:r w:rsidR="004E5001">
        <w:rPr>
          <w:rFonts w:ascii="Arial" w:hAnsi="Arial" w:cs="Arial"/>
          <w:bCs/>
          <w:iCs/>
          <w:sz w:val="26"/>
          <w:szCs w:val="26"/>
        </w:rPr>
        <w:t xml:space="preserve"> artículo 1, párrafo segundo, artículo 2, párrafos primero y cuarto, artículo 4, fracción VIII, </w:t>
      </w:r>
      <w:r>
        <w:rPr>
          <w:rFonts w:ascii="Arial" w:hAnsi="Arial" w:cs="Arial"/>
          <w:bCs/>
          <w:iCs/>
          <w:sz w:val="26"/>
          <w:szCs w:val="26"/>
        </w:rPr>
        <w:t xml:space="preserve"> 23, 24 fracción I, 25 fracción I y 27 de la Ley Orgánica del Tribunal de Justicia Administrativa del Estado de Oaxaca, publicada en el Periódico Oficial del Estado de Oaxaca, el 7 siete de noviembre de 2019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35817">
        <w:rPr>
          <w:rFonts w:ascii="Arial" w:hAnsi="Arial" w:cs="Arial"/>
          <w:bCs/>
          <w:iCs/>
          <w:sz w:val="26"/>
          <w:szCs w:val="26"/>
        </w:rPr>
        <w:t>l</w:t>
      </w:r>
      <w:r>
        <w:rPr>
          <w:rFonts w:ascii="Arial" w:hAnsi="Arial" w:cs="Arial"/>
          <w:bCs/>
          <w:iCs/>
          <w:sz w:val="26"/>
          <w:szCs w:val="26"/>
        </w:rPr>
        <w:t xml:space="preserve"> acuerdo de diez de junio de dos mil diecinueve, dictado</w:t>
      </w:r>
      <w:r w:rsidR="005770C1">
        <w:rPr>
          <w:rFonts w:ascii="Arial" w:hAnsi="Arial" w:cs="Arial"/>
          <w:bCs/>
          <w:iCs/>
          <w:sz w:val="26"/>
          <w:szCs w:val="26"/>
        </w:rPr>
        <w:t xml:space="preserve"> </w:t>
      </w:r>
      <w:r w:rsidR="005770C1" w:rsidRPr="00CB6405">
        <w:rPr>
          <w:rFonts w:ascii="Arial" w:hAnsi="Arial" w:cs="Arial"/>
          <w:bCs/>
          <w:iCs/>
          <w:sz w:val="26"/>
          <w:szCs w:val="26"/>
        </w:rPr>
        <w:t xml:space="preserve">por la </w:t>
      </w:r>
      <w:r w:rsidR="00774011">
        <w:rPr>
          <w:rFonts w:ascii="Arial" w:hAnsi="Arial" w:cs="Arial"/>
          <w:bCs/>
          <w:iCs/>
          <w:sz w:val="26"/>
          <w:szCs w:val="26"/>
        </w:rPr>
        <w:t xml:space="preserve">Sexta </w:t>
      </w:r>
      <w:r w:rsidR="005770C1" w:rsidRPr="00CB6405">
        <w:rPr>
          <w:rFonts w:ascii="Arial" w:hAnsi="Arial" w:cs="Arial"/>
          <w:bCs/>
          <w:iCs/>
          <w:sz w:val="26"/>
          <w:szCs w:val="26"/>
        </w:rPr>
        <w:t xml:space="preserve">Sala Unitaria de Primera Instancia de este Tribunal, en el </w:t>
      </w:r>
      <w:r w:rsidR="00535817">
        <w:rPr>
          <w:rFonts w:ascii="Arial" w:hAnsi="Arial" w:cs="Arial"/>
          <w:bCs/>
          <w:iCs/>
          <w:sz w:val="26"/>
          <w:szCs w:val="26"/>
        </w:rPr>
        <w:t xml:space="preserve">cuaderno de suspensión </w:t>
      </w:r>
      <w:r w:rsidR="007435DB">
        <w:rPr>
          <w:rFonts w:ascii="Arial" w:hAnsi="Arial" w:cs="Arial"/>
          <w:bCs/>
          <w:iCs/>
          <w:sz w:val="26"/>
          <w:szCs w:val="26"/>
        </w:rPr>
        <w:t xml:space="preserve">deducido </w:t>
      </w:r>
      <w:r w:rsidR="00535817">
        <w:rPr>
          <w:rFonts w:ascii="Arial" w:hAnsi="Arial" w:cs="Arial"/>
          <w:bCs/>
          <w:iCs/>
          <w:sz w:val="26"/>
          <w:szCs w:val="26"/>
        </w:rPr>
        <w:t xml:space="preserve">del </w:t>
      </w:r>
      <w:r w:rsidR="005770C1" w:rsidRPr="00CB6405">
        <w:rPr>
          <w:rFonts w:ascii="Arial" w:hAnsi="Arial" w:cs="Arial"/>
          <w:bCs/>
          <w:iCs/>
          <w:sz w:val="26"/>
          <w:szCs w:val="26"/>
        </w:rPr>
        <w:t xml:space="preserve">expediente </w:t>
      </w:r>
      <w:r w:rsidR="009142FD">
        <w:rPr>
          <w:rFonts w:ascii="Arial" w:hAnsi="Arial" w:cs="Arial"/>
          <w:b/>
          <w:bCs/>
          <w:iCs/>
          <w:sz w:val="26"/>
          <w:szCs w:val="26"/>
        </w:rPr>
        <w:t>0</w:t>
      </w:r>
      <w:r w:rsidR="00774011">
        <w:rPr>
          <w:rFonts w:ascii="Arial" w:hAnsi="Arial" w:cs="Arial"/>
          <w:b/>
          <w:bCs/>
          <w:iCs/>
          <w:sz w:val="26"/>
          <w:szCs w:val="26"/>
        </w:rPr>
        <w:t>0</w:t>
      </w:r>
      <w:r>
        <w:rPr>
          <w:rFonts w:ascii="Arial" w:hAnsi="Arial" w:cs="Arial"/>
          <w:b/>
          <w:bCs/>
          <w:iCs/>
          <w:sz w:val="26"/>
          <w:szCs w:val="26"/>
        </w:rPr>
        <w:t>55</w:t>
      </w:r>
      <w:r w:rsidR="005770C1">
        <w:rPr>
          <w:rFonts w:ascii="Arial" w:hAnsi="Arial" w:cs="Arial"/>
          <w:b/>
          <w:bCs/>
          <w:iCs/>
          <w:sz w:val="26"/>
          <w:szCs w:val="26"/>
        </w:rPr>
        <w:t>/201</w:t>
      </w:r>
      <w:r>
        <w:rPr>
          <w:rFonts w:ascii="Arial" w:hAnsi="Arial" w:cs="Arial"/>
          <w:b/>
          <w:bCs/>
          <w:iCs/>
          <w:sz w:val="26"/>
          <w:szCs w:val="26"/>
        </w:rPr>
        <w:t>9</w:t>
      </w:r>
      <w:r w:rsidR="005770C1" w:rsidRPr="00CB6405">
        <w:rPr>
          <w:rFonts w:ascii="Arial" w:hAnsi="Arial" w:cs="Arial"/>
          <w:sz w:val="26"/>
          <w:szCs w:val="26"/>
        </w:rPr>
        <w:t>.</w:t>
      </w:r>
    </w:p>
    <w:p w:rsidR="00227A95" w:rsidRDefault="005770C1" w:rsidP="00AC490B">
      <w:pPr>
        <w:spacing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535817">
        <w:rPr>
          <w:rFonts w:ascii="Arial" w:hAnsi="Arial" w:cs="Arial"/>
          <w:sz w:val="26"/>
          <w:szCs w:val="26"/>
        </w:rPr>
        <w:t>l</w:t>
      </w:r>
      <w:r w:rsidR="00443CBD">
        <w:rPr>
          <w:rFonts w:ascii="Arial" w:hAnsi="Arial" w:cs="Arial"/>
          <w:sz w:val="26"/>
          <w:szCs w:val="26"/>
        </w:rPr>
        <w:t xml:space="preserve">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w:t>
      </w:r>
      <w:r w:rsidR="006A14BB">
        <w:rPr>
          <w:rFonts w:ascii="Arial" w:hAnsi="Arial" w:cs="Arial"/>
          <w:sz w:val="26"/>
          <w:szCs w:val="26"/>
        </w:rPr>
        <w:t xml:space="preserve"> sexta parte, página 23, </w:t>
      </w:r>
      <w:r w:rsidR="00EB0FE9">
        <w:rPr>
          <w:rFonts w:ascii="Arial" w:hAnsi="Arial" w:cs="Arial"/>
          <w:sz w:val="26"/>
          <w:szCs w:val="26"/>
        </w:rPr>
        <w:t xml:space="preserve"> común, de rubro y texto siguientes:</w:t>
      </w:r>
    </w:p>
    <w:p w:rsidR="00EB0FE9" w:rsidRPr="008C011E" w:rsidRDefault="00EB0FE9" w:rsidP="00AC490B">
      <w:pPr>
        <w:spacing w:after="0" w:line="360" w:lineRule="auto"/>
        <w:ind w:left="1134" w:right="474"/>
        <w:jc w:val="both"/>
        <w:rPr>
          <w:rFonts w:ascii="Arial" w:hAnsi="Arial" w:cs="Arial"/>
        </w:rPr>
      </w:pPr>
      <w:r w:rsidRPr="008C011E">
        <w:rPr>
          <w:rFonts w:ascii="Arial" w:hAnsi="Arial" w:cs="Arial"/>
        </w:rPr>
        <w:t>“</w:t>
      </w:r>
      <w:r w:rsidRPr="008C011E">
        <w:rPr>
          <w:rFonts w:ascii="Arial" w:hAnsi="Arial" w:cs="Arial"/>
          <w:b/>
          <w:i/>
        </w:rPr>
        <w:t xml:space="preserve">CONCEPTOS DE </w:t>
      </w:r>
      <w:r w:rsidR="00515939" w:rsidRPr="008C011E">
        <w:rPr>
          <w:rFonts w:ascii="Arial" w:hAnsi="Arial" w:cs="Arial"/>
          <w:b/>
          <w:i/>
        </w:rPr>
        <w:t>VIOLACIÓN</w:t>
      </w:r>
      <w:r w:rsidRPr="008C011E">
        <w:rPr>
          <w:rFonts w:ascii="Arial" w:hAnsi="Arial" w:cs="Arial"/>
          <w:b/>
          <w:i/>
        </w:rPr>
        <w:t>. NO ES OBLIGATORIO TRANSCRIBIRLOS EN LA SENTENCIA</w:t>
      </w:r>
      <w:r w:rsidRPr="008C011E">
        <w:rPr>
          <w:rFonts w:ascii="Arial" w:hAnsi="Arial" w:cs="Arial"/>
        </w:rPr>
        <w:t xml:space="preserve">. </w:t>
      </w:r>
      <w:r w:rsidRPr="008C011E">
        <w:rPr>
          <w:rFonts w:ascii="Arial" w:hAnsi="Arial" w:cs="Arial"/>
          <w:i/>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w:t>
      </w:r>
      <w:r w:rsidRPr="008C011E">
        <w:rPr>
          <w:rFonts w:ascii="Arial" w:hAnsi="Arial" w:cs="Arial"/>
          <w:i/>
        </w:rPr>
        <w:lastRenderedPageBreak/>
        <w:t>obligación de hacerlo, máxime si de la lectura de la sentencia recurrida se advierte que el Juez de Distrito expresa las razones conducentes para desestimar los conceptos de violación hechos valer, aun cuando no transcritos</w:t>
      </w:r>
      <w:r w:rsidRPr="008C011E">
        <w:rPr>
          <w:rFonts w:ascii="Arial" w:hAnsi="Arial" w:cs="Arial"/>
        </w:rPr>
        <w:t>.”</w:t>
      </w:r>
    </w:p>
    <w:p w:rsidR="00233FC9"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S</w:t>
      </w:r>
      <w:r w:rsidR="00233FC9">
        <w:rPr>
          <w:rFonts w:ascii="Arial" w:hAnsi="Arial" w:cs="Arial"/>
          <w:bCs/>
          <w:color w:val="000000"/>
          <w:sz w:val="26"/>
          <w:szCs w:val="26"/>
        </w:rPr>
        <w:t>e trabaja en una sola resolución los recursos de revisión 227/2019 y 234/2019, toda vez que ambos fueron interpuestos en contra del acuerdo de diez de junio de dos mil diecinueve, y de la lectura integral a los agravios planteados en dicho</w:t>
      </w:r>
      <w:r w:rsidR="001440E3">
        <w:rPr>
          <w:rFonts w:ascii="Arial" w:hAnsi="Arial" w:cs="Arial"/>
          <w:bCs/>
          <w:color w:val="000000"/>
          <w:sz w:val="26"/>
          <w:szCs w:val="26"/>
        </w:rPr>
        <w:t>s</w:t>
      </w:r>
      <w:r w:rsidR="00233FC9">
        <w:rPr>
          <w:rFonts w:ascii="Arial" w:hAnsi="Arial" w:cs="Arial"/>
          <w:bCs/>
          <w:color w:val="000000"/>
          <w:sz w:val="26"/>
          <w:szCs w:val="26"/>
        </w:rPr>
        <w:t xml:space="preserve"> medios de impugnación, se advierte que los planteamientos son idénticos.</w:t>
      </w:r>
    </w:p>
    <w:p w:rsidR="00233FC9" w:rsidRDefault="00233FC9"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FA1C16">
        <w:rPr>
          <w:rFonts w:ascii="Arial" w:hAnsi="Arial" w:cs="Arial"/>
          <w:b/>
          <w:bCs/>
          <w:color w:val="000000"/>
          <w:sz w:val="26"/>
          <w:szCs w:val="26"/>
        </w:rPr>
        <w:t xml:space="preserve">CUARTO. </w:t>
      </w:r>
      <w:r w:rsidR="00513620" w:rsidRPr="00513620">
        <w:rPr>
          <w:rFonts w:ascii="Arial" w:hAnsi="Arial" w:cs="Arial"/>
          <w:bCs/>
          <w:color w:val="000000"/>
          <w:sz w:val="26"/>
          <w:szCs w:val="26"/>
        </w:rPr>
        <w:t>Son</w:t>
      </w:r>
      <w:r w:rsidR="00513620">
        <w:rPr>
          <w:rFonts w:ascii="Arial" w:hAnsi="Arial" w:cs="Arial"/>
          <w:b/>
          <w:bCs/>
          <w:color w:val="000000"/>
          <w:sz w:val="26"/>
          <w:szCs w:val="26"/>
        </w:rPr>
        <w:t xml:space="preserve"> sustancialmente fundados </w:t>
      </w:r>
      <w:r w:rsidR="00513620">
        <w:rPr>
          <w:rFonts w:ascii="Arial" w:hAnsi="Arial" w:cs="Arial"/>
          <w:bCs/>
          <w:color w:val="000000"/>
          <w:sz w:val="26"/>
          <w:szCs w:val="26"/>
        </w:rPr>
        <w:t xml:space="preserve">los agravios planteados por el recurrente, en los que alega que la determinación de la Primera Instancia por la que le negó el otorgamiento de la suspensión provisional que solicitó, no se encuentra debidamente </w:t>
      </w:r>
      <w:proofErr w:type="gramStart"/>
      <w:r w:rsidR="00513620">
        <w:rPr>
          <w:rFonts w:ascii="Arial" w:hAnsi="Arial" w:cs="Arial"/>
          <w:bCs/>
          <w:color w:val="000000"/>
          <w:sz w:val="26"/>
          <w:szCs w:val="26"/>
        </w:rPr>
        <w:t>fundada</w:t>
      </w:r>
      <w:proofErr w:type="gramEnd"/>
      <w:r w:rsidR="00513620">
        <w:rPr>
          <w:rFonts w:ascii="Arial" w:hAnsi="Arial" w:cs="Arial"/>
          <w:bCs/>
          <w:color w:val="000000"/>
          <w:sz w:val="26"/>
          <w:szCs w:val="26"/>
        </w:rPr>
        <w:t xml:space="preserve"> y motivada.</w:t>
      </w:r>
    </w:p>
    <w:p w:rsidR="00936EEC" w:rsidRDefault="00513620"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Del análisis al acuerdo materia del presente medio de impugnación, se </w:t>
      </w:r>
      <w:r w:rsidR="0003357B">
        <w:rPr>
          <w:rFonts w:ascii="Arial" w:hAnsi="Arial" w:cs="Arial"/>
          <w:bCs/>
          <w:color w:val="000000"/>
          <w:sz w:val="26"/>
          <w:szCs w:val="26"/>
        </w:rPr>
        <w:t>indica</w:t>
      </w:r>
      <w:r>
        <w:rPr>
          <w:rFonts w:ascii="Arial" w:hAnsi="Arial" w:cs="Arial"/>
          <w:bCs/>
          <w:color w:val="000000"/>
          <w:sz w:val="26"/>
          <w:szCs w:val="26"/>
        </w:rPr>
        <w:t xml:space="preserve"> que la Primera Instancia,</w:t>
      </w:r>
      <w:r w:rsidR="00936EEC">
        <w:rPr>
          <w:rFonts w:ascii="Arial" w:hAnsi="Arial" w:cs="Arial"/>
          <w:bCs/>
          <w:color w:val="000000"/>
          <w:sz w:val="26"/>
          <w:szCs w:val="26"/>
        </w:rPr>
        <w:t xml:space="preserve"> determinó:</w:t>
      </w:r>
    </w:p>
    <w:p w:rsidR="00936EEC" w:rsidRPr="008C011E" w:rsidRDefault="00936EEC" w:rsidP="00936EEC">
      <w:pPr>
        <w:widowControl w:val="0"/>
        <w:tabs>
          <w:tab w:val="left" w:pos="0"/>
        </w:tabs>
        <w:spacing w:before="240" w:after="0" w:line="360" w:lineRule="auto"/>
        <w:ind w:left="1134" w:right="616"/>
        <w:jc w:val="both"/>
        <w:rPr>
          <w:rFonts w:ascii="Arial" w:hAnsi="Arial" w:cs="Arial"/>
          <w:bCs/>
          <w:color w:val="000000"/>
        </w:rPr>
      </w:pPr>
      <w:r w:rsidRPr="000A2C75">
        <w:rPr>
          <w:rFonts w:ascii="Arial" w:hAnsi="Arial" w:cs="Arial"/>
          <w:bCs/>
          <w:color w:val="000000"/>
          <w:sz w:val="24"/>
          <w:szCs w:val="26"/>
        </w:rPr>
        <w:t>“</w:t>
      </w:r>
      <w:r w:rsidRPr="008C011E">
        <w:rPr>
          <w:rFonts w:ascii="Arial" w:eastAsia="Times New Roman" w:hAnsi="Arial" w:cs="Arial"/>
          <w:bCs/>
          <w:i/>
          <w:iCs/>
          <w:lang w:eastAsia="es-ES"/>
        </w:rPr>
        <w:t xml:space="preserve">Con fundamento en los artículos 218, fracción I (contrario sensu) y 218 fracción IV de la Ley de Procedimiento y Justicia Administrativa para el Estado de Oaxaca </w:t>
      </w:r>
      <w:r w:rsidRPr="008C011E">
        <w:rPr>
          <w:rFonts w:ascii="Arial" w:eastAsia="Times New Roman" w:hAnsi="Arial" w:cs="Arial"/>
          <w:b/>
          <w:bCs/>
          <w:i/>
          <w:iCs/>
          <w:u w:val="single"/>
          <w:lang w:eastAsia="es-ES"/>
        </w:rPr>
        <w:t>se niega la suspensión provisional a la parte actora,</w:t>
      </w:r>
      <w:r w:rsidRPr="008C011E">
        <w:rPr>
          <w:rFonts w:ascii="Arial" w:eastAsia="Times New Roman" w:hAnsi="Arial" w:cs="Arial"/>
          <w:bCs/>
          <w:i/>
          <w:iCs/>
          <w:lang w:eastAsia="es-ES"/>
        </w:rPr>
        <w:t xml:space="preserve"> porque su solicitud es para efecto de que se suspendan los actos que impugna en su demanda, consistentes en la Multa por Infracción Relacionada con la Presentación de Declaraciones del Impuesto Sobre Erogaciones por Remuneraciones al Trabajo Personal emitido por la Directora de Ingresos y Recaudación de la Secretaría de Finanzas del Estado y, el o hacer del Secretario de Finanzas respecto del cobro de multas y recargos realizados por la referida autoridad, esto es así, porque es precisamente la legalidad de los mismo materia del fondo del asunto que deberá resolverse en sentencia definitiva, por lo que la concesión de la suspensión provisional dejaría sin materia el juicio…</w:t>
      </w:r>
      <w:r w:rsidRPr="008C011E">
        <w:rPr>
          <w:rFonts w:ascii="Arial" w:eastAsia="Times New Roman" w:hAnsi="Arial" w:cs="Arial"/>
          <w:bCs/>
          <w:iCs/>
          <w:lang w:eastAsia="es-ES"/>
        </w:rPr>
        <w:t>”</w:t>
      </w:r>
    </w:p>
    <w:p w:rsidR="008C011E" w:rsidRDefault="00936EEC" w:rsidP="00936EEC">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De lo anterior se advierte</w:t>
      </w:r>
      <w:r w:rsidR="0003357B">
        <w:rPr>
          <w:rFonts w:ascii="Arial" w:hAnsi="Arial" w:cs="Arial"/>
          <w:bCs/>
          <w:color w:val="000000"/>
          <w:sz w:val="26"/>
          <w:szCs w:val="26"/>
        </w:rPr>
        <w:t>,</w:t>
      </w:r>
      <w:r>
        <w:rPr>
          <w:rFonts w:ascii="Arial" w:hAnsi="Arial" w:cs="Arial"/>
          <w:bCs/>
          <w:color w:val="000000"/>
          <w:sz w:val="26"/>
          <w:szCs w:val="26"/>
        </w:rPr>
        <w:t xml:space="preserve"> que el A quo negó otorgar la suspensión provisional, bajo el argumento que la ilegalidad d</w:t>
      </w:r>
      <w:r w:rsidR="0003357B">
        <w:rPr>
          <w:rFonts w:ascii="Arial" w:hAnsi="Arial" w:cs="Arial"/>
          <w:bCs/>
          <w:color w:val="000000"/>
          <w:sz w:val="26"/>
          <w:szCs w:val="26"/>
        </w:rPr>
        <w:t xml:space="preserve">el cobro de </w:t>
      </w:r>
      <w:r>
        <w:rPr>
          <w:rFonts w:ascii="Arial" w:hAnsi="Arial" w:cs="Arial"/>
          <w:bCs/>
          <w:color w:val="000000"/>
          <w:sz w:val="26"/>
          <w:szCs w:val="26"/>
        </w:rPr>
        <w:t xml:space="preserve">multas y recargos realizado por la autoridad en contra del aquí recurrente, son la materia del fondo del asunto que deberá resolver en la sentencia y que el otorgamiento de la suspensión dejaría sin materia el juicio, esto con fundamento en lo dispuesto por el artículo 218 fracción I, de la Ley de </w:t>
      </w:r>
    </w:p>
    <w:p w:rsidR="008C011E" w:rsidRDefault="008C011E" w:rsidP="00936EEC">
      <w:pPr>
        <w:widowControl w:val="0"/>
        <w:tabs>
          <w:tab w:val="left" w:pos="0"/>
        </w:tabs>
        <w:spacing w:before="240" w:after="0" w:line="360" w:lineRule="auto"/>
        <w:ind w:right="18"/>
        <w:jc w:val="both"/>
        <w:rPr>
          <w:rFonts w:ascii="Arial" w:hAnsi="Arial" w:cs="Arial"/>
          <w:bCs/>
          <w:color w:val="000000"/>
          <w:sz w:val="26"/>
          <w:szCs w:val="26"/>
        </w:rPr>
      </w:pPr>
    </w:p>
    <w:p w:rsidR="00936EEC" w:rsidRDefault="00936EEC" w:rsidP="00936EEC">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lastRenderedPageBreak/>
        <w:t>Procedimiento y Justicia Administrativa para el Estado de Oaxaca, señalando que este aplicado a contrario sensu.</w:t>
      </w:r>
    </w:p>
    <w:p w:rsidR="00936EEC" w:rsidRDefault="00BA6095" w:rsidP="00936EEC">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976CE3">
        <w:rPr>
          <w:rFonts w:ascii="Arial" w:hAnsi="Arial" w:cs="Arial"/>
          <w:bCs/>
          <w:color w:val="000000"/>
          <w:sz w:val="26"/>
          <w:szCs w:val="26"/>
        </w:rPr>
        <w:t xml:space="preserve">Por su parte el precepto legal indicado, </w:t>
      </w:r>
      <w:r w:rsidR="00936EEC">
        <w:rPr>
          <w:rFonts w:ascii="Arial" w:hAnsi="Arial" w:cs="Arial"/>
          <w:bCs/>
          <w:color w:val="000000"/>
          <w:sz w:val="26"/>
          <w:szCs w:val="26"/>
        </w:rPr>
        <w:t>establece:</w:t>
      </w:r>
    </w:p>
    <w:p w:rsidR="00936EEC" w:rsidRPr="000A2C75" w:rsidRDefault="00936EEC" w:rsidP="00936EEC">
      <w:pPr>
        <w:widowControl w:val="0"/>
        <w:spacing w:before="240" w:after="0" w:line="360" w:lineRule="auto"/>
        <w:ind w:left="1134" w:right="616"/>
        <w:jc w:val="both"/>
        <w:rPr>
          <w:rFonts w:ascii="Arial" w:hAnsi="Arial" w:cs="Arial"/>
          <w:bCs/>
          <w:i/>
          <w:color w:val="000000"/>
          <w:szCs w:val="24"/>
        </w:rPr>
      </w:pPr>
      <w:r w:rsidRPr="000A2C75">
        <w:rPr>
          <w:rFonts w:ascii="Arial" w:hAnsi="Arial" w:cs="Arial"/>
          <w:bCs/>
          <w:color w:val="000000"/>
          <w:sz w:val="24"/>
          <w:szCs w:val="26"/>
        </w:rPr>
        <w:t>“</w:t>
      </w:r>
      <w:r w:rsidRPr="000A2C75">
        <w:rPr>
          <w:rFonts w:ascii="Arial" w:hAnsi="Arial" w:cs="Arial"/>
          <w:b/>
          <w:bCs/>
          <w:i/>
          <w:color w:val="000000"/>
          <w:szCs w:val="24"/>
        </w:rPr>
        <w:t>ARTÍCULO 218.-</w:t>
      </w:r>
      <w:r w:rsidRPr="000A2C75">
        <w:rPr>
          <w:rFonts w:ascii="Arial" w:hAnsi="Arial" w:cs="Arial"/>
          <w:bCs/>
          <w:i/>
          <w:color w:val="000000"/>
          <w:szCs w:val="24"/>
        </w:rPr>
        <w:t xml:space="preserve"> Para el otorgamiento de la suspensión deberá satisfacerse los siguientes requisitos:</w:t>
      </w:r>
    </w:p>
    <w:p w:rsidR="00936EEC" w:rsidRPr="000A2C75" w:rsidRDefault="00936EEC" w:rsidP="00936EEC">
      <w:pPr>
        <w:widowControl w:val="0"/>
        <w:spacing w:before="240" w:after="0" w:line="360" w:lineRule="auto"/>
        <w:ind w:left="1134" w:right="616"/>
        <w:jc w:val="both"/>
        <w:rPr>
          <w:rFonts w:ascii="Arial" w:hAnsi="Arial" w:cs="Arial"/>
          <w:bCs/>
          <w:i/>
          <w:color w:val="000000"/>
          <w:szCs w:val="24"/>
        </w:rPr>
      </w:pPr>
      <w:r w:rsidRPr="000A2C75">
        <w:rPr>
          <w:rFonts w:ascii="Arial" w:hAnsi="Arial" w:cs="Arial"/>
          <w:bCs/>
          <w:i/>
          <w:color w:val="000000"/>
          <w:szCs w:val="24"/>
        </w:rPr>
        <w:t>I. Tratándose de la suspensión de actos de determinación, liquidación, ejecución o cobro de contribuciones, aprovechamientos y otros créditos fiscales, se concederá la suspensión, la que surtirá sus efectos si se ha constituido o se constituye la garantía del interés fiscal ante la autoridad ejecutora por cualquiera de los medios permitidos por las leyes fiscales aplicables.</w:t>
      </w:r>
    </w:p>
    <w:p w:rsidR="00936EEC" w:rsidRPr="000A2C75" w:rsidRDefault="00936EEC" w:rsidP="00936EEC">
      <w:pPr>
        <w:widowControl w:val="0"/>
        <w:spacing w:before="240" w:after="0" w:line="360" w:lineRule="auto"/>
        <w:ind w:left="1134" w:right="616"/>
        <w:jc w:val="both"/>
        <w:rPr>
          <w:rFonts w:ascii="Arial" w:hAnsi="Arial" w:cs="Arial"/>
          <w:bCs/>
          <w:i/>
          <w:color w:val="000000"/>
          <w:szCs w:val="24"/>
        </w:rPr>
      </w:pPr>
      <w:r w:rsidRPr="000A2C75">
        <w:rPr>
          <w:rFonts w:ascii="Arial" w:hAnsi="Arial" w:cs="Arial"/>
          <w:bCs/>
          <w:i/>
          <w:color w:val="000000"/>
          <w:szCs w:val="24"/>
        </w:rPr>
        <w:t>Al otorgar la suspensión, se podrá reducir el monto de la garantía, en los siguientes casos:</w:t>
      </w:r>
    </w:p>
    <w:p w:rsidR="00936EEC" w:rsidRPr="000A2C75" w:rsidRDefault="00936EEC" w:rsidP="00936EEC">
      <w:pPr>
        <w:widowControl w:val="0"/>
        <w:spacing w:before="240" w:after="0" w:line="360" w:lineRule="auto"/>
        <w:ind w:left="1134" w:right="616"/>
        <w:jc w:val="both"/>
        <w:rPr>
          <w:rFonts w:ascii="Arial" w:hAnsi="Arial" w:cs="Arial"/>
          <w:bCs/>
          <w:i/>
          <w:color w:val="000000"/>
          <w:szCs w:val="24"/>
        </w:rPr>
      </w:pPr>
      <w:r w:rsidRPr="000A2C75">
        <w:rPr>
          <w:rFonts w:ascii="Arial" w:hAnsi="Arial" w:cs="Arial"/>
          <w:bCs/>
          <w:i/>
          <w:color w:val="000000"/>
          <w:szCs w:val="24"/>
        </w:rPr>
        <w:t>a). Si el monto de los créditos excediere la capacidad económica del solicitante; y</w:t>
      </w:r>
    </w:p>
    <w:p w:rsidR="00936EEC" w:rsidRPr="000A2C75" w:rsidRDefault="00936EEC" w:rsidP="00936EEC">
      <w:pPr>
        <w:widowControl w:val="0"/>
        <w:spacing w:before="240" w:after="0" w:line="360" w:lineRule="auto"/>
        <w:ind w:left="1134" w:right="616"/>
        <w:jc w:val="both"/>
        <w:rPr>
          <w:rFonts w:ascii="Arial" w:hAnsi="Arial" w:cs="Arial"/>
          <w:bCs/>
          <w:i/>
          <w:color w:val="000000"/>
          <w:szCs w:val="24"/>
        </w:rPr>
      </w:pPr>
      <w:r w:rsidRPr="000A2C75">
        <w:rPr>
          <w:rFonts w:ascii="Arial" w:hAnsi="Arial" w:cs="Arial"/>
          <w:bCs/>
          <w:i/>
          <w:color w:val="000000"/>
          <w:szCs w:val="24"/>
        </w:rPr>
        <w:t>b). Si se trata de tercero distinto al sujeto obligado de manera directa o solidaria al pago del crédito.</w:t>
      </w:r>
    </w:p>
    <w:p w:rsidR="00513620" w:rsidRDefault="00936EEC" w:rsidP="00936EEC">
      <w:pPr>
        <w:widowControl w:val="0"/>
        <w:tabs>
          <w:tab w:val="left" w:pos="0"/>
        </w:tabs>
        <w:spacing w:before="240" w:after="0" w:line="360" w:lineRule="auto"/>
        <w:ind w:right="18"/>
        <w:jc w:val="both"/>
        <w:rPr>
          <w:rFonts w:ascii="Arial" w:hAnsi="Arial" w:cs="Arial"/>
          <w:bCs/>
          <w:color w:val="000000"/>
          <w:sz w:val="26"/>
          <w:szCs w:val="26"/>
        </w:rPr>
      </w:pPr>
      <w:r w:rsidRPr="00936EEC">
        <w:rPr>
          <w:rFonts w:ascii="Arial" w:hAnsi="Arial" w:cs="Arial"/>
          <w:bCs/>
          <w:i/>
          <w:color w:val="000000"/>
          <w:sz w:val="24"/>
          <w:szCs w:val="24"/>
        </w:rPr>
        <w:t>…</w:t>
      </w:r>
      <w:r>
        <w:rPr>
          <w:rFonts w:ascii="Arial" w:hAnsi="Arial" w:cs="Arial"/>
          <w:bCs/>
          <w:color w:val="000000"/>
          <w:sz w:val="26"/>
          <w:szCs w:val="26"/>
        </w:rPr>
        <w:t>”</w:t>
      </w:r>
      <w:r w:rsidR="00513620">
        <w:rPr>
          <w:rFonts w:ascii="Arial" w:hAnsi="Arial" w:cs="Arial"/>
          <w:bCs/>
          <w:color w:val="000000"/>
          <w:sz w:val="26"/>
          <w:szCs w:val="26"/>
        </w:rPr>
        <w:t xml:space="preserve"> al que por tra</w:t>
      </w:r>
      <w:r w:rsidR="000A2C75">
        <w:rPr>
          <w:rFonts w:ascii="Arial" w:hAnsi="Arial" w:cs="Arial"/>
          <w:bCs/>
          <w:color w:val="000000"/>
          <w:sz w:val="26"/>
          <w:szCs w:val="26"/>
        </w:rPr>
        <w:t>tarse de actuaciones judiciales.</w:t>
      </w:r>
      <w:r w:rsidR="00513620">
        <w:rPr>
          <w:rFonts w:ascii="Arial" w:hAnsi="Arial" w:cs="Arial"/>
          <w:bCs/>
          <w:color w:val="000000"/>
          <w:sz w:val="26"/>
          <w:szCs w:val="26"/>
        </w:rPr>
        <w:t xml:space="preserve"> </w:t>
      </w:r>
    </w:p>
    <w:p w:rsidR="00976CE3" w:rsidRDefault="00936EEC" w:rsidP="00976CE3">
      <w:pPr>
        <w:widowControl w:val="0"/>
        <w:tabs>
          <w:tab w:val="left" w:pos="0"/>
        </w:tabs>
        <w:spacing w:before="240" w:after="0" w:line="360" w:lineRule="auto"/>
        <w:ind w:right="18"/>
        <w:jc w:val="both"/>
        <w:rPr>
          <w:rFonts w:ascii="Arial" w:eastAsia="Calibri" w:hAnsi="Arial" w:cs="Arial"/>
          <w:bCs/>
          <w:color w:val="000000" w:themeColor="text1"/>
          <w:sz w:val="26"/>
          <w:szCs w:val="26"/>
          <w:lang w:val="es-MX"/>
        </w:rPr>
      </w:pPr>
      <w:r>
        <w:rPr>
          <w:rFonts w:ascii="Arial" w:hAnsi="Arial" w:cs="Arial"/>
          <w:bCs/>
          <w:color w:val="000000"/>
          <w:sz w:val="26"/>
          <w:szCs w:val="26"/>
        </w:rPr>
        <w:tab/>
      </w:r>
      <w:r w:rsidR="00976CE3">
        <w:rPr>
          <w:rFonts w:ascii="Arial" w:eastAsia="Calibri" w:hAnsi="Arial" w:cs="Arial"/>
          <w:bCs/>
          <w:color w:val="000000" w:themeColor="text1"/>
          <w:sz w:val="26"/>
          <w:szCs w:val="26"/>
          <w:lang w:val="es-MX"/>
        </w:rPr>
        <w:t>Como se ve, el artículo transcrito dispone que cuando se trate de actos de determinación, liquidación, ejecución o cobro de contribuciones, aprovechamientos y otros créditos fiscales, se concederá la suspensión, siempre y cuando se hay</w:t>
      </w:r>
      <w:r w:rsidR="0003357B">
        <w:rPr>
          <w:rFonts w:ascii="Arial" w:eastAsia="Calibri" w:hAnsi="Arial" w:cs="Arial"/>
          <w:bCs/>
          <w:color w:val="000000" w:themeColor="text1"/>
          <w:sz w:val="26"/>
          <w:szCs w:val="26"/>
          <w:lang w:val="es-MX"/>
        </w:rPr>
        <w:t>a</w:t>
      </w:r>
      <w:r w:rsidR="00976CE3">
        <w:rPr>
          <w:rFonts w:ascii="Arial" w:eastAsia="Calibri" w:hAnsi="Arial" w:cs="Arial"/>
          <w:bCs/>
          <w:color w:val="000000" w:themeColor="text1"/>
          <w:sz w:val="26"/>
          <w:szCs w:val="26"/>
          <w:lang w:val="es-MX"/>
        </w:rPr>
        <w:t xml:space="preserve"> constituido o se constituya la garantía del interés fiscal ante la autoridad ejecutora</w:t>
      </w:r>
      <w:r w:rsidR="005B3ED8">
        <w:rPr>
          <w:rFonts w:ascii="Arial" w:eastAsia="Calibri" w:hAnsi="Arial" w:cs="Arial"/>
          <w:bCs/>
          <w:color w:val="000000" w:themeColor="text1"/>
          <w:sz w:val="26"/>
          <w:szCs w:val="26"/>
          <w:lang w:val="es-MX"/>
        </w:rPr>
        <w:t xml:space="preserve">; lo que hace evidente, la existencia de </w:t>
      </w:r>
      <w:r w:rsidR="00976CE3">
        <w:rPr>
          <w:rFonts w:ascii="Arial" w:eastAsia="Calibri" w:hAnsi="Arial" w:cs="Arial"/>
          <w:bCs/>
          <w:color w:val="000000" w:themeColor="text1"/>
          <w:sz w:val="26"/>
          <w:szCs w:val="26"/>
          <w:lang w:val="es-MX"/>
        </w:rPr>
        <w:t xml:space="preserve">un requisito </w:t>
      </w:r>
      <w:r w:rsidR="00976CE3" w:rsidRPr="00F5044F">
        <w:rPr>
          <w:rFonts w:ascii="Arial" w:eastAsia="Calibri" w:hAnsi="Arial" w:cs="Arial"/>
          <w:bCs/>
          <w:color w:val="000000" w:themeColor="text1"/>
          <w:sz w:val="26"/>
          <w:szCs w:val="26"/>
          <w:lang w:val="es-MX"/>
        </w:rPr>
        <w:t>que debe observar el juzgador al momento de pronunciarse en cuanto a la procedencia o no de la suspensión del acto reclamado</w:t>
      </w:r>
      <w:r w:rsidR="0003357B">
        <w:rPr>
          <w:rFonts w:ascii="Arial" w:eastAsia="Calibri" w:hAnsi="Arial" w:cs="Arial"/>
          <w:bCs/>
          <w:color w:val="000000" w:themeColor="text1"/>
          <w:sz w:val="26"/>
          <w:szCs w:val="26"/>
          <w:lang w:val="es-MX"/>
        </w:rPr>
        <w:t>, cuando se trata de ese tipo de asuntos</w:t>
      </w:r>
      <w:r w:rsidR="00976CE3">
        <w:rPr>
          <w:rFonts w:ascii="Arial" w:eastAsia="Calibri" w:hAnsi="Arial" w:cs="Arial"/>
          <w:bCs/>
          <w:color w:val="000000" w:themeColor="text1"/>
          <w:sz w:val="26"/>
          <w:szCs w:val="26"/>
          <w:lang w:val="es-MX"/>
        </w:rPr>
        <w:t>.</w:t>
      </w:r>
    </w:p>
    <w:p w:rsidR="005B3ED8" w:rsidRPr="00B96042" w:rsidRDefault="005B3ED8" w:rsidP="00976CE3">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lang w:val="es-MX"/>
        </w:rPr>
        <w:tab/>
        <w:t xml:space="preserve">Lo que en el caso no aconteció, porque la Primera Instancia, considera procedente negar la suspensión provisional, en base a lo estatuido por el artículo </w:t>
      </w:r>
      <w:r>
        <w:rPr>
          <w:rFonts w:ascii="Arial" w:hAnsi="Arial" w:cs="Arial"/>
          <w:bCs/>
          <w:color w:val="000000"/>
          <w:sz w:val="26"/>
          <w:szCs w:val="26"/>
        </w:rPr>
        <w:t>218 fracción I, de la Ley de Procedimiento y Justicia Administrativa para el Estado de Oaxaca; sin embargo, dicho precepto legal, no estipula que de otorgarse la suspensión, se dejaría sin materia el juicio, sino al contrario, establece que contra actos de determinación, liquidación, ejecución o cobro de contribuciones, aprovechamiento</w:t>
      </w:r>
      <w:r w:rsidR="001440E3">
        <w:rPr>
          <w:rFonts w:ascii="Arial" w:hAnsi="Arial" w:cs="Arial"/>
          <w:bCs/>
          <w:color w:val="000000"/>
          <w:sz w:val="26"/>
          <w:szCs w:val="26"/>
        </w:rPr>
        <w:t>s</w:t>
      </w:r>
      <w:r>
        <w:rPr>
          <w:rFonts w:ascii="Arial" w:hAnsi="Arial" w:cs="Arial"/>
          <w:bCs/>
          <w:color w:val="000000"/>
          <w:sz w:val="26"/>
          <w:szCs w:val="26"/>
        </w:rPr>
        <w:t xml:space="preserve"> y otros créditos fiscales, se concederá la suspensión, lo que no ac</w:t>
      </w:r>
      <w:r w:rsidR="0003357B">
        <w:rPr>
          <w:rFonts w:ascii="Arial" w:hAnsi="Arial" w:cs="Arial"/>
          <w:bCs/>
          <w:color w:val="000000"/>
          <w:sz w:val="26"/>
          <w:szCs w:val="26"/>
        </w:rPr>
        <w:t>a</w:t>
      </w:r>
      <w:r>
        <w:rPr>
          <w:rFonts w:ascii="Arial" w:hAnsi="Arial" w:cs="Arial"/>
          <w:bCs/>
          <w:color w:val="000000"/>
          <w:sz w:val="26"/>
          <w:szCs w:val="26"/>
        </w:rPr>
        <w:t xml:space="preserve">ta el </w:t>
      </w:r>
      <w:proofErr w:type="spellStart"/>
      <w:r>
        <w:rPr>
          <w:rFonts w:ascii="Arial" w:hAnsi="Arial" w:cs="Arial"/>
          <w:bCs/>
          <w:color w:val="000000"/>
          <w:sz w:val="26"/>
          <w:szCs w:val="26"/>
        </w:rPr>
        <w:t>resolutor</w:t>
      </w:r>
      <w:proofErr w:type="spellEnd"/>
      <w:r>
        <w:rPr>
          <w:rFonts w:ascii="Arial" w:hAnsi="Arial" w:cs="Arial"/>
          <w:bCs/>
          <w:color w:val="000000"/>
          <w:sz w:val="26"/>
          <w:szCs w:val="26"/>
        </w:rPr>
        <w:t xml:space="preserve">, pues niega la suspensión, sin exponer de manera fundada y motivada, las razones del porqué de su consideración </w:t>
      </w:r>
      <w:r>
        <w:rPr>
          <w:rFonts w:ascii="Arial" w:hAnsi="Arial" w:cs="Arial"/>
          <w:bCs/>
          <w:color w:val="000000"/>
          <w:sz w:val="26"/>
          <w:szCs w:val="26"/>
        </w:rPr>
        <w:lastRenderedPageBreak/>
        <w:t>y aplicación del multici</w:t>
      </w:r>
      <w:r w:rsidRPr="00B96042">
        <w:rPr>
          <w:rFonts w:ascii="Arial" w:hAnsi="Arial" w:cs="Arial"/>
          <w:bCs/>
          <w:color w:val="000000"/>
          <w:sz w:val="26"/>
          <w:szCs w:val="26"/>
        </w:rPr>
        <w:t>tado artículo 218 fracción</w:t>
      </w:r>
      <w:r w:rsidR="001440E3">
        <w:rPr>
          <w:rFonts w:ascii="Arial" w:hAnsi="Arial" w:cs="Arial"/>
          <w:bCs/>
          <w:color w:val="000000"/>
          <w:sz w:val="26"/>
          <w:szCs w:val="26"/>
        </w:rPr>
        <w:t xml:space="preserve"> I</w:t>
      </w:r>
      <w:r w:rsidRPr="00B96042">
        <w:rPr>
          <w:rFonts w:ascii="Arial" w:hAnsi="Arial" w:cs="Arial"/>
          <w:bCs/>
          <w:color w:val="000000"/>
          <w:sz w:val="26"/>
          <w:szCs w:val="26"/>
        </w:rPr>
        <w:t>, como fundamento para negar el otorgamiento de la medida cautelar</w:t>
      </w:r>
      <w:r w:rsidR="0003357B">
        <w:rPr>
          <w:rFonts w:ascii="Arial" w:hAnsi="Arial" w:cs="Arial"/>
          <w:bCs/>
          <w:color w:val="000000"/>
          <w:sz w:val="26"/>
          <w:szCs w:val="26"/>
        </w:rPr>
        <w:t>, cuando dicho precepto legal establece todo lo contrario a lo que plasm</w:t>
      </w:r>
      <w:r w:rsidR="00D148B9">
        <w:rPr>
          <w:rFonts w:ascii="Arial" w:hAnsi="Arial" w:cs="Arial"/>
          <w:bCs/>
          <w:color w:val="000000"/>
          <w:sz w:val="26"/>
          <w:szCs w:val="26"/>
        </w:rPr>
        <w:t>ó</w:t>
      </w:r>
      <w:r w:rsidR="0003357B">
        <w:rPr>
          <w:rFonts w:ascii="Arial" w:hAnsi="Arial" w:cs="Arial"/>
          <w:bCs/>
          <w:color w:val="000000"/>
          <w:sz w:val="26"/>
          <w:szCs w:val="26"/>
        </w:rPr>
        <w:t xml:space="preserve"> en su acuerdo</w:t>
      </w:r>
      <w:r w:rsidRPr="00B96042">
        <w:rPr>
          <w:rFonts w:ascii="Arial" w:hAnsi="Arial" w:cs="Arial"/>
          <w:bCs/>
          <w:color w:val="000000"/>
          <w:sz w:val="26"/>
          <w:szCs w:val="26"/>
        </w:rPr>
        <w:t>.</w:t>
      </w:r>
    </w:p>
    <w:p w:rsidR="00B96042" w:rsidRPr="00B96042" w:rsidRDefault="005B3ED8" w:rsidP="00B96042">
      <w:pPr>
        <w:widowControl w:val="0"/>
        <w:tabs>
          <w:tab w:val="left" w:pos="0"/>
        </w:tabs>
        <w:spacing w:before="240" w:after="0" w:line="360" w:lineRule="auto"/>
        <w:ind w:right="18"/>
        <w:jc w:val="both"/>
        <w:rPr>
          <w:rFonts w:ascii="Arial" w:eastAsia="Calibri" w:hAnsi="Arial" w:cs="Arial"/>
          <w:bCs/>
          <w:color w:val="000000" w:themeColor="text1"/>
          <w:sz w:val="26"/>
          <w:szCs w:val="26"/>
        </w:rPr>
      </w:pPr>
      <w:r w:rsidRPr="00B96042">
        <w:rPr>
          <w:rFonts w:ascii="Arial" w:hAnsi="Arial" w:cs="Arial"/>
          <w:bCs/>
          <w:color w:val="000000"/>
          <w:sz w:val="26"/>
          <w:szCs w:val="26"/>
        </w:rPr>
        <w:tab/>
      </w:r>
      <w:r w:rsidR="00D148B9">
        <w:rPr>
          <w:rFonts w:ascii="Arial" w:hAnsi="Arial" w:cs="Arial"/>
          <w:bCs/>
          <w:color w:val="000000"/>
          <w:sz w:val="26"/>
          <w:szCs w:val="26"/>
        </w:rPr>
        <w:t xml:space="preserve">Por lo que, </w:t>
      </w:r>
      <w:r w:rsidRPr="00B96042">
        <w:rPr>
          <w:rFonts w:ascii="Arial" w:hAnsi="Arial" w:cs="Arial"/>
          <w:bCs/>
          <w:color w:val="000000"/>
          <w:sz w:val="26"/>
          <w:szCs w:val="26"/>
        </w:rPr>
        <w:t xml:space="preserve">ante lo </w:t>
      </w:r>
      <w:r w:rsidR="00976CE3" w:rsidRPr="00B96042">
        <w:rPr>
          <w:rFonts w:ascii="Arial" w:hAnsi="Arial" w:cs="Arial"/>
          <w:b/>
          <w:bCs/>
          <w:color w:val="000000"/>
          <w:sz w:val="26"/>
          <w:szCs w:val="26"/>
        </w:rPr>
        <w:t>fundado</w:t>
      </w:r>
      <w:r w:rsidR="00976CE3" w:rsidRPr="00B96042">
        <w:rPr>
          <w:rFonts w:ascii="Arial" w:hAnsi="Arial" w:cs="Arial"/>
          <w:bCs/>
          <w:color w:val="000000"/>
          <w:sz w:val="26"/>
          <w:szCs w:val="26"/>
        </w:rPr>
        <w:t xml:space="preserve"> del agravio esgrimido, </w:t>
      </w:r>
      <w:r w:rsidRPr="00B96042">
        <w:rPr>
          <w:rFonts w:ascii="Arial" w:hAnsi="Arial" w:cs="Arial"/>
          <w:bCs/>
          <w:color w:val="000000"/>
          <w:sz w:val="26"/>
          <w:szCs w:val="26"/>
        </w:rPr>
        <w:t xml:space="preserve">toda vez que la determinación del </w:t>
      </w:r>
      <w:r w:rsidR="00976CE3" w:rsidRPr="00B96042">
        <w:rPr>
          <w:rFonts w:ascii="Arial" w:hAnsi="Arial" w:cs="Arial"/>
          <w:bCs/>
          <w:color w:val="000000"/>
          <w:sz w:val="26"/>
          <w:szCs w:val="26"/>
        </w:rPr>
        <w:t xml:space="preserve">A quo, </w:t>
      </w:r>
      <w:r w:rsidRPr="00B96042">
        <w:rPr>
          <w:rFonts w:ascii="Arial" w:hAnsi="Arial" w:cs="Arial"/>
          <w:bCs/>
          <w:color w:val="000000"/>
          <w:sz w:val="26"/>
          <w:szCs w:val="26"/>
        </w:rPr>
        <w:t xml:space="preserve">carece de la debida fundamentación y motivación; y, tomando en consideración, que en el juicio natural se demandó la nulidad de la multa por infracción relacionada con la presentación de declaraciones del impuesto sobre erogaciones por remuneraciones al trabajo personal; esto es, se trata de </w:t>
      </w:r>
      <w:r w:rsidR="00B96042" w:rsidRPr="00B96042">
        <w:rPr>
          <w:rFonts w:ascii="Arial" w:hAnsi="Arial" w:cs="Arial"/>
          <w:bCs/>
          <w:color w:val="000000"/>
          <w:sz w:val="26"/>
          <w:szCs w:val="26"/>
        </w:rPr>
        <w:t xml:space="preserve">la determinación y cobro de una contribución; se </w:t>
      </w:r>
      <w:r w:rsidR="001440E3">
        <w:rPr>
          <w:rFonts w:ascii="Arial" w:hAnsi="Arial" w:cs="Arial"/>
          <w:bCs/>
          <w:color w:val="000000"/>
          <w:sz w:val="26"/>
          <w:szCs w:val="26"/>
        </w:rPr>
        <w:t>advierte</w:t>
      </w:r>
      <w:r w:rsidR="00B96042" w:rsidRPr="00B96042">
        <w:rPr>
          <w:rFonts w:ascii="Arial" w:hAnsi="Arial" w:cs="Arial"/>
          <w:bCs/>
          <w:color w:val="000000"/>
          <w:sz w:val="26"/>
          <w:szCs w:val="26"/>
        </w:rPr>
        <w:t xml:space="preserve"> que tal situación encuadra en el supuesto marcado en la fracción I de</w:t>
      </w:r>
      <w:r w:rsidR="001440E3">
        <w:rPr>
          <w:rFonts w:ascii="Arial" w:hAnsi="Arial" w:cs="Arial"/>
          <w:bCs/>
          <w:color w:val="000000"/>
          <w:sz w:val="26"/>
          <w:szCs w:val="26"/>
        </w:rPr>
        <w:t xml:space="preserve"> </w:t>
      </w:r>
      <w:r w:rsidR="00B96042" w:rsidRPr="00B96042">
        <w:rPr>
          <w:rFonts w:ascii="Arial" w:hAnsi="Arial" w:cs="Arial"/>
          <w:bCs/>
          <w:color w:val="000000"/>
          <w:sz w:val="26"/>
          <w:szCs w:val="26"/>
        </w:rPr>
        <w:t>l</w:t>
      </w:r>
      <w:r w:rsidR="001440E3">
        <w:rPr>
          <w:rFonts w:ascii="Arial" w:hAnsi="Arial" w:cs="Arial"/>
          <w:bCs/>
          <w:color w:val="000000"/>
          <w:sz w:val="26"/>
          <w:szCs w:val="26"/>
        </w:rPr>
        <w:t>os</w:t>
      </w:r>
      <w:r w:rsidR="00B96042" w:rsidRPr="00B96042">
        <w:rPr>
          <w:rFonts w:ascii="Arial" w:hAnsi="Arial" w:cs="Arial"/>
          <w:bCs/>
          <w:color w:val="000000"/>
          <w:sz w:val="26"/>
          <w:szCs w:val="26"/>
        </w:rPr>
        <w:t xml:space="preserve"> artículos 218 de la Ley de la materia, </w:t>
      </w:r>
      <w:r w:rsidR="00D148B9">
        <w:rPr>
          <w:rFonts w:ascii="Arial" w:hAnsi="Arial" w:cs="Arial"/>
          <w:bCs/>
          <w:color w:val="000000"/>
          <w:sz w:val="26"/>
          <w:szCs w:val="26"/>
        </w:rPr>
        <w:t xml:space="preserve">en consecuencia </w:t>
      </w:r>
      <w:r w:rsidR="00B96042" w:rsidRPr="00B96042">
        <w:rPr>
          <w:rFonts w:ascii="Arial" w:hAnsi="Arial" w:cs="Arial"/>
          <w:bCs/>
          <w:color w:val="000000"/>
          <w:sz w:val="26"/>
          <w:szCs w:val="26"/>
        </w:rPr>
        <w:t xml:space="preserve">corresponde otorgar </w:t>
      </w:r>
      <w:r w:rsidR="00B96042" w:rsidRPr="0003357B">
        <w:rPr>
          <w:rFonts w:ascii="Arial" w:hAnsi="Arial" w:cs="Arial"/>
          <w:bCs/>
          <w:color w:val="000000"/>
          <w:sz w:val="26"/>
          <w:szCs w:val="26"/>
        </w:rPr>
        <w:t>la</w:t>
      </w:r>
      <w:r w:rsidR="00B96042" w:rsidRPr="0003357B">
        <w:rPr>
          <w:rFonts w:ascii="Arial" w:hAnsi="Arial" w:cs="Arial"/>
          <w:b/>
          <w:bCs/>
          <w:color w:val="000000"/>
          <w:sz w:val="26"/>
          <w:szCs w:val="26"/>
        </w:rPr>
        <w:t xml:space="preserve"> suspensión provisional</w:t>
      </w:r>
      <w:r w:rsidR="00B96042" w:rsidRPr="00B96042">
        <w:rPr>
          <w:rFonts w:ascii="Arial" w:hAnsi="Arial" w:cs="Arial"/>
          <w:bCs/>
          <w:color w:val="000000"/>
          <w:sz w:val="26"/>
          <w:szCs w:val="26"/>
        </w:rPr>
        <w:t>, para el efecto de que no se ha</w:t>
      </w:r>
      <w:r w:rsidR="001440E3">
        <w:rPr>
          <w:rFonts w:ascii="Arial" w:hAnsi="Arial" w:cs="Arial"/>
          <w:bCs/>
          <w:color w:val="000000"/>
          <w:sz w:val="26"/>
          <w:szCs w:val="26"/>
        </w:rPr>
        <w:t>ga</w:t>
      </w:r>
      <w:r w:rsidR="00B96042" w:rsidRPr="00B96042">
        <w:rPr>
          <w:rFonts w:ascii="Arial" w:hAnsi="Arial" w:cs="Arial"/>
          <w:bCs/>
          <w:color w:val="000000"/>
          <w:sz w:val="26"/>
          <w:szCs w:val="26"/>
        </w:rPr>
        <w:t xml:space="preserve"> efectivo el cobro de la multa que le fue impuesta al actor </w:t>
      </w:r>
      <w:r w:rsidR="00112D5D" w:rsidRPr="00112D5D">
        <w:rPr>
          <w:rFonts w:ascii="Arial" w:hAnsi="Arial" w:cs="Arial"/>
          <w:b/>
          <w:bCs/>
          <w:color w:val="000000"/>
          <w:sz w:val="26"/>
          <w:szCs w:val="26"/>
        </w:rPr>
        <w:t>**********</w:t>
      </w:r>
      <w:r w:rsidR="00B96042" w:rsidRPr="00112D5D">
        <w:rPr>
          <w:rFonts w:ascii="Arial" w:hAnsi="Arial" w:cs="Arial"/>
          <w:b/>
          <w:bCs/>
          <w:color w:val="000000"/>
          <w:sz w:val="26"/>
          <w:szCs w:val="26"/>
        </w:rPr>
        <w:t>,</w:t>
      </w:r>
      <w:r w:rsidR="00B96042" w:rsidRPr="00B96042">
        <w:rPr>
          <w:rFonts w:ascii="Arial" w:hAnsi="Arial" w:cs="Arial"/>
          <w:bCs/>
          <w:color w:val="000000"/>
          <w:sz w:val="26"/>
          <w:szCs w:val="26"/>
        </w:rPr>
        <w:t xml:space="preserve"> por infracción relacionada con la presentación de declaraciones del impuesto sobre erogaciones por remuneraciones al trabajo personal;</w:t>
      </w:r>
      <w:r w:rsidR="00976CE3" w:rsidRPr="00B96042">
        <w:rPr>
          <w:rFonts w:ascii="Arial" w:eastAsia="Calibri" w:hAnsi="Arial" w:cs="Arial"/>
          <w:bCs/>
          <w:color w:val="000000" w:themeColor="text1"/>
          <w:sz w:val="26"/>
          <w:szCs w:val="26"/>
        </w:rPr>
        <w:t xml:space="preserve"> </w:t>
      </w:r>
      <w:r w:rsidR="00976CE3" w:rsidRPr="00B96042">
        <w:rPr>
          <w:rFonts w:ascii="Arial" w:eastAsia="Calibri" w:hAnsi="Arial" w:cs="Arial"/>
          <w:b/>
          <w:bCs/>
          <w:color w:val="000000" w:themeColor="text1"/>
          <w:sz w:val="26"/>
          <w:szCs w:val="26"/>
          <w:u w:val="single"/>
        </w:rPr>
        <w:t>p</w:t>
      </w:r>
      <w:bookmarkStart w:id="0" w:name="_GoBack"/>
      <w:bookmarkEnd w:id="0"/>
      <w:r w:rsidR="00976CE3" w:rsidRPr="00B96042">
        <w:rPr>
          <w:rFonts w:ascii="Arial" w:eastAsia="Calibri" w:hAnsi="Arial" w:cs="Arial"/>
          <w:b/>
          <w:bCs/>
          <w:color w:val="000000" w:themeColor="text1"/>
          <w:sz w:val="26"/>
          <w:szCs w:val="26"/>
          <w:u w:val="single"/>
        </w:rPr>
        <w:t>revia garantía</w:t>
      </w:r>
      <w:r w:rsidR="00976CE3" w:rsidRPr="00B96042">
        <w:rPr>
          <w:rFonts w:ascii="Arial" w:eastAsia="Calibri" w:hAnsi="Arial" w:cs="Arial"/>
          <w:bCs/>
          <w:color w:val="000000" w:themeColor="text1"/>
          <w:sz w:val="26"/>
          <w:szCs w:val="26"/>
        </w:rPr>
        <w:t xml:space="preserve"> que otorgue </w:t>
      </w:r>
      <w:r w:rsidR="00976CE3" w:rsidRPr="00B96042">
        <w:rPr>
          <w:rFonts w:ascii="Arial" w:eastAsia="Calibri" w:hAnsi="Arial" w:cs="Arial"/>
          <w:b/>
          <w:bCs/>
          <w:color w:val="000000" w:themeColor="text1"/>
          <w:sz w:val="26"/>
          <w:szCs w:val="26"/>
        </w:rPr>
        <w:t>ante la autoridad ejecutora</w:t>
      </w:r>
      <w:r w:rsidR="00976CE3" w:rsidRPr="00B96042">
        <w:rPr>
          <w:rFonts w:ascii="Arial" w:eastAsia="Calibri" w:hAnsi="Arial" w:cs="Arial"/>
          <w:bCs/>
          <w:color w:val="000000" w:themeColor="text1"/>
          <w:sz w:val="26"/>
          <w:szCs w:val="26"/>
        </w:rPr>
        <w:t>, por cualquiera de los medios permitidos por las leyes fiscales aplicables, dentro del plazo de tres días hábiles, contados a partir del día hábil siguiente en que surta efectos la notificación de</w:t>
      </w:r>
      <w:r w:rsidR="0003357B">
        <w:rPr>
          <w:rFonts w:ascii="Arial" w:eastAsia="Calibri" w:hAnsi="Arial" w:cs="Arial"/>
          <w:bCs/>
          <w:color w:val="000000" w:themeColor="text1"/>
          <w:sz w:val="26"/>
          <w:szCs w:val="26"/>
        </w:rPr>
        <w:t xml:space="preserve"> </w:t>
      </w:r>
      <w:r w:rsidR="00976CE3" w:rsidRPr="00B96042">
        <w:rPr>
          <w:rFonts w:ascii="Arial" w:eastAsia="Calibri" w:hAnsi="Arial" w:cs="Arial"/>
          <w:bCs/>
          <w:color w:val="000000" w:themeColor="text1"/>
          <w:sz w:val="26"/>
          <w:szCs w:val="26"/>
        </w:rPr>
        <w:t>l</w:t>
      </w:r>
      <w:r w:rsidR="0003357B">
        <w:rPr>
          <w:rFonts w:ascii="Arial" w:eastAsia="Calibri" w:hAnsi="Arial" w:cs="Arial"/>
          <w:bCs/>
          <w:color w:val="000000" w:themeColor="text1"/>
          <w:sz w:val="26"/>
          <w:szCs w:val="26"/>
        </w:rPr>
        <w:t>a</w:t>
      </w:r>
      <w:r w:rsidR="00976CE3" w:rsidRPr="00B96042">
        <w:rPr>
          <w:rFonts w:ascii="Arial" w:eastAsia="Calibri" w:hAnsi="Arial" w:cs="Arial"/>
          <w:bCs/>
          <w:color w:val="000000" w:themeColor="text1"/>
          <w:sz w:val="26"/>
          <w:szCs w:val="26"/>
        </w:rPr>
        <w:t xml:space="preserve"> presente </w:t>
      </w:r>
      <w:r w:rsidR="0003357B">
        <w:rPr>
          <w:rFonts w:ascii="Arial" w:eastAsia="Calibri" w:hAnsi="Arial" w:cs="Arial"/>
          <w:bCs/>
          <w:color w:val="000000" w:themeColor="text1"/>
          <w:sz w:val="26"/>
          <w:szCs w:val="26"/>
        </w:rPr>
        <w:t>determinación</w:t>
      </w:r>
      <w:r w:rsidR="00976CE3" w:rsidRPr="00B96042">
        <w:rPr>
          <w:rFonts w:ascii="Arial" w:eastAsia="Calibri" w:hAnsi="Arial" w:cs="Arial"/>
          <w:bCs/>
          <w:color w:val="000000" w:themeColor="text1"/>
          <w:sz w:val="26"/>
          <w:szCs w:val="26"/>
        </w:rPr>
        <w:t>,</w:t>
      </w:r>
      <w:r w:rsidR="0003357B">
        <w:rPr>
          <w:rFonts w:ascii="Arial" w:eastAsia="Calibri" w:hAnsi="Arial" w:cs="Arial"/>
          <w:bCs/>
          <w:color w:val="000000" w:themeColor="text1"/>
          <w:sz w:val="26"/>
          <w:szCs w:val="26"/>
        </w:rPr>
        <w:t xml:space="preserve"> </w:t>
      </w:r>
      <w:r w:rsidR="00976CE3" w:rsidRPr="00B96042">
        <w:rPr>
          <w:rFonts w:ascii="Arial" w:eastAsia="Calibri" w:hAnsi="Arial" w:cs="Arial"/>
          <w:b/>
          <w:bCs/>
          <w:color w:val="000000" w:themeColor="text1"/>
          <w:sz w:val="26"/>
          <w:szCs w:val="26"/>
        </w:rPr>
        <w:t>apercibido</w:t>
      </w:r>
      <w:r w:rsidR="00976CE3" w:rsidRPr="00B96042">
        <w:rPr>
          <w:rFonts w:ascii="Arial" w:eastAsia="Calibri" w:hAnsi="Arial" w:cs="Arial"/>
          <w:bCs/>
          <w:color w:val="000000" w:themeColor="text1"/>
          <w:sz w:val="26"/>
          <w:szCs w:val="26"/>
        </w:rPr>
        <w:t xml:space="preserve"> que en caso de no hacerlo, ésta no surtirá los efectos legales correspondientes, debiendo exhibir ante esta Sala, copia de la garantía efectuada, de conformidad con lo establecido en el artículo 127 del Código de Procedimientos Civiles, de aplicación supletoria</w:t>
      </w:r>
      <w:r w:rsidR="00B96042" w:rsidRPr="00B96042">
        <w:rPr>
          <w:rFonts w:ascii="Arial" w:eastAsia="Calibri" w:hAnsi="Arial" w:cs="Arial"/>
          <w:bCs/>
          <w:color w:val="000000" w:themeColor="text1"/>
          <w:sz w:val="26"/>
          <w:szCs w:val="26"/>
        </w:rPr>
        <w:t>, conforme lo dispone el artículo 147</w:t>
      </w:r>
      <w:r w:rsidR="00B96042">
        <w:rPr>
          <w:rStyle w:val="Refdenotaalpie"/>
          <w:rFonts w:ascii="Arial" w:eastAsia="Calibri" w:hAnsi="Arial" w:cs="Arial"/>
          <w:bCs/>
          <w:color w:val="000000" w:themeColor="text1"/>
          <w:sz w:val="26"/>
          <w:szCs w:val="26"/>
        </w:rPr>
        <w:footnoteReference w:id="1"/>
      </w:r>
      <w:r w:rsidR="00B96042" w:rsidRPr="00B96042">
        <w:rPr>
          <w:rFonts w:ascii="Arial" w:eastAsia="Calibri" w:hAnsi="Arial" w:cs="Arial"/>
          <w:bCs/>
          <w:color w:val="000000" w:themeColor="text1"/>
          <w:sz w:val="26"/>
          <w:szCs w:val="26"/>
        </w:rPr>
        <w:t xml:space="preserve"> de la Ley de Procedimiento y Justicia Administrativa para el Estado de Oaxaca.</w:t>
      </w:r>
    </w:p>
    <w:p w:rsidR="005770C1" w:rsidRDefault="005770C1" w:rsidP="005770C1">
      <w:pPr>
        <w:tabs>
          <w:tab w:val="left" w:pos="1197"/>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sidR="0003357B" w:rsidRPr="0003357B">
        <w:rPr>
          <w:rFonts w:ascii="Arial" w:eastAsia="Calibri" w:hAnsi="Arial" w:cs="Arial"/>
          <w:b/>
          <w:bCs/>
          <w:sz w:val="26"/>
          <w:szCs w:val="26"/>
        </w:rPr>
        <w:t>sustancialmente</w:t>
      </w:r>
      <w:r w:rsidR="0003357B">
        <w:rPr>
          <w:rFonts w:ascii="Arial" w:eastAsia="Calibri" w:hAnsi="Arial" w:cs="Arial"/>
          <w:bCs/>
          <w:sz w:val="26"/>
          <w:szCs w:val="26"/>
        </w:rPr>
        <w:t xml:space="preserve"> </w:t>
      </w:r>
      <w:r>
        <w:rPr>
          <w:rFonts w:ascii="Arial" w:eastAsia="Calibri" w:hAnsi="Arial" w:cs="Arial"/>
          <w:b/>
          <w:bCs/>
          <w:sz w:val="26"/>
          <w:szCs w:val="26"/>
        </w:rPr>
        <w:t>fundado</w:t>
      </w:r>
      <w:r w:rsidR="007D1DBD">
        <w:rPr>
          <w:rFonts w:ascii="Arial" w:eastAsia="Calibri" w:hAnsi="Arial" w:cs="Arial"/>
          <w:b/>
          <w:bCs/>
          <w:sz w:val="26"/>
          <w:szCs w:val="26"/>
        </w:rPr>
        <w:t xml:space="preserve"> </w:t>
      </w:r>
      <w:r>
        <w:rPr>
          <w:rFonts w:ascii="Arial" w:eastAsia="Calibri" w:hAnsi="Arial" w:cs="Arial"/>
          <w:bCs/>
          <w:sz w:val="26"/>
          <w:szCs w:val="26"/>
        </w:rPr>
        <w:t xml:space="preserve">de los agravios planteados, lo procedente es </w:t>
      </w:r>
      <w:r w:rsidR="0003357B">
        <w:rPr>
          <w:rFonts w:ascii="Arial" w:eastAsia="Calibri" w:hAnsi="Arial" w:cs="Arial"/>
          <w:b/>
          <w:bCs/>
          <w:sz w:val="26"/>
          <w:szCs w:val="26"/>
        </w:rPr>
        <w:t xml:space="preserve">REVOCAR </w:t>
      </w:r>
      <w:r w:rsidR="0003357B">
        <w:rPr>
          <w:rFonts w:ascii="Arial" w:eastAsia="Calibri" w:hAnsi="Arial" w:cs="Arial"/>
          <w:bCs/>
          <w:sz w:val="26"/>
          <w:szCs w:val="26"/>
        </w:rPr>
        <w:t>el acuerdo recurrido, para los efectos precisados en el párrafo que antecede.</w:t>
      </w:r>
    </w:p>
    <w:p w:rsidR="008C011E" w:rsidRPr="008C011E" w:rsidRDefault="005770C1" w:rsidP="008C011E">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Pr="008C011E" w:rsidRDefault="005770C1" w:rsidP="005770C1">
      <w:pPr>
        <w:pStyle w:val="Sinespaciado"/>
        <w:spacing w:before="240" w:line="360" w:lineRule="auto"/>
        <w:ind w:firstLine="708"/>
        <w:jc w:val="both"/>
        <w:rPr>
          <w:rFonts w:ascii="Arial" w:hAnsi="Arial" w:cs="Arial"/>
          <w:color w:val="000000"/>
          <w:sz w:val="26"/>
          <w:szCs w:val="26"/>
          <w:lang w:val="es-MX"/>
        </w:rPr>
      </w:pPr>
      <w:r w:rsidRPr="008C011E">
        <w:rPr>
          <w:rFonts w:ascii="Arial" w:hAnsi="Arial" w:cs="Arial"/>
          <w:b/>
          <w:color w:val="000000"/>
          <w:sz w:val="26"/>
          <w:szCs w:val="26"/>
        </w:rPr>
        <w:lastRenderedPageBreak/>
        <w:t>PRIMERO</w:t>
      </w:r>
      <w:r w:rsidRPr="008C011E">
        <w:rPr>
          <w:rFonts w:ascii="Arial" w:hAnsi="Arial" w:cs="Arial"/>
          <w:color w:val="000000"/>
          <w:sz w:val="26"/>
          <w:szCs w:val="26"/>
        </w:rPr>
        <w:t xml:space="preserve">. </w:t>
      </w:r>
      <w:r w:rsidRPr="008C011E">
        <w:rPr>
          <w:rFonts w:ascii="Arial" w:hAnsi="Arial" w:cs="Arial"/>
          <w:color w:val="000000"/>
          <w:sz w:val="26"/>
          <w:szCs w:val="26"/>
          <w:lang w:val="es-MX"/>
        </w:rPr>
        <w:t xml:space="preserve">Se </w:t>
      </w:r>
      <w:r w:rsidR="0003357B" w:rsidRPr="008C011E">
        <w:rPr>
          <w:rFonts w:ascii="Arial" w:hAnsi="Arial" w:cs="Arial"/>
          <w:b/>
          <w:color w:val="000000"/>
          <w:sz w:val="26"/>
          <w:szCs w:val="26"/>
          <w:lang w:val="es-MX"/>
        </w:rPr>
        <w:t xml:space="preserve">REVOCA </w:t>
      </w:r>
      <w:r w:rsidR="0003357B" w:rsidRPr="008C011E">
        <w:rPr>
          <w:rFonts w:ascii="Arial" w:hAnsi="Arial" w:cs="Arial"/>
          <w:color w:val="000000"/>
          <w:sz w:val="26"/>
          <w:szCs w:val="26"/>
          <w:lang w:val="es-MX"/>
        </w:rPr>
        <w:t xml:space="preserve">el acuerdo </w:t>
      </w:r>
      <w:r w:rsidRPr="008C011E">
        <w:rPr>
          <w:rFonts w:ascii="Arial" w:hAnsi="Arial" w:cs="Arial"/>
          <w:color w:val="000000"/>
          <w:sz w:val="26"/>
          <w:szCs w:val="26"/>
          <w:lang w:val="es-MX"/>
        </w:rPr>
        <w:t>recurrid</w:t>
      </w:r>
      <w:r w:rsidR="0003357B" w:rsidRPr="008C011E">
        <w:rPr>
          <w:rFonts w:ascii="Arial" w:hAnsi="Arial" w:cs="Arial"/>
          <w:color w:val="000000"/>
          <w:sz w:val="26"/>
          <w:szCs w:val="26"/>
          <w:lang w:val="es-MX"/>
        </w:rPr>
        <w:t>o</w:t>
      </w:r>
      <w:r w:rsidRPr="008C011E">
        <w:rPr>
          <w:rFonts w:ascii="Arial" w:hAnsi="Arial" w:cs="Arial"/>
          <w:color w:val="000000"/>
          <w:sz w:val="26"/>
          <w:szCs w:val="26"/>
          <w:lang w:val="es-MX"/>
        </w:rPr>
        <w:t xml:space="preserve">, por las razones </w:t>
      </w:r>
      <w:r w:rsidR="0003357B" w:rsidRPr="008C011E">
        <w:rPr>
          <w:rFonts w:ascii="Arial" w:hAnsi="Arial" w:cs="Arial"/>
          <w:color w:val="000000"/>
          <w:sz w:val="26"/>
          <w:szCs w:val="26"/>
          <w:lang w:val="es-MX"/>
        </w:rPr>
        <w:t xml:space="preserve">y para los efectos precisados </w:t>
      </w:r>
      <w:r w:rsidRPr="008C011E">
        <w:rPr>
          <w:rFonts w:ascii="Arial" w:hAnsi="Arial" w:cs="Arial"/>
          <w:color w:val="000000"/>
          <w:sz w:val="26"/>
          <w:szCs w:val="26"/>
          <w:lang w:val="es-MX"/>
        </w:rPr>
        <w:t>en</w:t>
      </w:r>
      <w:r w:rsidR="000A2C75" w:rsidRPr="008C011E">
        <w:rPr>
          <w:rFonts w:ascii="Arial" w:hAnsi="Arial" w:cs="Arial"/>
          <w:color w:val="000000"/>
          <w:sz w:val="26"/>
          <w:szCs w:val="26"/>
          <w:lang w:val="es-MX"/>
        </w:rPr>
        <w:t xml:space="preserve"> el considerando que antecede.</w:t>
      </w:r>
    </w:p>
    <w:p w:rsidR="008C011E" w:rsidRDefault="005770C1" w:rsidP="008C011E">
      <w:pPr>
        <w:pStyle w:val="Sinespaciado"/>
        <w:spacing w:before="240" w:line="360" w:lineRule="auto"/>
        <w:ind w:firstLine="708"/>
        <w:jc w:val="both"/>
        <w:rPr>
          <w:rFonts w:ascii="Arial" w:hAnsi="Arial" w:cs="Arial"/>
          <w:sz w:val="26"/>
          <w:szCs w:val="26"/>
        </w:rPr>
      </w:pPr>
      <w:r w:rsidRPr="008C011E">
        <w:rPr>
          <w:rFonts w:ascii="Arial" w:hAnsi="Arial" w:cs="Arial"/>
          <w:b/>
          <w:sz w:val="26"/>
          <w:szCs w:val="26"/>
        </w:rPr>
        <w:t>SEGUNDO. NOTIFÍQUESE Y CÚMPLASE,</w:t>
      </w:r>
      <w:r w:rsidRPr="008C011E">
        <w:rPr>
          <w:rFonts w:ascii="Arial" w:hAnsi="Arial" w:cs="Arial"/>
          <w:sz w:val="26"/>
          <w:szCs w:val="26"/>
        </w:rPr>
        <w:t xml:space="preserve"> </w:t>
      </w:r>
      <w:r w:rsidR="004307F7" w:rsidRPr="008C011E">
        <w:rPr>
          <w:rFonts w:ascii="Arial" w:hAnsi="Arial" w:cs="Arial"/>
          <w:sz w:val="26"/>
          <w:szCs w:val="26"/>
        </w:rPr>
        <w:t>glósese copia certificada de la presente resolución al cuaderno de revisión 0234/2019, para los efectos legales a que haya lugar, y con copia certificada de la misma, vuelvan las constancias remitidas a la</w:t>
      </w:r>
      <w:r w:rsidRPr="008C011E">
        <w:rPr>
          <w:rFonts w:ascii="Arial" w:hAnsi="Arial" w:cs="Arial"/>
          <w:sz w:val="26"/>
          <w:szCs w:val="26"/>
        </w:rPr>
        <w:t xml:space="preserve"> </w:t>
      </w:r>
      <w:r w:rsidR="0003357B" w:rsidRPr="008C011E">
        <w:rPr>
          <w:rFonts w:ascii="Arial" w:hAnsi="Arial" w:cs="Arial"/>
          <w:sz w:val="26"/>
          <w:szCs w:val="26"/>
        </w:rPr>
        <w:t xml:space="preserve">Sexta </w:t>
      </w:r>
      <w:r w:rsidRPr="008C011E">
        <w:rPr>
          <w:rFonts w:ascii="Arial" w:hAnsi="Arial" w:cs="Arial"/>
          <w:sz w:val="26"/>
          <w:szCs w:val="26"/>
        </w:rPr>
        <w:t>Sala Unitaria de Primera Instancia de este Tribunal y en su oportunidad archívese el presente cuaderno de r</w:t>
      </w:r>
      <w:r w:rsidR="000A2C75" w:rsidRPr="008C011E">
        <w:rPr>
          <w:rFonts w:ascii="Arial" w:hAnsi="Arial" w:cs="Arial"/>
          <w:sz w:val="26"/>
          <w:szCs w:val="26"/>
        </w:rPr>
        <w:t>evisión como asunto concluido.</w:t>
      </w:r>
    </w:p>
    <w:p w:rsidR="008C011E" w:rsidRPr="008C011E" w:rsidRDefault="008C011E" w:rsidP="008C011E">
      <w:pPr>
        <w:pStyle w:val="Sinespaciado"/>
        <w:spacing w:before="240" w:line="360" w:lineRule="auto"/>
        <w:ind w:firstLine="708"/>
        <w:jc w:val="both"/>
        <w:rPr>
          <w:rFonts w:ascii="Arial" w:hAnsi="Arial" w:cs="Arial"/>
          <w:sz w:val="26"/>
          <w:szCs w:val="26"/>
        </w:rPr>
      </w:pPr>
    </w:p>
    <w:p w:rsidR="000A2C75" w:rsidRDefault="00374257" w:rsidP="008C011E">
      <w:pPr>
        <w:spacing w:line="360" w:lineRule="auto"/>
        <w:ind w:firstLine="708"/>
        <w:jc w:val="both"/>
        <w:rPr>
          <w:rFonts w:ascii="Arial" w:hAnsi="Arial" w:cs="Arial"/>
          <w:sz w:val="26"/>
          <w:szCs w:val="26"/>
        </w:rPr>
      </w:pPr>
      <w:r w:rsidRPr="008C011E">
        <w:rPr>
          <w:rFonts w:ascii="Arial" w:hAnsi="Arial" w:cs="Arial"/>
          <w:sz w:val="26"/>
          <w:szCs w:val="26"/>
        </w:rPr>
        <w:t>Por unanimidad de votos, lo resolvieron y firmaron los Magistrados María Elena Villa de Jarquín,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w:t>
      </w:r>
    </w:p>
    <w:p w:rsidR="000A2C75" w:rsidRDefault="000A2C75" w:rsidP="000A2C75">
      <w:pPr>
        <w:spacing w:line="360" w:lineRule="auto"/>
        <w:ind w:left="1" w:hanging="3"/>
        <w:rPr>
          <w:rFonts w:ascii="Arial" w:hAnsi="Arial" w:cs="Arial"/>
          <w:sz w:val="26"/>
          <w:szCs w:val="26"/>
        </w:rPr>
      </w:pPr>
    </w:p>
    <w:p w:rsidR="008C011E" w:rsidRDefault="008C011E" w:rsidP="000A2C75">
      <w:pPr>
        <w:spacing w:line="360" w:lineRule="auto"/>
        <w:ind w:left="1" w:hanging="3"/>
        <w:rPr>
          <w:rFonts w:ascii="Arial" w:hAnsi="Arial" w:cs="Arial"/>
          <w:sz w:val="26"/>
          <w:szCs w:val="26"/>
        </w:rPr>
      </w:pPr>
    </w:p>
    <w:p w:rsidR="000A2C75" w:rsidRDefault="000A2C75" w:rsidP="000A2C75">
      <w:pPr>
        <w:spacing w:line="360" w:lineRule="auto"/>
        <w:ind w:left="1" w:hanging="3"/>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0A2C75" w:rsidRDefault="000A2C75" w:rsidP="000A2C75">
      <w:pPr>
        <w:spacing w:after="0" w:line="240" w:lineRule="auto"/>
        <w:ind w:left="1" w:hanging="3"/>
        <w:jc w:val="center"/>
        <w:rPr>
          <w:rFonts w:ascii="Arial" w:hAnsi="Arial" w:cs="Arial"/>
          <w:sz w:val="26"/>
          <w:szCs w:val="26"/>
        </w:rPr>
      </w:pPr>
      <w:r>
        <w:rPr>
          <w:rFonts w:ascii="Arial" w:hAnsi="Arial" w:cs="Arial"/>
          <w:sz w:val="26"/>
          <w:szCs w:val="26"/>
        </w:rPr>
        <w:t>PRESIDENTA</w:t>
      </w: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8C011E" w:rsidRDefault="008C011E"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A2C75" w:rsidRDefault="000A2C75" w:rsidP="000A2C75">
      <w:pPr>
        <w:spacing w:line="360" w:lineRule="auto"/>
        <w:ind w:left="1" w:hanging="3"/>
        <w:jc w:val="center"/>
        <w:rPr>
          <w:rFonts w:ascii="Arial" w:eastAsia="Times New Roman" w:hAnsi="Arial" w:cs="Arial"/>
          <w:sz w:val="26"/>
          <w:szCs w:val="26"/>
          <w:lang w:eastAsia="es-MX"/>
        </w:rPr>
      </w:pPr>
    </w:p>
    <w:p w:rsidR="000A2C75" w:rsidRDefault="000A2C75" w:rsidP="000A2C75">
      <w:pPr>
        <w:spacing w:line="360" w:lineRule="auto"/>
        <w:ind w:left="1" w:hanging="3"/>
        <w:jc w:val="center"/>
        <w:rPr>
          <w:rFonts w:ascii="Arial" w:eastAsia="Times New Roman" w:hAnsi="Arial" w:cs="Arial"/>
          <w:sz w:val="26"/>
          <w:szCs w:val="26"/>
          <w:lang w:eastAsia="es-MX"/>
        </w:rPr>
      </w:pPr>
    </w:p>
    <w:p w:rsidR="000A2C75" w:rsidRDefault="000A2C75" w:rsidP="000A2C75">
      <w:pPr>
        <w:spacing w:after="0" w:line="240" w:lineRule="auto"/>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8C011E" w:rsidRDefault="008C011E" w:rsidP="000A2C75">
      <w:pPr>
        <w:spacing w:after="0" w:line="240" w:lineRule="auto"/>
        <w:ind w:left="1" w:hanging="3"/>
        <w:jc w:val="center"/>
        <w:rPr>
          <w:rFonts w:ascii="Arial" w:hAnsi="Arial" w:cs="Arial"/>
          <w:sz w:val="26"/>
          <w:szCs w:val="26"/>
        </w:rPr>
      </w:pPr>
    </w:p>
    <w:p w:rsidR="000A2C75" w:rsidRDefault="000A2C75" w:rsidP="00374257">
      <w:pPr>
        <w:ind w:left="1" w:hanging="3"/>
        <w:jc w:val="center"/>
        <w:rPr>
          <w:rFonts w:ascii="Arial" w:hAnsi="Arial" w:cs="Arial"/>
          <w:sz w:val="26"/>
          <w:szCs w:val="26"/>
        </w:rPr>
      </w:pPr>
      <w:r>
        <w:rPr>
          <w:rFonts w:ascii="Arial" w:hAnsi="Arial" w:cs="Arial"/>
          <w:sz w:val="26"/>
          <w:szCs w:val="26"/>
        </w:rPr>
        <w:t>MA</w:t>
      </w:r>
      <w:r w:rsidR="00374257">
        <w:rPr>
          <w:rFonts w:ascii="Arial" w:hAnsi="Arial" w:cs="Arial"/>
          <w:sz w:val="26"/>
          <w:szCs w:val="26"/>
        </w:rPr>
        <w:t>GISTRADO RAÚL PALOMARES PALOMINO</w:t>
      </w:r>
    </w:p>
    <w:p w:rsidR="008C011E" w:rsidRDefault="008C011E" w:rsidP="00374257">
      <w:pPr>
        <w:ind w:left="1" w:hanging="3"/>
        <w:jc w:val="center"/>
        <w:rPr>
          <w:rFonts w:ascii="Arial" w:hAnsi="Arial" w:cs="Arial"/>
          <w:sz w:val="26"/>
          <w:szCs w:val="26"/>
        </w:rPr>
      </w:pPr>
    </w:p>
    <w:p w:rsidR="000A2C75" w:rsidRDefault="000A2C75" w:rsidP="000A2C75">
      <w:pPr>
        <w:spacing w:after="0" w:line="240" w:lineRule="auto"/>
        <w:ind w:left="1" w:hanging="3"/>
        <w:jc w:val="center"/>
        <w:rPr>
          <w:rFonts w:ascii="Arial" w:hAnsi="Arial" w:cs="Arial"/>
          <w:sz w:val="26"/>
          <w:szCs w:val="26"/>
        </w:rPr>
      </w:pPr>
    </w:p>
    <w:p w:rsidR="008C011E" w:rsidRDefault="008C011E" w:rsidP="000A2C75">
      <w:pPr>
        <w:spacing w:after="0" w:line="240" w:lineRule="auto"/>
        <w:ind w:left="1" w:hanging="3"/>
        <w:jc w:val="center"/>
        <w:rPr>
          <w:rFonts w:ascii="Arial" w:hAnsi="Arial" w:cs="Arial"/>
          <w:sz w:val="26"/>
          <w:szCs w:val="26"/>
        </w:rPr>
      </w:pPr>
    </w:p>
    <w:p w:rsidR="000A2C75" w:rsidRPr="008B167B" w:rsidRDefault="000A2C75" w:rsidP="000A2C75">
      <w:pPr>
        <w:spacing w:line="360" w:lineRule="auto"/>
        <w:ind w:firstLine="567"/>
        <w:jc w:val="center"/>
        <w:rPr>
          <w:rFonts w:ascii="Arial" w:hAnsi="Arial" w:cs="Arial"/>
          <w:sz w:val="26"/>
          <w:szCs w:val="26"/>
        </w:rPr>
      </w:pPr>
      <w:r>
        <w:rPr>
          <w:rFonts w:ascii="Arial" w:hAnsi="Arial" w:cs="Arial"/>
          <w:b/>
          <w:sz w:val="14"/>
          <w:szCs w:val="26"/>
        </w:rPr>
        <w:t xml:space="preserve">LAS PRESENTES FIRMAS CORRESPONDEN AL RECURSO DE REVISIÓN </w:t>
      </w:r>
      <w:r w:rsidR="00502682">
        <w:rPr>
          <w:rFonts w:ascii="Arial" w:hAnsi="Arial" w:cs="Arial"/>
          <w:b/>
          <w:sz w:val="14"/>
          <w:szCs w:val="26"/>
        </w:rPr>
        <w:t>227/2019</w:t>
      </w:r>
    </w:p>
    <w:p w:rsidR="000A2C75" w:rsidRDefault="000A2C75" w:rsidP="00374257">
      <w:pPr>
        <w:spacing w:after="0" w:line="240" w:lineRule="auto"/>
        <w:rPr>
          <w:rFonts w:ascii="Arial" w:hAnsi="Arial" w:cs="Arial"/>
          <w:sz w:val="26"/>
          <w:szCs w:val="26"/>
        </w:rPr>
      </w:pPr>
    </w:p>
    <w:p w:rsidR="00374257" w:rsidRDefault="00374257" w:rsidP="00374257">
      <w:pPr>
        <w:spacing w:after="0" w:line="240" w:lineRule="auto"/>
        <w:rPr>
          <w:rFonts w:ascii="Arial" w:hAnsi="Arial" w:cs="Arial"/>
          <w:sz w:val="26"/>
          <w:szCs w:val="26"/>
        </w:rPr>
      </w:pPr>
    </w:p>
    <w:p w:rsidR="000A2C75" w:rsidRDefault="000A2C75" w:rsidP="000A2C75">
      <w:pPr>
        <w:ind w:left="1" w:hanging="3"/>
        <w:jc w:val="center"/>
        <w:rPr>
          <w:rFonts w:ascii="Arial" w:hAnsi="Arial" w:cs="Arial"/>
          <w:sz w:val="26"/>
          <w:szCs w:val="26"/>
        </w:rPr>
      </w:pPr>
    </w:p>
    <w:p w:rsidR="000A2C75" w:rsidRDefault="000A2C75" w:rsidP="000A2C75">
      <w:pPr>
        <w:ind w:left="1" w:hanging="3"/>
        <w:jc w:val="center"/>
        <w:rPr>
          <w:rFonts w:ascii="Arial" w:hAnsi="Arial" w:cs="Arial"/>
          <w:sz w:val="26"/>
          <w:szCs w:val="26"/>
        </w:rPr>
      </w:pPr>
    </w:p>
    <w:p w:rsidR="000A2C75" w:rsidRPr="008B167B" w:rsidRDefault="000A2C75" w:rsidP="000A2C75">
      <w:pPr>
        <w:ind w:left="1" w:hanging="3"/>
        <w:jc w:val="center"/>
        <w:rPr>
          <w:rFonts w:ascii="Arial" w:hAnsi="Arial" w:cs="Arial"/>
          <w:sz w:val="26"/>
          <w:szCs w:val="26"/>
        </w:rPr>
      </w:pPr>
    </w:p>
    <w:p w:rsidR="000A2C75" w:rsidRDefault="000A2C75" w:rsidP="000A2C75">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0A2C75" w:rsidRDefault="000A2C75" w:rsidP="000A2C75">
      <w:pPr>
        <w:spacing w:after="0" w:line="360" w:lineRule="auto"/>
        <w:ind w:left="1" w:right="49" w:hanging="3"/>
        <w:jc w:val="both"/>
        <w:rPr>
          <w:rFonts w:ascii="Arial" w:hAnsi="Arial" w:cs="Arial"/>
          <w:sz w:val="26"/>
          <w:szCs w:val="26"/>
        </w:rPr>
      </w:pPr>
    </w:p>
    <w:p w:rsidR="000A2C75" w:rsidRDefault="000A2C75" w:rsidP="000A2C75">
      <w:pPr>
        <w:tabs>
          <w:tab w:val="left" w:pos="1680"/>
          <w:tab w:val="center" w:pos="4277"/>
        </w:tabs>
        <w:spacing w:line="360" w:lineRule="auto"/>
        <w:ind w:left="1" w:hanging="3"/>
        <w:jc w:val="center"/>
        <w:rPr>
          <w:rFonts w:ascii="Arial" w:hAnsi="Arial" w:cs="Arial"/>
          <w:sz w:val="26"/>
          <w:szCs w:val="26"/>
        </w:rPr>
      </w:pPr>
    </w:p>
    <w:p w:rsidR="000A2C75" w:rsidRDefault="000A2C75" w:rsidP="000A2C75">
      <w:pPr>
        <w:tabs>
          <w:tab w:val="left" w:pos="1680"/>
          <w:tab w:val="center" w:pos="4277"/>
        </w:tabs>
        <w:spacing w:line="360" w:lineRule="auto"/>
        <w:ind w:left="1" w:hanging="3"/>
        <w:jc w:val="center"/>
        <w:rPr>
          <w:rFonts w:ascii="Arial" w:hAnsi="Arial" w:cs="Arial"/>
          <w:sz w:val="26"/>
          <w:szCs w:val="26"/>
        </w:rPr>
      </w:pPr>
    </w:p>
    <w:p w:rsidR="000A2C75" w:rsidRDefault="000A2C75" w:rsidP="000A2C75">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0A2C75" w:rsidRDefault="000A2C75" w:rsidP="000A2C75">
      <w:pPr>
        <w:pStyle w:val="Sinespaciado"/>
        <w:ind w:left="1" w:hanging="3"/>
        <w:jc w:val="center"/>
        <w:rPr>
          <w:sz w:val="26"/>
          <w:szCs w:val="26"/>
        </w:rPr>
      </w:pPr>
      <w:r>
        <w:rPr>
          <w:rFonts w:ascii="Arial" w:hAnsi="Arial" w:cs="Arial"/>
          <w:sz w:val="26"/>
          <w:szCs w:val="26"/>
        </w:rPr>
        <w:t>SECRETARIA GENERAL DE ACUERDOS</w:t>
      </w:r>
    </w:p>
    <w:p w:rsidR="000A2C75" w:rsidRDefault="000A2C75" w:rsidP="000A2C75">
      <w:pPr>
        <w:spacing w:line="360" w:lineRule="auto"/>
        <w:ind w:right="69" w:firstLine="567"/>
        <w:jc w:val="both"/>
        <w:rPr>
          <w:sz w:val="26"/>
          <w:szCs w:val="26"/>
        </w:rPr>
      </w:pPr>
    </w:p>
    <w:p w:rsidR="005770C1" w:rsidRDefault="005770C1" w:rsidP="005770C1">
      <w:pPr>
        <w:jc w:val="center"/>
        <w:rPr>
          <w:sz w:val="26"/>
          <w:szCs w:val="26"/>
        </w:rPr>
      </w:pPr>
    </w:p>
    <w:sectPr w:rsidR="005770C1"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94E" w:rsidRDefault="00DA394E">
      <w:pPr>
        <w:spacing w:after="0" w:line="240" w:lineRule="auto"/>
      </w:pPr>
      <w:r>
        <w:separator/>
      </w:r>
    </w:p>
  </w:endnote>
  <w:endnote w:type="continuationSeparator" w:id="0">
    <w:p w:rsidR="00DA394E" w:rsidRDefault="00DA3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94E" w:rsidRDefault="00DA394E">
      <w:pPr>
        <w:spacing w:after="0" w:line="240" w:lineRule="auto"/>
      </w:pPr>
      <w:r>
        <w:separator/>
      </w:r>
    </w:p>
  </w:footnote>
  <w:footnote w:type="continuationSeparator" w:id="0">
    <w:p w:rsidR="00DA394E" w:rsidRDefault="00DA394E">
      <w:pPr>
        <w:spacing w:after="0" w:line="240" w:lineRule="auto"/>
      </w:pPr>
      <w:r>
        <w:continuationSeparator/>
      </w:r>
    </w:p>
  </w:footnote>
  <w:footnote w:id="1">
    <w:p w:rsidR="00B96042" w:rsidRPr="00B96042" w:rsidRDefault="00B96042" w:rsidP="00B96042">
      <w:pPr>
        <w:pStyle w:val="Textonotapie"/>
        <w:jc w:val="both"/>
        <w:rPr>
          <w:lang w:val="es-MX"/>
        </w:rPr>
      </w:pPr>
      <w:r>
        <w:rPr>
          <w:rStyle w:val="Refdenotaalpie"/>
        </w:rPr>
        <w:footnoteRef/>
      </w:r>
      <w:r>
        <w:t xml:space="preserve"> </w:t>
      </w:r>
      <w:r>
        <w:rPr>
          <w:lang w:val="es-MX"/>
        </w:rPr>
        <w:t>“</w:t>
      </w:r>
      <w:r>
        <w:rPr>
          <w:b/>
          <w:lang w:val="es-MX"/>
        </w:rPr>
        <w:t xml:space="preserve">ARTÍCULO 147.- </w:t>
      </w:r>
      <w:r>
        <w:rPr>
          <w:lang w:val="es-MX"/>
        </w:rPr>
        <w:t>Los juicios de lo Contencioso administrativo y fiscal que promuevan ante el Tribunal, se substanciarán y resolverán con arreglo a las disposiciones de esta Ley. A falta de disposición expresa, se aplicarán supletoriamente el Código de Procedimientos Civiles para el Estado de Oaxaca, así como el Código Fiscal del Estado o Municipal, en lo que no sean contrarios y resulten aplicables…”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120CBC" w:rsidP="00D25099">
        <w:pPr>
          <w:pStyle w:val="Encabezado"/>
          <w:jc w:val="center"/>
        </w:pPr>
        <w:r>
          <w:fldChar w:fldCharType="begin"/>
        </w:r>
        <w:r>
          <w:instrText>PAGE   \* MERGEFORMAT</w:instrText>
        </w:r>
        <w:r>
          <w:fldChar w:fldCharType="separate"/>
        </w:r>
        <w:r w:rsidR="00112D5D">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112D5D">
          <w:rPr>
            <w:noProof/>
          </w:rPr>
          <w:t>7</w:t>
        </w:r>
        <w:r>
          <w:rPr>
            <w:noProof/>
          </w:rPr>
          <w:fldChar w:fldCharType="end"/>
        </w:r>
      </w:p>
      <w:p w:rsidR="00120CBC" w:rsidRDefault="00DA394E" w:rsidP="008C74CA">
        <w:pPr>
          <w:pStyle w:val="Encabezado"/>
          <w:jc w:val="center"/>
        </w:pPr>
      </w:p>
    </w:sdtContent>
  </w:sdt>
  <w:p w:rsidR="00120CBC" w:rsidRDefault="00120CBC" w:rsidP="00256B01">
    <w:pPr>
      <w:pStyle w:val="Encabezado"/>
      <w:jc w:val="center"/>
    </w:pPr>
  </w:p>
  <w:p w:rsidR="00120CBC" w:rsidRDefault="00120CBC"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357B"/>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2C75"/>
    <w:rsid w:val="000A4E40"/>
    <w:rsid w:val="000A6360"/>
    <w:rsid w:val="000A6EC7"/>
    <w:rsid w:val="000A7BA9"/>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077E9"/>
    <w:rsid w:val="0011079C"/>
    <w:rsid w:val="00111B33"/>
    <w:rsid w:val="00111BFC"/>
    <w:rsid w:val="00112002"/>
    <w:rsid w:val="00112D5D"/>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0E3"/>
    <w:rsid w:val="001441D3"/>
    <w:rsid w:val="0014484E"/>
    <w:rsid w:val="001460D8"/>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01"/>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0F44"/>
    <w:rsid w:val="001C1FCF"/>
    <w:rsid w:val="001C3488"/>
    <w:rsid w:val="001C4AAC"/>
    <w:rsid w:val="001C6A1B"/>
    <w:rsid w:val="001C7145"/>
    <w:rsid w:val="001D0A5A"/>
    <w:rsid w:val="001D2397"/>
    <w:rsid w:val="001D27A6"/>
    <w:rsid w:val="001D3995"/>
    <w:rsid w:val="001D3B81"/>
    <w:rsid w:val="001D68F4"/>
    <w:rsid w:val="001D694C"/>
    <w:rsid w:val="001D730F"/>
    <w:rsid w:val="001D7FCD"/>
    <w:rsid w:val="001E1758"/>
    <w:rsid w:val="001E3B11"/>
    <w:rsid w:val="001E503D"/>
    <w:rsid w:val="001E631B"/>
    <w:rsid w:val="001E6770"/>
    <w:rsid w:val="001E680E"/>
    <w:rsid w:val="001E6F05"/>
    <w:rsid w:val="001F03C6"/>
    <w:rsid w:val="001F72DF"/>
    <w:rsid w:val="00200843"/>
    <w:rsid w:val="00200BE6"/>
    <w:rsid w:val="0020247E"/>
    <w:rsid w:val="00203FD3"/>
    <w:rsid w:val="00206222"/>
    <w:rsid w:val="00206B99"/>
    <w:rsid w:val="002113FA"/>
    <w:rsid w:val="00211AEE"/>
    <w:rsid w:val="00211DEF"/>
    <w:rsid w:val="00212937"/>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5C"/>
    <w:rsid w:val="002310A8"/>
    <w:rsid w:val="0023173E"/>
    <w:rsid w:val="002327AF"/>
    <w:rsid w:val="00233034"/>
    <w:rsid w:val="00233214"/>
    <w:rsid w:val="00233FC9"/>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0C6D"/>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0F37"/>
    <w:rsid w:val="002C291C"/>
    <w:rsid w:val="002C29C3"/>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6B92"/>
    <w:rsid w:val="0031730E"/>
    <w:rsid w:val="00321AAB"/>
    <w:rsid w:val="00321C10"/>
    <w:rsid w:val="00321D83"/>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4257"/>
    <w:rsid w:val="00375176"/>
    <w:rsid w:val="003779D8"/>
    <w:rsid w:val="00380776"/>
    <w:rsid w:val="00380BAC"/>
    <w:rsid w:val="003818BD"/>
    <w:rsid w:val="00381DC3"/>
    <w:rsid w:val="00382FD0"/>
    <w:rsid w:val="00383A19"/>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4E3"/>
    <w:rsid w:val="003E15CF"/>
    <w:rsid w:val="003E2B2E"/>
    <w:rsid w:val="003E2C06"/>
    <w:rsid w:val="003E4073"/>
    <w:rsid w:val="003E4484"/>
    <w:rsid w:val="003E52CC"/>
    <w:rsid w:val="003E5B1E"/>
    <w:rsid w:val="003E5FDE"/>
    <w:rsid w:val="003E7801"/>
    <w:rsid w:val="003E7C2E"/>
    <w:rsid w:val="003E7C91"/>
    <w:rsid w:val="003F09E7"/>
    <w:rsid w:val="003F3076"/>
    <w:rsid w:val="003F47AD"/>
    <w:rsid w:val="003F5E8A"/>
    <w:rsid w:val="003F61B2"/>
    <w:rsid w:val="00400164"/>
    <w:rsid w:val="0040457E"/>
    <w:rsid w:val="004045E1"/>
    <w:rsid w:val="00404D0E"/>
    <w:rsid w:val="00407B2F"/>
    <w:rsid w:val="00411707"/>
    <w:rsid w:val="00412972"/>
    <w:rsid w:val="0041349D"/>
    <w:rsid w:val="004138D3"/>
    <w:rsid w:val="004140AA"/>
    <w:rsid w:val="004154B7"/>
    <w:rsid w:val="00416DB0"/>
    <w:rsid w:val="0041760B"/>
    <w:rsid w:val="00417DE2"/>
    <w:rsid w:val="00423A9D"/>
    <w:rsid w:val="00424229"/>
    <w:rsid w:val="00427081"/>
    <w:rsid w:val="004307F7"/>
    <w:rsid w:val="00433FAD"/>
    <w:rsid w:val="00435B66"/>
    <w:rsid w:val="00435DCC"/>
    <w:rsid w:val="004365BF"/>
    <w:rsid w:val="004407BC"/>
    <w:rsid w:val="00441D6B"/>
    <w:rsid w:val="004426E6"/>
    <w:rsid w:val="00443CBD"/>
    <w:rsid w:val="00444733"/>
    <w:rsid w:val="004503A6"/>
    <w:rsid w:val="00454494"/>
    <w:rsid w:val="004547D3"/>
    <w:rsid w:val="004567C7"/>
    <w:rsid w:val="00457CC7"/>
    <w:rsid w:val="004610B7"/>
    <w:rsid w:val="004633DC"/>
    <w:rsid w:val="004647A3"/>
    <w:rsid w:val="00467A8D"/>
    <w:rsid w:val="004715AF"/>
    <w:rsid w:val="00472E19"/>
    <w:rsid w:val="00474E30"/>
    <w:rsid w:val="00475F7F"/>
    <w:rsid w:val="004774DD"/>
    <w:rsid w:val="0047763B"/>
    <w:rsid w:val="00485388"/>
    <w:rsid w:val="004870D8"/>
    <w:rsid w:val="00491DA5"/>
    <w:rsid w:val="0049224C"/>
    <w:rsid w:val="00493195"/>
    <w:rsid w:val="0049478C"/>
    <w:rsid w:val="004958FA"/>
    <w:rsid w:val="004961AD"/>
    <w:rsid w:val="004963BC"/>
    <w:rsid w:val="00496E71"/>
    <w:rsid w:val="00497AD8"/>
    <w:rsid w:val="00497E3B"/>
    <w:rsid w:val="004A2326"/>
    <w:rsid w:val="004A234C"/>
    <w:rsid w:val="004A319F"/>
    <w:rsid w:val="004A399A"/>
    <w:rsid w:val="004A4ECC"/>
    <w:rsid w:val="004A54A3"/>
    <w:rsid w:val="004A7AC3"/>
    <w:rsid w:val="004B13E6"/>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001"/>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2682"/>
    <w:rsid w:val="005043E1"/>
    <w:rsid w:val="005053FA"/>
    <w:rsid w:val="005068F2"/>
    <w:rsid w:val="00510956"/>
    <w:rsid w:val="00510C9F"/>
    <w:rsid w:val="00510FE5"/>
    <w:rsid w:val="005115C3"/>
    <w:rsid w:val="00512FF2"/>
    <w:rsid w:val="00513620"/>
    <w:rsid w:val="0051428C"/>
    <w:rsid w:val="00515939"/>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5817"/>
    <w:rsid w:val="0053715D"/>
    <w:rsid w:val="005410B3"/>
    <w:rsid w:val="00541ACF"/>
    <w:rsid w:val="00541B18"/>
    <w:rsid w:val="00542671"/>
    <w:rsid w:val="005443FC"/>
    <w:rsid w:val="00544A76"/>
    <w:rsid w:val="00545D35"/>
    <w:rsid w:val="00546203"/>
    <w:rsid w:val="0054755B"/>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ED8"/>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990"/>
    <w:rsid w:val="00607F3D"/>
    <w:rsid w:val="006105BC"/>
    <w:rsid w:val="00610C46"/>
    <w:rsid w:val="00611349"/>
    <w:rsid w:val="00611746"/>
    <w:rsid w:val="00611DD6"/>
    <w:rsid w:val="006150FB"/>
    <w:rsid w:val="00621035"/>
    <w:rsid w:val="00621070"/>
    <w:rsid w:val="006243E9"/>
    <w:rsid w:val="0062552D"/>
    <w:rsid w:val="006309F3"/>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14BB"/>
    <w:rsid w:val="006A1CDE"/>
    <w:rsid w:val="006A4C24"/>
    <w:rsid w:val="006A5F24"/>
    <w:rsid w:val="006A6FE7"/>
    <w:rsid w:val="006B0915"/>
    <w:rsid w:val="006B0B08"/>
    <w:rsid w:val="006B10A8"/>
    <w:rsid w:val="006B119B"/>
    <w:rsid w:val="006B26D3"/>
    <w:rsid w:val="006B3BEA"/>
    <w:rsid w:val="006B4FD6"/>
    <w:rsid w:val="006B52CD"/>
    <w:rsid w:val="006B6374"/>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4736"/>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35DB"/>
    <w:rsid w:val="007445DB"/>
    <w:rsid w:val="00745C96"/>
    <w:rsid w:val="00745F93"/>
    <w:rsid w:val="00747AB7"/>
    <w:rsid w:val="00750F50"/>
    <w:rsid w:val="00752052"/>
    <w:rsid w:val="00752B02"/>
    <w:rsid w:val="00752F7E"/>
    <w:rsid w:val="00754C6E"/>
    <w:rsid w:val="00755251"/>
    <w:rsid w:val="007562D1"/>
    <w:rsid w:val="007568F4"/>
    <w:rsid w:val="007569A2"/>
    <w:rsid w:val="0075724E"/>
    <w:rsid w:val="007573DC"/>
    <w:rsid w:val="0076494C"/>
    <w:rsid w:val="00766389"/>
    <w:rsid w:val="00772A26"/>
    <w:rsid w:val="0077356E"/>
    <w:rsid w:val="007737E8"/>
    <w:rsid w:val="00773DC9"/>
    <w:rsid w:val="00774011"/>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0FAB"/>
    <w:rsid w:val="007B29E4"/>
    <w:rsid w:val="007B448D"/>
    <w:rsid w:val="007B5135"/>
    <w:rsid w:val="007B6958"/>
    <w:rsid w:val="007C0D88"/>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6E50"/>
    <w:rsid w:val="007F7B65"/>
    <w:rsid w:val="007F7F91"/>
    <w:rsid w:val="0080043A"/>
    <w:rsid w:val="00800CD0"/>
    <w:rsid w:val="00801F35"/>
    <w:rsid w:val="0080399F"/>
    <w:rsid w:val="00805360"/>
    <w:rsid w:val="00805C67"/>
    <w:rsid w:val="00805D28"/>
    <w:rsid w:val="00807736"/>
    <w:rsid w:val="00807D70"/>
    <w:rsid w:val="00815878"/>
    <w:rsid w:val="00816BA3"/>
    <w:rsid w:val="00817864"/>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3573"/>
    <w:rsid w:val="008B4B2E"/>
    <w:rsid w:val="008B4EBC"/>
    <w:rsid w:val="008B5E35"/>
    <w:rsid w:val="008C011E"/>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E6A71"/>
    <w:rsid w:val="008F05C2"/>
    <w:rsid w:val="008F203A"/>
    <w:rsid w:val="008F52F4"/>
    <w:rsid w:val="008F6A42"/>
    <w:rsid w:val="008F7D31"/>
    <w:rsid w:val="009000E7"/>
    <w:rsid w:val="00900115"/>
    <w:rsid w:val="009007FC"/>
    <w:rsid w:val="00900A88"/>
    <w:rsid w:val="0090242B"/>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E3D"/>
    <w:rsid w:val="00936EEC"/>
    <w:rsid w:val="0094005B"/>
    <w:rsid w:val="0094041C"/>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6CE3"/>
    <w:rsid w:val="0097768E"/>
    <w:rsid w:val="00983201"/>
    <w:rsid w:val="009837FD"/>
    <w:rsid w:val="00984197"/>
    <w:rsid w:val="00986534"/>
    <w:rsid w:val="00991B75"/>
    <w:rsid w:val="00991F69"/>
    <w:rsid w:val="00993688"/>
    <w:rsid w:val="00995692"/>
    <w:rsid w:val="0099624C"/>
    <w:rsid w:val="00996B6C"/>
    <w:rsid w:val="00997217"/>
    <w:rsid w:val="00997F96"/>
    <w:rsid w:val="009A33AC"/>
    <w:rsid w:val="009A33BE"/>
    <w:rsid w:val="009A3714"/>
    <w:rsid w:val="009A5AE2"/>
    <w:rsid w:val="009A5D8D"/>
    <w:rsid w:val="009A6537"/>
    <w:rsid w:val="009B1106"/>
    <w:rsid w:val="009B1EAF"/>
    <w:rsid w:val="009B38C8"/>
    <w:rsid w:val="009B3FAA"/>
    <w:rsid w:val="009B4A4B"/>
    <w:rsid w:val="009B4DEF"/>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19B7"/>
    <w:rsid w:val="00A442A4"/>
    <w:rsid w:val="00A4466C"/>
    <w:rsid w:val="00A450A9"/>
    <w:rsid w:val="00A4628E"/>
    <w:rsid w:val="00A51216"/>
    <w:rsid w:val="00A51623"/>
    <w:rsid w:val="00A5314A"/>
    <w:rsid w:val="00A53C4F"/>
    <w:rsid w:val="00A57F60"/>
    <w:rsid w:val="00A61A6E"/>
    <w:rsid w:val="00A65B8D"/>
    <w:rsid w:val="00A66CC9"/>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1C55"/>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C490B"/>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3A8F"/>
    <w:rsid w:val="00B860B7"/>
    <w:rsid w:val="00B87E72"/>
    <w:rsid w:val="00B87E94"/>
    <w:rsid w:val="00B90D57"/>
    <w:rsid w:val="00B90ED9"/>
    <w:rsid w:val="00B91207"/>
    <w:rsid w:val="00B94DC9"/>
    <w:rsid w:val="00B95F1A"/>
    <w:rsid w:val="00B96042"/>
    <w:rsid w:val="00B96729"/>
    <w:rsid w:val="00BA05BF"/>
    <w:rsid w:val="00BA0DB3"/>
    <w:rsid w:val="00BA0E31"/>
    <w:rsid w:val="00BA1726"/>
    <w:rsid w:val="00BA212A"/>
    <w:rsid w:val="00BA2D8E"/>
    <w:rsid w:val="00BA2FEE"/>
    <w:rsid w:val="00BA42E0"/>
    <w:rsid w:val="00BA6095"/>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5E3C"/>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2B9D"/>
    <w:rsid w:val="00CB621B"/>
    <w:rsid w:val="00CB65EC"/>
    <w:rsid w:val="00CB6E8A"/>
    <w:rsid w:val="00CB7070"/>
    <w:rsid w:val="00CC18F6"/>
    <w:rsid w:val="00CC1DB1"/>
    <w:rsid w:val="00CC7CEF"/>
    <w:rsid w:val="00CD0468"/>
    <w:rsid w:val="00CD1491"/>
    <w:rsid w:val="00CD3C69"/>
    <w:rsid w:val="00CD64DE"/>
    <w:rsid w:val="00CD6EC0"/>
    <w:rsid w:val="00CE4666"/>
    <w:rsid w:val="00CE4E2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48B9"/>
    <w:rsid w:val="00D1615A"/>
    <w:rsid w:val="00D16225"/>
    <w:rsid w:val="00D16547"/>
    <w:rsid w:val="00D17D46"/>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394E"/>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316A"/>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192"/>
    <w:rsid w:val="00E11F28"/>
    <w:rsid w:val="00E12B19"/>
    <w:rsid w:val="00E14744"/>
    <w:rsid w:val="00E14816"/>
    <w:rsid w:val="00E1487F"/>
    <w:rsid w:val="00E15338"/>
    <w:rsid w:val="00E154AB"/>
    <w:rsid w:val="00E15EB4"/>
    <w:rsid w:val="00E164E7"/>
    <w:rsid w:val="00E16654"/>
    <w:rsid w:val="00E21CDD"/>
    <w:rsid w:val="00E22360"/>
    <w:rsid w:val="00E23669"/>
    <w:rsid w:val="00E238F6"/>
    <w:rsid w:val="00E24702"/>
    <w:rsid w:val="00E25425"/>
    <w:rsid w:val="00E25B8B"/>
    <w:rsid w:val="00E25C3E"/>
    <w:rsid w:val="00E31D43"/>
    <w:rsid w:val="00E32EEE"/>
    <w:rsid w:val="00E33520"/>
    <w:rsid w:val="00E35644"/>
    <w:rsid w:val="00E3623E"/>
    <w:rsid w:val="00E37775"/>
    <w:rsid w:val="00E40BC0"/>
    <w:rsid w:val="00E419F7"/>
    <w:rsid w:val="00E41A8D"/>
    <w:rsid w:val="00E427DF"/>
    <w:rsid w:val="00E43435"/>
    <w:rsid w:val="00E475A6"/>
    <w:rsid w:val="00E47828"/>
    <w:rsid w:val="00E52305"/>
    <w:rsid w:val="00E53C94"/>
    <w:rsid w:val="00E57113"/>
    <w:rsid w:val="00E57493"/>
    <w:rsid w:val="00E60ED0"/>
    <w:rsid w:val="00E61AB6"/>
    <w:rsid w:val="00E61CDE"/>
    <w:rsid w:val="00E65459"/>
    <w:rsid w:val="00E66951"/>
    <w:rsid w:val="00E67D3C"/>
    <w:rsid w:val="00E7006D"/>
    <w:rsid w:val="00E705F5"/>
    <w:rsid w:val="00E74076"/>
    <w:rsid w:val="00E75BB5"/>
    <w:rsid w:val="00E77490"/>
    <w:rsid w:val="00E808D6"/>
    <w:rsid w:val="00E80E37"/>
    <w:rsid w:val="00E8107F"/>
    <w:rsid w:val="00E8196A"/>
    <w:rsid w:val="00E81E8B"/>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6A8E"/>
    <w:rsid w:val="00EC6BCB"/>
    <w:rsid w:val="00ED073E"/>
    <w:rsid w:val="00ED2E55"/>
    <w:rsid w:val="00ED54D9"/>
    <w:rsid w:val="00ED5DDA"/>
    <w:rsid w:val="00ED5FA7"/>
    <w:rsid w:val="00ED7D48"/>
    <w:rsid w:val="00EE0121"/>
    <w:rsid w:val="00EE1352"/>
    <w:rsid w:val="00EE2E93"/>
    <w:rsid w:val="00EE3E2A"/>
    <w:rsid w:val="00EE480B"/>
    <w:rsid w:val="00EE4C8D"/>
    <w:rsid w:val="00EE5FFA"/>
    <w:rsid w:val="00EE695C"/>
    <w:rsid w:val="00EF2230"/>
    <w:rsid w:val="00EF2BF2"/>
    <w:rsid w:val="00EF34F4"/>
    <w:rsid w:val="00EF4015"/>
    <w:rsid w:val="00EF76DE"/>
    <w:rsid w:val="00F0156D"/>
    <w:rsid w:val="00F01E80"/>
    <w:rsid w:val="00F02DE0"/>
    <w:rsid w:val="00F0430C"/>
    <w:rsid w:val="00F053FC"/>
    <w:rsid w:val="00F059C8"/>
    <w:rsid w:val="00F06CB3"/>
    <w:rsid w:val="00F079CC"/>
    <w:rsid w:val="00F07A83"/>
    <w:rsid w:val="00F07F37"/>
    <w:rsid w:val="00F07FC2"/>
    <w:rsid w:val="00F10CA3"/>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0CD1"/>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1C16"/>
    <w:rsid w:val="00FA26F7"/>
    <w:rsid w:val="00FA3C84"/>
    <w:rsid w:val="00FA4E53"/>
    <w:rsid w:val="00FA5B4C"/>
    <w:rsid w:val="00FB0E2A"/>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5F54"/>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0A2C75"/>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0A2C75"/>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3584898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48C57-230D-4C4E-A92F-43E2C13F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1916</Words>
  <Characters>10540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2020-01-22T18:26:00Z</cp:lastPrinted>
  <dcterms:created xsi:type="dcterms:W3CDTF">2020-09-21T18:16:00Z</dcterms:created>
  <dcterms:modified xsi:type="dcterms:W3CDTF">2020-09-24T18:12:00Z</dcterms:modified>
</cp:coreProperties>
</file>