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13169A">
        <w:rPr>
          <w:rFonts w:ascii="Arial" w:hAnsi="Arial" w:cs="Arial"/>
          <w:b/>
          <w:sz w:val="26"/>
          <w:szCs w:val="26"/>
        </w:rPr>
        <w:t>0</w:t>
      </w:r>
      <w:r w:rsidR="00D055B7">
        <w:rPr>
          <w:rFonts w:ascii="Arial" w:hAnsi="Arial" w:cs="Arial"/>
          <w:b/>
          <w:sz w:val="26"/>
          <w:szCs w:val="26"/>
        </w:rPr>
        <w:t>440</w:t>
      </w:r>
      <w:r>
        <w:rPr>
          <w:rFonts w:ascii="Arial" w:hAnsi="Arial" w:cs="Arial"/>
          <w:b/>
          <w:sz w:val="26"/>
          <w:szCs w:val="26"/>
        </w:rPr>
        <w:t>/201</w:t>
      </w:r>
      <w:r w:rsidR="00D055B7">
        <w:rPr>
          <w:rFonts w:ascii="Arial" w:hAnsi="Arial" w:cs="Arial"/>
          <w:b/>
          <w:sz w:val="26"/>
          <w:szCs w:val="26"/>
        </w:rPr>
        <w:t>8</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D055B7">
        <w:rPr>
          <w:rFonts w:ascii="Arial" w:hAnsi="Arial" w:cs="Arial"/>
          <w:b/>
          <w:sz w:val="26"/>
          <w:szCs w:val="26"/>
        </w:rPr>
        <w:t>45</w:t>
      </w:r>
      <w:r>
        <w:rPr>
          <w:rFonts w:ascii="Arial" w:hAnsi="Arial" w:cs="Arial"/>
          <w:b/>
          <w:sz w:val="26"/>
          <w:szCs w:val="26"/>
        </w:rPr>
        <w:t>/201</w:t>
      </w:r>
      <w:r w:rsidR="00D055B7">
        <w:rPr>
          <w:rFonts w:ascii="Arial" w:hAnsi="Arial" w:cs="Arial"/>
          <w:b/>
          <w:sz w:val="26"/>
          <w:szCs w:val="26"/>
        </w:rPr>
        <w:t>8</w:t>
      </w:r>
      <w:r>
        <w:rPr>
          <w:rFonts w:ascii="Arial" w:hAnsi="Arial" w:cs="Arial"/>
          <w:b/>
          <w:sz w:val="26"/>
          <w:szCs w:val="26"/>
        </w:rPr>
        <w:t xml:space="preserve"> </w:t>
      </w:r>
      <w:r w:rsidR="00D055B7">
        <w:rPr>
          <w:rFonts w:ascii="Arial" w:hAnsi="Arial" w:cs="Arial"/>
          <w:b/>
          <w:sz w:val="26"/>
          <w:szCs w:val="26"/>
        </w:rPr>
        <w:t>QUINTA</w:t>
      </w:r>
      <w:r>
        <w:rPr>
          <w:rFonts w:ascii="Arial" w:hAnsi="Arial" w:cs="Arial"/>
          <w:b/>
          <w:sz w:val="26"/>
          <w:szCs w:val="26"/>
        </w:rPr>
        <w:t xml:space="preserve"> SALA UNITARIA DE PRIMERA INSTANCIA</w:t>
      </w:r>
    </w:p>
    <w:p w:rsidR="00B90565" w:rsidRDefault="00005CFE" w:rsidP="00B90565">
      <w:pPr>
        <w:spacing w:line="240" w:lineRule="auto"/>
        <w:ind w:left="2124"/>
        <w:jc w:val="both"/>
        <w:rPr>
          <w:rFonts w:ascii="Arial" w:hAnsi="Arial" w:cs="Arial"/>
          <w:b/>
          <w:sz w:val="26"/>
          <w:szCs w:val="26"/>
        </w:rPr>
      </w:pPr>
      <w:r>
        <w:rPr>
          <w:rFonts w:ascii="Arial" w:hAnsi="Arial" w:cs="Arial"/>
          <w:b/>
          <w:sz w:val="26"/>
          <w:szCs w:val="26"/>
        </w:rPr>
        <w:t>PONENTE: MAGISTRADO</w:t>
      </w:r>
      <w:r w:rsidR="00B90565">
        <w:rPr>
          <w:rFonts w:ascii="Arial" w:hAnsi="Arial" w:cs="Arial"/>
          <w:b/>
          <w:sz w:val="26"/>
          <w:szCs w:val="26"/>
        </w:rPr>
        <w:t xml:space="preserve"> </w:t>
      </w:r>
      <w:r w:rsidR="00E95F4C">
        <w:rPr>
          <w:rFonts w:ascii="Arial" w:hAnsi="Arial" w:cs="Arial"/>
          <w:b/>
          <w:sz w:val="26"/>
          <w:szCs w:val="26"/>
        </w:rPr>
        <w:t>ADRIAN QUIROGA AVENDAÑO.</w:t>
      </w:r>
    </w:p>
    <w:p w:rsidR="00E95F4C" w:rsidRDefault="00E95F4C" w:rsidP="00B90565">
      <w:pPr>
        <w:spacing w:line="240" w:lineRule="auto"/>
        <w:ind w:left="2124"/>
        <w:jc w:val="both"/>
        <w:rPr>
          <w:rFonts w:ascii="Arial" w:hAnsi="Arial" w:cs="Arial"/>
          <w:b/>
          <w:sz w:val="26"/>
          <w:szCs w:val="26"/>
        </w:rPr>
      </w:pPr>
    </w:p>
    <w:p w:rsidR="007667E2" w:rsidRDefault="00F64E98" w:rsidP="000D0E11">
      <w:pPr>
        <w:spacing w:after="0" w:line="360" w:lineRule="auto"/>
        <w:jc w:val="both"/>
        <w:rPr>
          <w:rFonts w:ascii="Arial" w:hAnsi="Arial" w:cs="Arial"/>
          <w:b/>
          <w:sz w:val="26"/>
          <w:szCs w:val="26"/>
        </w:rPr>
      </w:pPr>
      <w:r>
        <w:rPr>
          <w:rFonts w:ascii="Arial" w:hAnsi="Arial" w:cs="Arial"/>
          <w:b/>
          <w:sz w:val="26"/>
          <w:szCs w:val="26"/>
        </w:rPr>
        <w:t xml:space="preserve">OAXACA DE JUÁREZ, OAXACA, </w:t>
      </w:r>
      <w:r w:rsidR="007C63E4">
        <w:rPr>
          <w:rFonts w:ascii="Arial" w:hAnsi="Arial" w:cs="Arial"/>
          <w:b/>
          <w:sz w:val="26"/>
          <w:szCs w:val="26"/>
        </w:rPr>
        <w:t xml:space="preserve">A </w:t>
      </w:r>
      <w:r>
        <w:rPr>
          <w:rFonts w:ascii="Arial" w:hAnsi="Arial" w:cs="Arial"/>
          <w:b/>
          <w:sz w:val="26"/>
          <w:szCs w:val="26"/>
        </w:rPr>
        <w:t xml:space="preserve">QUINCE DE ENERO DE </w:t>
      </w:r>
      <w:r w:rsidR="007667E2">
        <w:rPr>
          <w:rFonts w:ascii="Arial" w:hAnsi="Arial" w:cs="Arial"/>
          <w:b/>
          <w:sz w:val="26"/>
          <w:szCs w:val="26"/>
        </w:rPr>
        <w:t xml:space="preserve">DOS MIL </w:t>
      </w:r>
      <w:r>
        <w:rPr>
          <w:rFonts w:ascii="Arial" w:hAnsi="Arial" w:cs="Arial"/>
          <w:b/>
          <w:sz w:val="26"/>
          <w:szCs w:val="26"/>
        </w:rPr>
        <w:t>VEINTE</w:t>
      </w:r>
      <w:r w:rsidR="007667E2">
        <w:rPr>
          <w:rFonts w:ascii="Arial" w:hAnsi="Arial" w:cs="Arial"/>
          <w:b/>
          <w:sz w:val="26"/>
          <w:szCs w:val="26"/>
        </w:rPr>
        <w:t>.</w:t>
      </w:r>
    </w:p>
    <w:p w:rsidR="007667E2" w:rsidRDefault="00B90565" w:rsidP="000D0E11">
      <w:pPr>
        <w:spacing w:after="0" w:line="360" w:lineRule="auto"/>
        <w:ind w:firstLine="567"/>
        <w:jc w:val="both"/>
        <w:rPr>
          <w:rFonts w:ascii="Arial" w:hAnsi="Arial" w:cs="Arial"/>
          <w:sz w:val="26"/>
          <w:szCs w:val="26"/>
          <w:lang w:val="es-MX"/>
        </w:rPr>
      </w:pPr>
      <w:r>
        <w:rPr>
          <w:rFonts w:ascii="Arial" w:hAnsi="Arial" w:cs="Arial"/>
          <w:sz w:val="26"/>
          <w:szCs w:val="26"/>
        </w:rPr>
        <w:t xml:space="preserve">Por recibido el Cuaderno de Revisión </w:t>
      </w:r>
      <w:r w:rsidR="0013169A">
        <w:rPr>
          <w:rFonts w:ascii="Arial" w:hAnsi="Arial" w:cs="Arial"/>
          <w:b/>
          <w:bCs/>
          <w:sz w:val="26"/>
          <w:szCs w:val="26"/>
        </w:rPr>
        <w:t>0</w:t>
      </w:r>
      <w:r w:rsidR="00D055B7">
        <w:rPr>
          <w:rFonts w:ascii="Arial" w:hAnsi="Arial" w:cs="Arial"/>
          <w:b/>
          <w:sz w:val="26"/>
          <w:szCs w:val="26"/>
        </w:rPr>
        <w:t>440</w:t>
      </w:r>
      <w:r>
        <w:rPr>
          <w:rFonts w:ascii="Arial" w:hAnsi="Arial" w:cs="Arial"/>
          <w:b/>
          <w:sz w:val="26"/>
          <w:szCs w:val="26"/>
        </w:rPr>
        <w:t>/201</w:t>
      </w:r>
      <w:r w:rsidR="00D055B7">
        <w:rPr>
          <w:rFonts w:ascii="Arial" w:hAnsi="Arial" w:cs="Arial"/>
          <w:b/>
          <w:sz w:val="26"/>
          <w:szCs w:val="26"/>
        </w:rPr>
        <w:t>8</w:t>
      </w:r>
      <w:r>
        <w:rPr>
          <w:rFonts w:ascii="Arial" w:hAnsi="Arial" w:cs="Arial"/>
          <w:sz w:val="26"/>
          <w:szCs w:val="26"/>
        </w:rPr>
        <w:t xml:space="preserve">, que remite la Secretaría General de Acuerdos, con motivo del recurso de revisión interpuesto por </w:t>
      </w:r>
      <w:r w:rsidR="00D360F8">
        <w:rPr>
          <w:rFonts w:ascii="Arial" w:hAnsi="Arial" w:cs="Arial"/>
          <w:sz w:val="26"/>
          <w:szCs w:val="26"/>
        </w:rPr>
        <w:t xml:space="preserve">el </w:t>
      </w:r>
      <w:r w:rsidR="00AD480A">
        <w:rPr>
          <w:rFonts w:ascii="Arial" w:hAnsi="Arial" w:cs="Arial"/>
          <w:b/>
          <w:sz w:val="26"/>
          <w:szCs w:val="26"/>
        </w:rPr>
        <w:t>*********</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sentencia de </w:t>
      </w:r>
      <w:r w:rsidR="00D055B7">
        <w:rPr>
          <w:rFonts w:ascii="Arial" w:eastAsia="Calibri" w:hAnsi="Arial" w:cs="Arial"/>
          <w:sz w:val="26"/>
          <w:szCs w:val="26"/>
        </w:rPr>
        <w:t>veint</w:t>
      </w:r>
      <w:r w:rsidR="00D360F8">
        <w:rPr>
          <w:rFonts w:ascii="Arial" w:eastAsia="Calibri" w:hAnsi="Arial" w:cs="Arial"/>
          <w:sz w:val="26"/>
          <w:szCs w:val="26"/>
        </w:rPr>
        <w:t xml:space="preserve">iocho de </w:t>
      </w:r>
      <w:r w:rsidR="00D055B7">
        <w:rPr>
          <w:rFonts w:ascii="Arial" w:eastAsia="Calibri" w:hAnsi="Arial" w:cs="Arial"/>
          <w:sz w:val="26"/>
          <w:szCs w:val="26"/>
        </w:rPr>
        <w:t xml:space="preserve">septiembre </w:t>
      </w:r>
      <w:r>
        <w:rPr>
          <w:rFonts w:ascii="Arial" w:eastAsia="Calibri" w:hAnsi="Arial" w:cs="Arial"/>
          <w:sz w:val="26"/>
          <w:szCs w:val="26"/>
        </w:rPr>
        <w:t>de dos mil dieci</w:t>
      </w:r>
      <w:r w:rsidR="00D055B7">
        <w:rPr>
          <w:rFonts w:ascii="Arial" w:eastAsia="Calibri" w:hAnsi="Arial" w:cs="Arial"/>
          <w:sz w:val="26"/>
          <w:szCs w:val="26"/>
        </w:rPr>
        <w:t>ocho</w:t>
      </w:r>
      <w:r>
        <w:rPr>
          <w:rFonts w:ascii="Arial" w:eastAsia="Calibri" w:hAnsi="Arial" w:cs="Arial"/>
          <w:sz w:val="26"/>
          <w:szCs w:val="26"/>
        </w:rPr>
        <w:t xml:space="preserve">, </w:t>
      </w:r>
      <w:r>
        <w:rPr>
          <w:rFonts w:ascii="Arial" w:hAnsi="Arial" w:cs="Arial"/>
          <w:sz w:val="26"/>
          <w:szCs w:val="26"/>
        </w:rPr>
        <w:t xml:space="preserve">dictada en el expediente </w:t>
      </w:r>
      <w:r w:rsidR="00D055B7">
        <w:rPr>
          <w:rFonts w:ascii="Arial" w:hAnsi="Arial" w:cs="Arial"/>
          <w:b/>
          <w:sz w:val="26"/>
          <w:szCs w:val="26"/>
        </w:rPr>
        <w:t>045</w:t>
      </w:r>
      <w:r>
        <w:rPr>
          <w:rFonts w:ascii="Arial" w:hAnsi="Arial" w:cs="Arial"/>
          <w:b/>
          <w:sz w:val="26"/>
          <w:szCs w:val="26"/>
        </w:rPr>
        <w:t>/201</w:t>
      </w:r>
      <w:r w:rsidR="00D055B7">
        <w:rPr>
          <w:rFonts w:ascii="Arial" w:hAnsi="Arial" w:cs="Arial"/>
          <w:b/>
          <w:sz w:val="26"/>
          <w:szCs w:val="26"/>
        </w:rPr>
        <w:t>8</w:t>
      </w:r>
      <w:r>
        <w:rPr>
          <w:rFonts w:ascii="Arial" w:hAnsi="Arial" w:cs="Arial"/>
          <w:b/>
          <w:sz w:val="26"/>
          <w:szCs w:val="26"/>
        </w:rPr>
        <w:t>,</w:t>
      </w:r>
      <w:r>
        <w:rPr>
          <w:rFonts w:ascii="Arial" w:hAnsi="Arial" w:cs="Arial"/>
          <w:sz w:val="26"/>
          <w:szCs w:val="26"/>
        </w:rPr>
        <w:t xml:space="preserve"> de la </w:t>
      </w:r>
      <w:r w:rsidR="003D2803">
        <w:rPr>
          <w:rFonts w:ascii="Arial" w:hAnsi="Arial" w:cs="Arial"/>
          <w:sz w:val="26"/>
          <w:szCs w:val="26"/>
        </w:rPr>
        <w:t xml:space="preserve">Quinta </w:t>
      </w:r>
      <w:r>
        <w:rPr>
          <w:rFonts w:ascii="Arial" w:hAnsi="Arial" w:cs="Arial"/>
          <w:sz w:val="26"/>
          <w:szCs w:val="26"/>
        </w:rPr>
        <w:t>Sala Unitaria de Primera Instancia</w:t>
      </w:r>
      <w:r>
        <w:rPr>
          <w:rFonts w:ascii="Arial" w:eastAsia="Calibri" w:hAnsi="Arial" w:cs="Arial"/>
          <w:sz w:val="26"/>
          <w:szCs w:val="26"/>
        </w:rPr>
        <w:t xml:space="preserve">, </w:t>
      </w:r>
      <w:r>
        <w:rPr>
          <w:rFonts w:ascii="Arial" w:hAnsi="Arial" w:cs="Arial"/>
          <w:sz w:val="26"/>
          <w:szCs w:val="26"/>
        </w:rPr>
        <w:t>relativo al juicio de nulidad promovido por</w:t>
      </w:r>
      <w:r w:rsidR="00D055B7">
        <w:rPr>
          <w:rFonts w:ascii="Arial" w:hAnsi="Arial" w:cs="Arial"/>
          <w:b/>
          <w:sz w:val="26"/>
          <w:szCs w:val="26"/>
        </w:rPr>
        <w:t xml:space="preserve"> </w:t>
      </w:r>
      <w:r w:rsidR="00AD480A">
        <w:rPr>
          <w:rFonts w:ascii="Arial" w:hAnsi="Arial" w:cs="Arial"/>
          <w:b/>
          <w:sz w:val="26"/>
          <w:szCs w:val="26"/>
        </w:rPr>
        <w:t>*********</w:t>
      </w:r>
      <w:r w:rsidRPr="00CA3845">
        <w:rPr>
          <w:rFonts w:ascii="Arial" w:eastAsia="Calibri" w:hAnsi="Arial" w:cs="Arial"/>
          <w:sz w:val="26"/>
          <w:szCs w:val="26"/>
        </w:rPr>
        <w:t xml:space="preserve">, </w:t>
      </w:r>
      <w:r w:rsidR="003D2803">
        <w:rPr>
          <w:rFonts w:ascii="Arial" w:eastAsia="Calibri" w:hAnsi="Arial" w:cs="Arial"/>
          <w:sz w:val="26"/>
          <w:szCs w:val="26"/>
        </w:rPr>
        <w:t xml:space="preserve">en contra del </w:t>
      </w:r>
      <w:r w:rsidR="003D2803" w:rsidRPr="003D2803">
        <w:rPr>
          <w:rFonts w:ascii="Arial" w:eastAsia="Calibri" w:hAnsi="Arial" w:cs="Arial"/>
          <w:b/>
          <w:sz w:val="26"/>
          <w:szCs w:val="26"/>
        </w:rPr>
        <w:t>DIRECTOR DE RESPONSABILIDADES ADMINISTRATIVAS Y SITUACIÓN PATRIMONIAL</w:t>
      </w:r>
      <w:r w:rsidR="003D2803">
        <w:rPr>
          <w:rFonts w:ascii="Arial" w:eastAsia="Calibri" w:hAnsi="Arial" w:cs="Arial"/>
          <w:sz w:val="26"/>
          <w:szCs w:val="26"/>
        </w:rPr>
        <w:t xml:space="preserve"> </w:t>
      </w:r>
      <w:r w:rsidR="002912BD">
        <w:rPr>
          <w:rFonts w:ascii="Arial" w:eastAsia="Calibri" w:hAnsi="Arial" w:cs="Arial"/>
          <w:sz w:val="26"/>
          <w:szCs w:val="26"/>
        </w:rPr>
        <w:t xml:space="preserve">y </w:t>
      </w:r>
      <w:r w:rsidR="002912BD" w:rsidRPr="002912BD">
        <w:rPr>
          <w:rFonts w:ascii="Arial" w:eastAsia="Calibri" w:hAnsi="Arial" w:cs="Arial"/>
          <w:b/>
          <w:sz w:val="26"/>
          <w:szCs w:val="26"/>
        </w:rPr>
        <w:t>JEFE</w:t>
      </w:r>
      <w:r w:rsidR="002912BD">
        <w:rPr>
          <w:rFonts w:ascii="Arial" w:eastAsia="Calibri" w:hAnsi="Arial" w:cs="Arial"/>
          <w:b/>
          <w:sz w:val="26"/>
          <w:szCs w:val="26"/>
        </w:rPr>
        <w:t xml:space="preserve"> DEL DEPARTAMENTO DE PROCEDIMIENTOS ADMINISTRATIVOS “A”, ambos de la </w:t>
      </w:r>
      <w:r w:rsidR="003D2803" w:rsidRPr="003D2803">
        <w:rPr>
          <w:rFonts w:ascii="Arial" w:eastAsia="Calibri" w:hAnsi="Arial" w:cs="Arial"/>
          <w:b/>
          <w:sz w:val="26"/>
          <w:szCs w:val="26"/>
        </w:rPr>
        <w:t>SUBSECRETARÍA DE RESPONSABILIDADES ADMINISTRATIVAS Y ANTICORRUPCIÓN DE LA SECRETARÍA DE LA CONTRALORÍA</w:t>
      </w:r>
      <w:r w:rsidR="003D2803">
        <w:rPr>
          <w:rFonts w:ascii="Arial" w:eastAsia="Calibri" w:hAnsi="Arial" w:cs="Arial"/>
          <w:sz w:val="26"/>
          <w:szCs w:val="26"/>
        </w:rPr>
        <w:t xml:space="preserve"> </w:t>
      </w:r>
      <w:r w:rsidR="003D2803" w:rsidRPr="003D2803">
        <w:rPr>
          <w:rFonts w:ascii="Arial" w:eastAsia="Calibri" w:hAnsi="Arial" w:cs="Arial"/>
          <w:b/>
          <w:sz w:val="26"/>
          <w:szCs w:val="26"/>
        </w:rPr>
        <w:t>Y TRASPARENCIA GUBERNAMENTAL DEL PODER EJECUTIVO DE</w:t>
      </w:r>
      <w:r w:rsidR="00B3125A">
        <w:rPr>
          <w:rFonts w:ascii="Arial" w:eastAsia="Calibri" w:hAnsi="Arial" w:cs="Arial"/>
          <w:b/>
          <w:sz w:val="26"/>
          <w:szCs w:val="26"/>
        </w:rPr>
        <w:t>L ESTADO DE</w:t>
      </w:r>
      <w:r w:rsidR="003D2803" w:rsidRPr="003D2803">
        <w:rPr>
          <w:rFonts w:ascii="Arial" w:eastAsia="Calibri" w:hAnsi="Arial" w:cs="Arial"/>
          <w:b/>
          <w:sz w:val="26"/>
          <w:szCs w:val="26"/>
        </w:rPr>
        <w:t xml:space="preserve"> OAXACA</w:t>
      </w:r>
      <w:r w:rsidR="003D2803">
        <w:rPr>
          <w:rFonts w:ascii="Arial" w:eastAsia="Calibri" w:hAnsi="Arial" w:cs="Arial"/>
          <w:sz w:val="26"/>
          <w:szCs w:val="26"/>
        </w:rPr>
        <w:t xml:space="preserve">; </w:t>
      </w:r>
      <w:r w:rsidR="000D41AB" w:rsidRPr="00403CFB">
        <w:rPr>
          <w:rFonts w:ascii="Arial" w:hAnsi="Arial" w:cs="Arial"/>
          <w:sz w:val="26"/>
          <w:szCs w:val="26"/>
          <w:lang w:val="es-MX"/>
        </w:rPr>
        <w:t>por lo que con fundamento en los artículos 236 y 237 de la Ley de Procedimiento y Justicia Administrativa para el Estado de Oaxaca, se admite. En consecuencia, se procede a dictar resolución en los siguientes términos:</w:t>
      </w:r>
      <w:r w:rsidR="00C01A2F">
        <w:rPr>
          <w:rFonts w:ascii="Arial" w:hAnsi="Arial" w:cs="Arial"/>
          <w:sz w:val="26"/>
          <w:szCs w:val="26"/>
          <w:lang w:val="es-MX"/>
        </w:rPr>
        <w:t xml:space="preserve"> </w:t>
      </w:r>
    </w:p>
    <w:p w:rsidR="007667E2" w:rsidRDefault="00B90565" w:rsidP="000D0E11">
      <w:pPr>
        <w:spacing w:after="0" w:line="360" w:lineRule="auto"/>
        <w:jc w:val="center"/>
        <w:rPr>
          <w:rFonts w:ascii="Arial" w:hAnsi="Arial" w:cs="Arial"/>
          <w:bCs/>
          <w:sz w:val="26"/>
          <w:szCs w:val="26"/>
        </w:rPr>
      </w:pPr>
      <w:r>
        <w:rPr>
          <w:rFonts w:ascii="Arial" w:hAnsi="Arial" w:cs="Arial"/>
          <w:b/>
          <w:bCs/>
          <w:sz w:val="26"/>
          <w:szCs w:val="26"/>
        </w:rPr>
        <w:t>R E S U L T A N D O</w:t>
      </w:r>
      <w:r w:rsidR="00A30E90">
        <w:rPr>
          <w:rFonts w:ascii="Arial" w:hAnsi="Arial" w:cs="Arial"/>
          <w:b/>
          <w:bCs/>
          <w:sz w:val="26"/>
          <w:szCs w:val="26"/>
        </w:rPr>
        <w:t>:</w:t>
      </w:r>
    </w:p>
    <w:p w:rsidR="007667E2" w:rsidRDefault="00B90565" w:rsidP="000D0E11">
      <w:pPr>
        <w:spacing w:after="0" w:line="360" w:lineRule="auto"/>
        <w:ind w:firstLine="567"/>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la sentencia de</w:t>
      </w:r>
      <w:r w:rsidR="00D055B7">
        <w:rPr>
          <w:rFonts w:ascii="Arial" w:hAnsi="Arial" w:cs="Arial"/>
          <w:sz w:val="26"/>
          <w:szCs w:val="26"/>
        </w:rPr>
        <w:t xml:space="preserve"> </w:t>
      </w:r>
      <w:r w:rsidR="00D055B7">
        <w:rPr>
          <w:rFonts w:ascii="Arial" w:eastAsia="Calibri" w:hAnsi="Arial" w:cs="Arial"/>
          <w:sz w:val="26"/>
          <w:szCs w:val="26"/>
        </w:rPr>
        <w:t>veintiocho de septiembre de dos mil dieciocho</w:t>
      </w:r>
      <w:r>
        <w:rPr>
          <w:rFonts w:ascii="Arial" w:hAnsi="Arial" w:cs="Arial"/>
          <w:sz w:val="26"/>
          <w:szCs w:val="26"/>
        </w:rPr>
        <w:t xml:space="preserve">, dictada por la </w:t>
      </w:r>
      <w:r w:rsidR="00D055B7">
        <w:rPr>
          <w:rFonts w:ascii="Arial" w:hAnsi="Arial" w:cs="Arial"/>
          <w:sz w:val="26"/>
          <w:szCs w:val="26"/>
        </w:rPr>
        <w:t xml:space="preserve">Quinta </w:t>
      </w:r>
      <w:r>
        <w:rPr>
          <w:rFonts w:ascii="Arial" w:hAnsi="Arial" w:cs="Arial"/>
          <w:sz w:val="26"/>
          <w:szCs w:val="26"/>
        </w:rPr>
        <w:t xml:space="preserve">Sala Unitaria de Primera Instancia </w:t>
      </w:r>
      <w:r w:rsidR="00AD480A" w:rsidRPr="00AD480A">
        <w:rPr>
          <w:rFonts w:ascii="Arial" w:hAnsi="Arial" w:cs="Arial"/>
          <w:b/>
          <w:sz w:val="26"/>
          <w:szCs w:val="26"/>
        </w:rPr>
        <w:t>*********</w:t>
      </w:r>
      <w:r w:rsidR="00D360F8" w:rsidRPr="00AD480A">
        <w:rPr>
          <w:rFonts w:ascii="Arial" w:hAnsi="Arial" w:cs="Arial"/>
          <w:b/>
          <w:sz w:val="26"/>
          <w:szCs w:val="26"/>
        </w:rPr>
        <w:t>,</w:t>
      </w:r>
      <w:r>
        <w:rPr>
          <w:rFonts w:ascii="Arial" w:hAnsi="Arial" w:cs="Arial"/>
          <w:sz w:val="26"/>
          <w:szCs w:val="26"/>
        </w:rPr>
        <w:t xml:space="preserve"> interpuso en</w:t>
      </w:r>
      <w:r w:rsidR="003D2803">
        <w:rPr>
          <w:rFonts w:ascii="Arial" w:hAnsi="Arial" w:cs="Arial"/>
          <w:sz w:val="26"/>
          <w:szCs w:val="26"/>
        </w:rPr>
        <w:t xml:space="preserve"> su contra recurso de revisión</w:t>
      </w:r>
      <w:r w:rsidR="007667E2">
        <w:rPr>
          <w:rFonts w:ascii="Arial" w:hAnsi="Arial" w:cs="Arial"/>
          <w:sz w:val="26"/>
          <w:szCs w:val="26"/>
        </w:rPr>
        <w:t>.</w:t>
      </w:r>
      <w:r w:rsidR="00BD6A9E">
        <w:rPr>
          <w:rFonts w:ascii="Arial" w:hAnsi="Arial" w:cs="Arial"/>
          <w:sz w:val="26"/>
          <w:szCs w:val="26"/>
        </w:rPr>
        <w:t xml:space="preserve"> </w:t>
      </w:r>
    </w:p>
    <w:p w:rsidR="00B90565" w:rsidRDefault="00B90565" w:rsidP="000D0E11">
      <w:pPr>
        <w:spacing w:after="0" w:line="360" w:lineRule="auto"/>
        <w:ind w:firstLine="567"/>
        <w:jc w:val="both"/>
        <w:rPr>
          <w:rFonts w:ascii="Arial" w:eastAsia="Calibri" w:hAnsi="Arial" w:cs="Arial"/>
          <w:sz w:val="26"/>
          <w:szCs w:val="26"/>
        </w:rPr>
      </w:pPr>
      <w:r>
        <w:rPr>
          <w:rFonts w:ascii="Arial" w:eastAsia="Calibri" w:hAnsi="Arial" w:cs="Arial"/>
          <w:b/>
          <w:bCs/>
          <w:sz w:val="26"/>
          <w:szCs w:val="26"/>
        </w:rPr>
        <w:t xml:space="preserve">SEGUNDO.- </w:t>
      </w:r>
      <w:r>
        <w:rPr>
          <w:rFonts w:ascii="Arial" w:eastAsia="Calibri" w:hAnsi="Arial" w:cs="Arial"/>
          <w:sz w:val="26"/>
          <w:szCs w:val="26"/>
        </w:rPr>
        <w:t>Los puntos resolutivos de la sentencia recurrida son los siguientes:</w:t>
      </w:r>
    </w:p>
    <w:p w:rsidR="00B90565" w:rsidRDefault="00B90565" w:rsidP="000D0E11">
      <w:pPr>
        <w:pStyle w:val="Textoindependiente21"/>
        <w:tabs>
          <w:tab w:val="left" w:pos="7938"/>
        </w:tabs>
        <w:spacing w:line="360" w:lineRule="auto"/>
        <w:ind w:left="1134" w:right="616" w:firstLine="0"/>
        <w:rPr>
          <w:rFonts w:ascii="Arial" w:hAnsi="Arial" w:cs="Arial"/>
          <w:bCs/>
          <w:iCs/>
          <w:sz w:val="22"/>
          <w:szCs w:val="22"/>
        </w:rPr>
      </w:pPr>
      <w:r w:rsidRPr="00F158CB">
        <w:rPr>
          <w:rFonts w:ascii="Arial" w:hAnsi="Arial" w:cs="Arial"/>
          <w:bCs/>
          <w:iCs/>
          <w:szCs w:val="24"/>
        </w:rPr>
        <w:t>“</w:t>
      </w:r>
      <w:r w:rsidR="00D055B7" w:rsidRPr="00BD6A9E">
        <w:rPr>
          <w:rFonts w:ascii="Arial" w:hAnsi="Arial" w:cs="Arial"/>
          <w:b/>
          <w:bCs/>
          <w:i/>
          <w:iCs/>
          <w:sz w:val="22"/>
          <w:szCs w:val="22"/>
        </w:rPr>
        <w:t>PRIMERO.-</w:t>
      </w:r>
      <w:r w:rsidRPr="00BD6A9E">
        <w:rPr>
          <w:rFonts w:ascii="Arial" w:hAnsi="Arial" w:cs="Arial"/>
          <w:b/>
          <w:bCs/>
          <w:i/>
          <w:iCs/>
          <w:sz w:val="22"/>
          <w:szCs w:val="22"/>
        </w:rPr>
        <w:t xml:space="preserve"> </w:t>
      </w:r>
      <w:r w:rsidRPr="00BD6A9E">
        <w:rPr>
          <w:rFonts w:ascii="Arial" w:hAnsi="Arial" w:cs="Arial"/>
          <w:bCs/>
          <w:i/>
          <w:iCs/>
          <w:sz w:val="22"/>
          <w:szCs w:val="22"/>
        </w:rPr>
        <w:t xml:space="preserve">Esta </w:t>
      </w:r>
      <w:r w:rsidR="00D055B7" w:rsidRPr="00BD6A9E">
        <w:rPr>
          <w:rFonts w:ascii="Arial" w:hAnsi="Arial" w:cs="Arial"/>
          <w:bCs/>
          <w:i/>
          <w:iCs/>
          <w:sz w:val="22"/>
          <w:szCs w:val="22"/>
        </w:rPr>
        <w:t>Quinta Sala Unitaria del Tribunal de Justicia Administrativa del Estado de Oaxaca</w:t>
      </w:r>
      <w:r w:rsidRPr="00BD6A9E">
        <w:rPr>
          <w:rFonts w:ascii="Arial" w:hAnsi="Arial" w:cs="Arial"/>
          <w:bCs/>
          <w:i/>
          <w:iCs/>
          <w:sz w:val="22"/>
          <w:szCs w:val="22"/>
        </w:rPr>
        <w:t xml:space="preserve">, es competente para conocer y resolver </w:t>
      </w:r>
      <w:r w:rsidR="00D055B7" w:rsidRPr="00BD6A9E">
        <w:rPr>
          <w:rFonts w:ascii="Arial" w:hAnsi="Arial" w:cs="Arial"/>
          <w:bCs/>
          <w:i/>
          <w:iCs/>
          <w:sz w:val="22"/>
          <w:szCs w:val="22"/>
        </w:rPr>
        <w:t>el presente juicio</w:t>
      </w:r>
      <w:r w:rsidRPr="00BD6A9E">
        <w:rPr>
          <w:rFonts w:ascii="Arial" w:hAnsi="Arial" w:cs="Arial"/>
          <w:bCs/>
          <w:i/>
          <w:iCs/>
          <w:sz w:val="22"/>
          <w:szCs w:val="22"/>
        </w:rPr>
        <w:t>.</w:t>
      </w:r>
      <w:r w:rsidR="00D055B7" w:rsidRPr="00BD6A9E">
        <w:rPr>
          <w:rFonts w:ascii="Arial" w:hAnsi="Arial" w:cs="Arial"/>
          <w:bCs/>
          <w:i/>
          <w:iCs/>
          <w:sz w:val="22"/>
          <w:szCs w:val="22"/>
        </w:rPr>
        <w:t xml:space="preserve"> - - </w:t>
      </w:r>
      <w:r w:rsidRPr="00BD6A9E">
        <w:rPr>
          <w:rFonts w:ascii="Arial" w:hAnsi="Arial" w:cs="Arial"/>
          <w:bCs/>
          <w:i/>
          <w:iCs/>
          <w:sz w:val="22"/>
          <w:szCs w:val="22"/>
        </w:rPr>
        <w:t>- - - - - - - - - - - -</w:t>
      </w:r>
      <w:r w:rsidR="00A30E90">
        <w:rPr>
          <w:rFonts w:ascii="Arial" w:hAnsi="Arial" w:cs="Arial"/>
          <w:bCs/>
          <w:i/>
          <w:iCs/>
          <w:sz w:val="22"/>
          <w:szCs w:val="22"/>
        </w:rPr>
        <w:t xml:space="preserve"> - - - - - - - - - - - </w:t>
      </w:r>
      <w:r w:rsidRPr="00BD6A9E">
        <w:rPr>
          <w:rFonts w:ascii="Arial" w:hAnsi="Arial" w:cs="Arial"/>
          <w:bCs/>
          <w:i/>
          <w:iCs/>
          <w:sz w:val="22"/>
          <w:szCs w:val="22"/>
        </w:rPr>
        <w:t xml:space="preserve"> </w:t>
      </w:r>
      <w:r w:rsidRPr="00BD6A9E">
        <w:rPr>
          <w:rFonts w:ascii="Arial" w:hAnsi="Arial" w:cs="Arial"/>
          <w:b/>
          <w:bCs/>
          <w:i/>
          <w:iCs/>
          <w:sz w:val="22"/>
          <w:szCs w:val="22"/>
        </w:rPr>
        <w:t>SEGUNDO</w:t>
      </w:r>
      <w:r w:rsidRPr="00BD6A9E">
        <w:rPr>
          <w:rFonts w:ascii="Arial" w:hAnsi="Arial" w:cs="Arial"/>
          <w:b/>
          <w:i/>
          <w:iCs/>
          <w:sz w:val="22"/>
          <w:szCs w:val="22"/>
        </w:rPr>
        <w:t>.-</w:t>
      </w:r>
      <w:r w:rsidRPr="00BD6A9E">
        <w:rPr>
          <w:rFonts w:ascii="Arial" w:hAnsi="Arial" w:cs="Arial"/>
          <w:bCs/>
          <w:i/>
          <w:iCs/>
          <w:sz w:val="22"/>
          <w:szCs w:val="22"/>
        </w:rPr>
        <w:t xml:space="preserve"> La personalidad de las partes quedó acreditada en autos.- - - - - - - - - - - - - - - - - - - - - - - - - - - - - - - - - - - - - -</w:t>
      </w:r>
      <w:r w:rsidR="00A30E90">
        <w:rPr>
          <w:rFonts w:ascii="Arial" w:hAnsi="Arial" w:cs="Arial"/>
          <w:bCs/>
          <w:i/>
          <w:iCs/>
          <w:sz w:val="22"/>
          <w:szCs w:val="22"/>
        </w:rPr>
        <w:t xml:space="preserve"> - - - </w:t>
      </w:r>
      <w:r w:rsidRPr="00BD6A9E">
        <w:rPr>
          <w:rFonts w:ascii="Arial" w:hAnsi="Arial" w:cs="Arial"/>
          <w:bCs/>
          <w:i/>
          <w:iCs/>
          <w:sz w:val="22"/>
          <w:szCs w:val="22"/>
        </w:rPr>
        <w:t xml:space="preserve"> </w:t>
      </w:r>
      <w:r w:rsidRPr="00BD6A9E">
        <w:rPr>
          <w:rFonts w:ascii="Arial" w:hAnsi="Arial" w:cs="Arial"/>
          <w:b/>
          <w:bCs/>
          <w:i/>
          <w:iCs/>
          <w:sz w:val="22"/>
          <w:szCs w:val="22"/>
        </w:rPr>
        <w:t>TERCERO</w:t>
      </w:r>
      <w:r w:rsidR="00C87C3D" w:rsidRPr="00BD6A9E">
        <w:rPr>
          <w:rFonts w:ascii="Arial" w:hAnsi="Arial" w:cs="Arial"/>
          <w:b/>
          <w:bCs/>
          <w:i/>
          <w:iCs/>
          <w:sz w:val="22"/>
          <w:szCs w:val="22"/>
        </w:rPr>
        <w:t xml:space="preserve">.- </w:t>
      </w:r>
      <w:r w:rsidR="00C87C3D" w:rsidRPr="00BD6A9E">
        <w:rPr>
          <w:rFonts w:ascii="Arial" w:hAnsi="Arial" w:cs="Arial"/>
          <w:i/>
          <w:iCs/>
          <w:sz w:val="22"/>
          <w:szCs w:val="22"/>
        </w:rPr>
        <w:t>Este Juzgador advierte que, en el presente juicio no se configura alguna causal de improcedencia o sobreseimiento, por tanto</w:t>
      </w:r>
      <w:r w:rsidR="00D360F8" w:rsidRPr="00BD6A9E">
        <w:rPr>
          <w:rFonts w:ascii="Arial" w:hAnsi="Arial" w:cs="Arial"/>
          <w:bCs/>
          <w:i/>
          <w:iCs/>
          <w:sz w:val="22"/>
          <w:szCs w:val="22"/>
        </w:rPr>
        <w:t xml:space="preserve">, </w:t>
      </w:r>
      <w:r w:rsidR="00D360F8" w:rsidRPr="00BD6A9E">
        <w:rPr>
          <w:rFonts w:ascii="Arial" w:hAnsi="Arial" w:cs="Arial"/>
          <w:b/>
          <w:i/>
          <w:iCs/>
          <w:sz w:val="22"/>
          <w:szCs w:val="22"/>
        </w:rPr>
        <w:t xml:space="preserve">NO </w:t>
      </w:r>
      <w:r w:rsidRPr="00BD6A9E">
        <w:rPr>
          <w:rFonts w:ascii="Arial" w:hAnsi="Arial" w:cs="Arial"/>
          <w:b/>
          <w:i/>
          <w:iCs/>
          <w:sz w:val="22"/>
          <w:szCs w:val="22"/>
        </w:rPr>
        <w:t>SE SOBRESEE</w:t>
      </w:r>
      <w:r w:rsidR="00C87C3D" w:rsidRPr="00BD6A9E">
        <w:rPr>
          <w:rFonts w:ascii="Arial" w:hAnsi="Arial" w:cs="Arial"/>
          <w:b/>
          <w:bCs/>
          <w:i/>
          <w:iCs/>
          <w:sz w:val="22"/>
          <w:szCs w:val="22"/>
        </w:rPr>
        <w:t xml:space="preserve">. </w:t>
      </w:r>
      <w:r w:rsidR="00C87C3D" w:rsidRPr="00BD6A9E">
        <w:rPr>
          <w:rFonts w:ascii="Arial" w:hAnsi="Arial" w:cs="Arial"/>
          <w:i/>
          <w:iCs/>
          <w:sz w:val="22"/>
          <w:szCs w:val="22"/>
        </w:rPr>
        <w:t xml:space="preserve">- </w:t>
      </w:r>
      <w:r w:rsidRPr="00BD6A9E">
        <w:rPr>
          <w:rFonts w:ascii="Arial" w:hAnsi="Arial" w:cs="Arial"/>
          <w:bCs/>
          <w:i/>
          <w:iCs/>
          <w:sz w:val="22"/>
          <w:szCs w:val="22"/>
        </w:rPr>
        <w:t>- - - - - - - - -</w:t>
      </w:r>
      <w:r w:rsidR="00A30E90">
        <w:rPr>
          <w:rFonts w:ascii="Arial" w:hAnsi="Arial" w:cs="Arial"/>
          <w:bCs/>
          <w:i/>
          <w:iCs/>
          <w:sz w:val="22"/>
          <w:szCs w:val="22"/>
        </w:rPr>
        <w:t xml:space="preserve"> - - - - - - - - - - - - - - - - </w:t>
      </w:r>
      <w:r w:rsidRPr="00BD6A9E">
        <w:rPr>
          <w:rFonts w:ascii="Arial" w:hAnsi="Arial" w:cs="Arial"/>
          <w:bCs/>
          <w:i/>
          <w:iCs/>
          <w:sz w:val="22"/>
          <w:szCs w:val="22"/>
        </w:rPr>
        <w:t xml:space="preserve"> </w:t>
      </w:r>
      <w:r w:rsidRPr="00BD6A9E">
        <w:rPr>
          <w:rFonts w:ascii="Arial" w:hAnsi="Arial" w:cs="Arial"/>
          <w:b/>
          <w:bCs/>
          <w:i/>
          <w:iCs/>
          <w:sz w:val="22"/>
          <w:szCs w:val="22"/>
        </w:rPr>
        <w:lastRenderedPageBreak/>
        <w:t xml:space="preserve">CUARTO.- </w:t>
      </w:r>
      <w:r w:rsidRPr="00BD6A9E">
        <w:rPr>
          <w:rFonts w:ascii="Arial" w:hAnsi="Arial" w:cs="Arial"/>
          <w:bCs/>
          <w:i/>
          <w:iCs/>
          <w:sz w:val="22"/>
          <w:szCs w:val="22"/>
        </w:rPr>
        <w:t xml:space="preserve">Se </w:t>
      </w:r>
      <w:r w:rsidR="00C87C3D" w:rsidRPr="00BD6A9E">
        <w:rPr>
          <w:rFonts w:ascii="Arial" w:hAnsi="Arial" w:cs="Arial"/>
          <w:b/>
          <w:i/>
          <w:iCs/>
          <w:sz w:val="22"/>
          <w:szCs w:val="22"/>
        </w:rPr>
        <w:t>DECLARA LA</w:t>
      </w:r>
      <w:r w:rsidR="00C87C3D" w:rsidRPr="00BD6A9E">
        <w:rPr>
          <w:rFonts w:ascii="Arial" w:hAnsi="Arial" w:cs="Arial"/>
          <w:b/>
          <w:bCs/>
          <w:i/>
          <w:iCs/>
          <w:sz w:val="22"/>
          <w:szCs w:val="22"/>
        </w:rPr>
        <w:t xml:space="preserve"> </w:t>
      </w:r>
      <w:r w:rsidR="00A572C8" w:rsidRPr="00BD6A9E">
        <w:rPr>
          <w:rFonts w:ascii="Arial" w:hAnsi="Arial" w:cs="Arial"/>
          <w:b/>
          <w:bCs/>
          <w:i/>
          <w:iCs/>
          <w:sz w:val="22"/>
          <w:szCs w:val="22"/>
        </w:rPr>
        <w:t xml:space="preserve">NULIDAD LISA Y LLANA, </w:t>
      </w:r>
      <w:r w:rsidRPr="00BD6A9E">
        <w:rPr>
          <w:rFonts w:ascii="Arial" w:hAnsi="Arial" w:cs="Arial"/>
          <w:bCs/>
          <w:i/>
          <w:iCs/>
          <w:sz w:val="22"/>
          <w:szCs w:val="22"/>
        </w:rPr>
        <w:t xml:space="preserve">de </w:t>
      </w:r>
      <w:r w:rsidRPr="00BD6A9E">
        <w:rPr>
          <w:rFonts w:ascii="Arial" w:hAnsi="Arial" w:cs="Arial"/>
          <w:b/>
          <w:i/>
          <w:iCs/>
          <w:sz w:val="22"/>
          <w:szCs w:val="22"/>
        </w:rPr>
        <w:t xml:space="preserve">la </w:t>
      </w:r>
      <w:r w:rsidR="00A572C8" w:rsidRPr="00BD6A9E">
        <w:rPr>
          <w:rFonts w:ascii="Arial" w:hAnsi="Arial" w:cs="Arial"/>
          <w:b/>
          <w:i/>
          <w:iCs/>
          <w:sz w:val="22"/>
          <w:szCs w:val="22"/>
        </w:rPr>
        <w:t>resolución de fecha</w:t>
      </w:r>
      <w:r w:rsidR="00C87C3D" w:rsidRPr="00BD6A9E">
        <w:rPr>
          <w:rFonts w:ascii="Arial" w:hAnsi="Arial" w:cs="Arial"/>
          <w:b/>
          <w:i/>
          <w:iCs/>
          <w:sz w:val="22"/>
          <w:szCs w:val="22"/>
        </w:rPr>
        <w:t xml:space="preserve"> veintiséis de febrero de dos mil dieciocho (26-02-2018)</w:t>
      </w:r>
      <w:r w:rsidR="00C87C3D" w:rsidRPr="00BD6A9E">
        <w:rPr>
          <w:rFonts w:ascii="Arial" w:hAnsi="Arial" w:cs="Arial"/>
          <w:bCs/>
          <w:i/>
          <w:iCs/>
          <w:sz w:val="22"/>
          <w:szCs w:val="22"/>
        </w:rPr>
        <w:t xml:space="preserve"> por las razones y consideraciones señaladas en el considerando </w:t>
      </w:r>
      <w:r w:rsidR="00C87C3D" w:rsidRPr="00BD6A9E">
        <w:rPr>
          <w:rFonts w:ascii="Arial" w:hAnsi="Arial" w:cs="Arial"/>
          <w:b/>
          <w:i/>
          <w:iCs/>
          <w:sz w:val="22"/>
          <w:szCs w:val="22"/>
        </w:rPr>
        <w:t>CUARTO</w:t>
      </w:r>
      <w:r w:rsidR="00C87C3D" w:rsidRPr="00BD6A9E">
        <w:rPr>
          <w:rFonts w:ascii="Arial" w:hAnsi="Arial" w:cs="Arial"/>
          <w:bCs/>
          <w:i/>
          <w:iCs/>
          <w:sz w:val="22"/>
          <w:szCs w:val="22"/>
        </w:rPr>
        <w:t xml:space="preserve"> de esta sentencia</w:t>
      </w:r>
      <w:r w:rsidRPr="00BD6A9E">
        <w:rPr>
          <w:rFonts w:ascii="Arial" w:hAnsi="Arial" w:cs="Arial"/>
          <w:bCs/>
          <w:i/>
          <w:iCs/>
          <w:sz w:val="22"/>
          <w:szCs w:val="22"/>
        </w:rPr>
        <w:t xml:space="preserve">.- - </w:t>
      </w:r>
      <w:r w:rsidR="00130B16">
        <w:rPr>
          <w:rFonts w:ascii="Arial" w:hAnsi="Arial" w:cs="Arial"/>
          <w:bCs/>
          <w:i/>
          <w:iCs/>
          <w:sz w:val="22"/>
          <w:szCs w:val="22"/>
        </w:rPr>
        <w:t xml:space="preserve">- - - - - - - - - - - - </w:t>
      </w:r>
      <w:r w:rsidRPr="00BD6A9E">
        <w:rPr>
          <w:rFonts w:ascii="Arial" w:hAnsi="Arial" w:cs="Arial"/>
          <w:bCs/>
          <w:i/>
          <w:iCs/>
          <w:sz w:val="22"/>
          <w:szCs w:val="22"/>
        </w:rPr>
        <w:t xml:space="preserve"> </w:t>
      </w:r>
      <w:r w:rsidRPr="00BD6A9E">
        <w:rPr>
          <w:rFonts w:ascii="Arial" w:hAnsi="Arial" w:cs="Arial"/>
          <w:b/>
          <w:bCs/>
          <w:i/>
          <w:iCs/>
          <w:sz w:val="22"/>
          <w:szCs w:val="22"/>
        </w:rPr>
        <w:t xml:space="preserve">QUINTO.- </w:t>
      </w:r>
      <w:r w:rsidR="00C87C3D" w:rsidRPr="00BD6A9E">
        <w:rPr>
          <w:rFonts w:ascii="Arial" w:hAnsi="Arial" w:cs="Arial"/>
          <w:i/>
          <w:iCs/>
          <w:sz w:val="22"/>
          <w:szCs w:val="22"/>
        </w:rPr>
        <w:t xml:space="preserve">Conforme a lo dispuesto en el artículo 173 de la Ley de Procedimiento y Justicia Administrativa para el Estado de Oaxaca, </w:t>
      </w:r>
      <w:r w:rsidR="00C87C3D" w:rsidRPr="00BD6A9E">
        <w:rPr>
          <w:rFonts w:ascii="Arial" w:hAnsi="Arial" w:cs="Arial"/>
          <w:b/>
          <w:bCs/>
          <w:i/>
          <w:iCs/>
          <w:sz w:val="22"/>
          <w:szCs w:val="22"/>
        </w:rPr>
        <w:t>NOTIFÍQUESE</w:t>
      </w:r>
      <w:r w:rsidR="00C87C3D" w:rsidRPr="00BD6A9E">
        <w:rPr>
          <w:rFonts w:ascii="Arial" w:hAnsi="Arial" w:cs="Arial"/>
          <w:i/>
          <w:iCs/>
          <w:sz w:val="22"/>
          <w:szCs w:val="22"/>
        </w:rPr>
        <w:t xml:space="preserve"> personalmente a la parte actora, por oficio a la autoridades demandadas y </w:t>
      </w:r>
      <w:r w:rsidRPr="00BD6A9E">
        <w:rPr>
          <w:rFonts w:ascii="Arial" w:hAnsi="Arial" w:cs="Arial"/>
          <w:b/>
          <w:bCs/>
          <w:i/>
          <w:iCs/>
          <w:sz w:val="22"/>
          <w:szCs w:val="22"/>
        </w:rPr>
        <w:t>CÚMPLASE</w:t>
      </w:r>
      <w:r w:rsidR="00BD6A9E">
        <w:rPr>
          <w:rFonts w:ascii="Arial" w:hAnsi="Arial" w:cs="Arial"/>
          <w:b/>
          <w:bCs/>
          <w:i/>
          <w:iCs/>
          <w:sz w:val="22"/>
          <w:szCs w:val="22"/>
        </w:rPr>
        <w:t>.</w:t>
      </w:r>
      <w:r w:rsidR="00070FAA" w:rsidRPr="00BD6A9E">
        <w:rPr>
          <w:rFonts w:ascii="Arial" w:hAnsi="Arial" w:cs="Arial"/>
          <w:bCs/>
          <w:i/>
          <w:iCs/>
          <w:sz w:val="22"/>
          <w:szCs w:val="22"/>
        </w:rPr>
        <w:t xml:space="preserve"> </w:t>
      </w:r>
      <w:r w:rsidRPr="00BD6A9E">
        <w:rPr>
          <w:rFonts w:ascii="Arial" w:hAnsi="Arial" w:cs="Arial"/>
          <w:bCs/>
          <w:iCs/>
          <w:sz w:val="22"/>
          <w:szCs w:val="22"/>
        </w:rPr>
        <w:t>”</w:t>
      </w:r>
      <w:r w:rsidR="00BD6A9E">
        <w:rPr>
          <w:rFonts w:ascii="Arial" w:hAnsi="Arial" w:cs="Arial"/>
          <w:bCs/>
          <w:iCs/>
          <w:sz w:val="22"/>
          <w:szCs w:val="22"/>
        </w:rPr>
        <w:t>- - - - - - - - - - - - - - - - - -</w:t>
      </w:r>
      <w:r w:rsidR="00A30E90">
        <w:rPr>
          <w:rFonts w:ascii="Arial" w:hAnsi="Arial" w:cs="Arial"/>
          <w:bCs/>
          <w:iCs/>
          <w:sz w:val="22"/>
          <w:szCs w:val="22"/>
        </w:rPr>
        <w:t xml:space="preserve"> </w:t>
      </w:r>
    </w:p>
    <w:p w:rsidR="000D0E11" w:rsidRPr="00BD6A9E" w:rsidRDefault="000D0E11" w:rsidP="000D0E11">
      <w:pPr>
        <w:pStyle w:val="Textoindependiente21"/>
        <w:tabs>
          <w:tab w:val="left" w:pos="7938"/>
        </w:tabs>
        <w:spacing w:line="360" w:lineRule="auto"/>
        <w:ind w:left="1134" w:right="616" w:firstLine="0"/>
        <w:rPr>
          <w:rFonts w:ascii="Arial" w:hAnsi="Arial" w:cs="Arial"/>
          <w:bCs/>
          <w:i/>
          <w:iCs/>
          <w:sz w:val="22"/>
          <w:szCs w:val="22"/>
        </w:rPr>
      </w:pPr>
    </w:p>
    <w:p w:rsidR="007667E2" w:rsidRDefault="00B90565" w:rsidP="000D0E11">
      <w:pPr>
        <w:widowControl w:val="0"/>
        <w:tabs>
          <w:tab w:val="left" w:pos="2835"/>
          <w:tab w:val="left" w:pos="7938"/>
        </w:tabs>
        <w:spacing w:after="0" w:line="360" w:lineRule="auto"/>
        <w:ind w:right="17"/>
        <w:jc w:val="center"/>
        <w:rPr>
          <w:rFonts w:ascii="Arial" w:hAnsi="Arial" w:cs="Arial"/>
          <w:b/>
          <w:bCs/>
          <w:sz w:val="26"/>
          <w:szCs w:val="26"/>
          <w:lang w:eastAsia="es-ES"/>
        </w:rPr>
      </w:pPr>
      <w:r w:rsidRPr="00BD6A9E">
        <w:rPr>
          <w:rFonts w:ascii="Arial" w:hAnsi="Arial" w:cs="Arial"/>
          <w:b/>
          <w:bCs/>
          <w:sz w:val="26"/>
          <w:szCs w:val="26"/>
          <w:lang w:eastAsia="es-ES"/>
        </w:rPr>
        <w:t>C O N S I D E R A N D O</w:t>
      </w:r>
    </w:p>
    <w:p w:rsidR="007667E2" w:rsidRDefault="000D41AB" w:rsidP="000D0E11">
      <w:pPr>
        <w:widowControl w:val="0"/>
        <w:tabs>
          <w:tab w:val="left" w:pos="2835"/>
          <w:tab w:val="left" w:pos="7938"/>
        </w:tabs>
        <w:spacing w:after="0" w:line="360" w:lineRule="auto"/>
        <w:ind w:right="17" w:firstLine="567"/>
        <w:jc w:val="both"/>
        <w:rPr>
          <w:rFonts w:ascii="Arial" w:hAnsi="Arial" w:cs="Arial"/>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sidRPr="00403CFB">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Pr="00403CFB">
        <w:rPr>
          <w:rFonts w:ascii="Arial" w:hAnsi="Arial" w:cs="Arial"/>
          <w:bCs/>
          <w:iCs/>
          <w:sz w:val="26"/>
          <w:szCs w:val="26"/>
          <w:lang w:eastAsia="es-ES"/>
        </w:rPr>
        <w:t xml:space="preserve"> </w:t>
      </w:r>
      <w:r w:rsidR="007C63E4">
        <w:rPr>
          <w:rFonts w:ascii="Arial" w:hAnsi="Arial" w:cs="Arial"/>
          <w:bCs/>
          <w:iCs/>
          <w:sz w:val="26"/>
          <w:szCs w:val="26"/>
        </w:rPr>
        <w:t xml:space="preserve">artículo 1, párrafo segundo, artículo 2, párrafos primero y cuarto, artículo 4, fracción VIII, </w:t>
      </w:r>
      <w:r w:rsidR="00005CFE">
        <w:rPr>
          <w:rFonts w:ascii="Arial" w:hAnsi="Arial" w:cs="Arial"/>
          <w:bCs/>
          <w:iCs/>
          <w:sz w:val="26"/>
          <w:szCs w:val="26"/>
        </w:rPr>
        <w:t>23, 24 fracción I, 25 fracción I y 27 de la Ley Orgánica del Tribunal de Justicia Administrativa del Estado de Oaxaca, publicada en el Periódico Oficial del Estado de Oaxaca, el 7 siete de noviembre de 2019 dos mil diecinueve</w:t>
      </w:r>
      <w:r w:rsidR="00CC6E8F">
        <w:rPr>
          <w:rFonts w:ascii="Arial" w:hAnsi="Arial" w:cs="Arial"/>
          <w:bCs/>
          <w:iCs/>
          <w:sz w:val="26"/>
          <w:szCs w:val="26"/>
          <w:lang w:eastAsia="es-ES"/>
        </w:rPr>
        <w:t xml:space="preserve">; </w:t>
      </w:r>
      <w:r w:rsidR="00CC6E8F">
        <w:rPr>
          <w:rFonts w:ascii="Arial" w:hAnsi="Arial" w:cs="Arial"/>
          <w:bCs/>
          <w:iCs/>
          <w:sz w:val="26"/>
          <w:szCs w:val="26"/>
        </w:rPr>
        <w:t xml:space="preserve">así como los diversos </w:t>
      </w:r>
      <w:r w:rsidRPr="00403CFB">
        <w:rPr>
          <w:rFonts w:ascii="Arial" w:hAnsi="Arial" w:cs="Arial"/>
          <w:bCs/>
          <w:iCs/>
          <w:sz w:val="26"/>
          <w:szCs w:val="26"/>
          <w:lang w:eastAsia="es-ES"/>
        </w:rPr>
        <w:t>125</w:t>
      </w:r>
      <w:r w:rsidRPr="00403CFB">
        <w:rPr>
          <w:rFonts w:ascii="Arial" w:hAnsi="Arial" w:cs="Arial"/>
          <w:bCs/>
          <w:iCs/>
          <w:sz w:val="26"/>
          <w:szCs w:val="26"/>
        </w:rPr>
        <w:t>, 127, 129, 130 fracción I, 131, 231, 236 y 238 de la Ley de Procedimiento y Justicia Administrativa para el Estado de Oaxaca, dado que se trata de un Recurso de Revisión interpuesto en contra de la sentencia de</w:t>
      </w:r>
      <w:r w:rsidR="0075229A">
        <w:rPr>
          <w:rFonts w:ascii="Arial" w:eastAsia="Calibri" w:hAnsi="Arial" w:cs="Arial"/>
          <w:sz w:val="26"/>
          <w:szCs w:val="26"/>
        </w:rPr>
        <w:t xml:space="preserve"> veintiocho de septiembre de dos mil dieciocho</w:t>
      </w:r>
      <w:r w:rsidRPr="00403CFB">
        <w:rPr>
          <w:rFonts w:ascii="Arial" w:hAnsi="Arial" w:cs="Arial"/>
          <w:bCs/>
          <w:iCs/>
          <w:sz w:val="26"/>
          <w:szCs w:val="26"/>
        </w:rPr>
        <w:t xml:space="preserve">, dictada por la </w:t>
      </w:r>
      <w:r w:rsidR="0075229A">
        <w:rPr>
          <w:rFonts w:ascii="Arial" w:hAnsi="Arial" w:cs="Arial"/>
          <w:bCs/>
          <w:iCs/>
          <w:sz w:val="26"/>
          <w:szCs w:val="26"/>
        </w:rPr>
        <w:t xml:space="preserve">Quinta </w:t>
      </w:r>
      <w:r w:rsidRPr="00403CFB">
        <w:rPr>
          <w:rFonts w:ascii="Arial" w:hAnsi="Arial" w:cs="Arial"/>
          <w:bCs/>
          <w:iCs/>
          <w:sz w:val="26"/>
          <w:szCs w:val="26"/>
        </w:rPr>
        <w:t xml:space="preserve">Sala Unitaria de Primera Instancia de este Tribunal, en el expediente </w:t>
      </w:r>
      <w:r w:rsidR="0075229A">
        <w:rPr>
          <w:rFonts w:ascii="Arial" w:hAnsi="Arial" w:cs="Arial"/>
          <w:b/>
          <w:bCs/>
          <w:iCs/>
          <w:sz w:val="26"/>
          <w:szCs w:val="26"/>
        </w:rPr>
        <w:t>045</w:t>
      </w:r>
      <w:r w:rsidRPr="00403CFB">
        <w:rPr>
          <w:rFonts w:ascii="Arial" w:hAnsi="Arial" w:cs="Arial"/>
          <w:b/>
          <w:bCs/>
          <w:iCs/>
          <w:sz w:val="26"/>
          <w:szCs w:val="26"/>
        </w:rPr>
        <w:t>/2018</w:t>
      </w:r>
      <w:r w:rsidRPr="00403CFB">
        <w:rPr>
          <w:rFonts w:ascii="Arial" w:hAnsi="Arial" w:cs="Arial"/>
          <w:sz w:val="26"/>
          <w:szCs w:val="26"/>
        </w:rPr>
        <w:t>.</w:t>
      </w:r>
    </w:p>
    <w:p w:rsidR="000D0E11" w:rsidRDefault="000D0E11" w:rsidP="000D0E11">
      <w:pPr>
        <w:widowControl w:val="0"/>
        <w:tabs>
          <w:tab w:val="left" w:pos="2835"/>
          <w:tab w:val="left" w:pos="7938"/>
        </w:tabs>
        <w:spacing w:after="0" w:line="360" w:lineRule="auto"/>
        <w:ind w:right="17" w:firstLine="567"/>
        <w:jc w:val="both"/>
        <w:rPr>
          <w:rFonts w:ascii="Arial" w:hAnsi="Arial" w:cs="Arial"/>
          <w:sz w:val="26"/>
          <w:szCs w:val="26"/>
        </w:rPr>
      </w:pPr>
    </w:p>
    <w:p w:rsidR="003D2803" w:rsidRDefault="00B90565" w:rsidP="000D0E11">
      <w:pPr>
        <w:widowControl w:val="0"/>
        <w:tabs>
          <w:tab w:val="left" w:pos="2835"/>
          <w:tab w:val="left" w:pos="7938"/>
        </w:tabs>
        <w:spacing w:after="0" w:line="360" w:lineRule="auto"/>
        <w:ind w:right="17" w:firstLine="567"/>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del recurrente, por lo que no existe necesidad de transcribirlos, al no transgredírsele derecho alguno, como tampoco se vulnera disposición expresa que imponga tal obligación. </w:t>
      </w:r>
      <w:r w:rsidR="00CF7DA4">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CF7DA4" w:rsidRPr="0088762D" w:rsidRDefault="00CF7DA4" w:rsidP="003D2803">
      <w:pPr>
        <w:spacing w:before="240" w:after="0" w:line="360" w:lineRule="auto"/>
        <w:ind w:left="1134" w:right="616"/>
        <w:jc w:val="both"/>
        <w:rPr>
          <w:rFonts w:ascii="Arial" w:hAnsi="Arial" w:cs="Arial"/>
        </w:rPr>
      </w:pPr>
      <w:r w:rsidRPr="0088762D">
        <w:rPr>
          <w:rFonts w:ascii="Arial" w:hAnsi="Arial" w:cs="Arial"/>
        </w:rPr>
        <w:t>“</w:t>
      </w:r>
      <w:r w:rsidRPr="0088762D">
        <w:rPr>
          <w:rFonts w:ascii="Arial" w:hAnsi="Arial" w:cs="Arial"/>
          <w:b/>
          <w:i/>
        </w:rPr>
        <w:t>CONCEPTOS DE VIOLACION. NO ES OBLIGATORIO TRANSCRIBIRLOS EN LA SENTENCIA</w:t>
      </w:r>
      <w:r w:rsidRPr="0088762D">
        <w:rPr>
          <w:rFonts w:ascii="Arial" w:hAnsi="Arial" w:cs="Arial"/>
        </w:rPr>
        <w:t xml:space="preserve">. </w:t>
      </w:r>
      <w:r w:rsidRPr="0088762D">
        <w:rPr>
          <w:rFonts w:ascii="Arial" w:hAnsi="Arial" w:cs="Arial"/>
          <w:i/>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w:t>
      </w:r>
      <w:r w:rsidRPr="0088762D">
        <w:rPr>
          <w:rFonts w:ascii="Arial" w:hAnsi="Arial" w:cs="Arial"/>
          <w:i/>
        </w:rPr>
        <w:lastRenderedPageBreak/>
        <w:t>conducentes para desestimar los conceptos de violación hechos valer, aun cuando no transcritos</w:t>
      </w:r>
      <w:r w:rsidRPr="0088762D">
        <w:rPr>
          <w:rFonts w:ascii="Arial" w:hAnsi="Arial" w:cs="Arial"/>
        </w:rPr>
        <w:t>.”</w:t>
      </w:r>
    </w:p>
    <w:p w:rsidR="007667E2" w:rsidRDefault="00B90565" w:rsidP="007667E2">
      <w:pPr>
        <w:spacing w:before="240" w:line="360" w:lineRule="auto"/>
        <w:ind w:firstLine="567"/>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2066E5">
        <w:rPr>
          <w:rFonts w:ascii="Arial" w:eastAsia="Calibri" w:hAnsi="Arial" w:cs="Arial"/>
          <w:bCs/>
          <w:sz w:val="26"/>
          <w:szCs w:val="26"/>
        </w:rPr>
        <w:t>La autoridad recurrente alega que</w:t>
      </w:r>
      <w:r w:rsidR="00CF0C50">
        <w:rPr>
          <w:rFonts w:ascii="Arial" w:eastAsia="Calibri" w:hAnsi="Arial" w:cs="Arial"/>
          <w:bCs/>
          <w:sz w:val="26"/>
          <w:szCs w:val="26"/>
        </w:rPr>
        <w:t xml:space="preserve"> la determinación contenida en la sentencia alzada, transgrede lo dispuesto por el artículo 207 fracción II de la Ley de Procedimiento y Justicia Administrativa para el Estado de Oaxaca, porque no es cierto que la resolución de veintiséis de febrero de dos mil dieciocho sea fruto de un acto viciado, pues contrario a lo determinado por la Primera Instancia, el acuerdo de diecisiete de junio dos mil dieciséis, con el que se ordenó dar inicio al procedimiento de responsabilidad administrativa </w:t>
      </w:r>
      <w:r w:rsidR="00AD480A" w:rsidRPr="00AD480A">
        <w:rPr>
          <w:rFonts w:ascii="Arial" w:eastAsia="Calibri" w:hAnsi="Arial" w:cs="Arial"/>
          <w:b/>
          <w:bCs/>
          <w:sz w:val="26"/>
          <w:szCs w:val="26"/>
        </w:rPr>
        <w:t>********</w:t>
      </w:r>
      <w:r w:rsidR="00CF0C50">
        <w:rPr>
          <w:rFonts w:ascii="Arial" w:eastAsia="Calibri" w:hAnsi="Arial" w:cs="Arial"/>
          <w:bCs/>
          <w:sz w:val="26"/>
          <w:szCs w:val="26"/>
        </w:rPr>
        <w:t xml:space="preserve"> en contra de </w:t>
      </w:r>
      <w:r w:rsidR="00AD480A" w:rsidRPr="00AD480A">
        <w:rPr>
          <w:rFonts w:ascii="Arial" w:eastAsia="Calibri" w:hAnsi="Arial" w:cs="Arial"/>
          <w:b/>
          <w:bCs/>
          <w:sz w:val="26"/>
          <w:szCs w:val="26"/>
        </w:rPr>
        <w:t>*********</w:t>
      </w:r>
      <w:r w:rsidR="00CF0C50" w:rsidRPr="00AD480A">
        <w:rPr>
          <w:rFonts w:ascii="Arial" w:eastAsia="Calibri" w:hAnsi="Arial" w:cs="Arial"/>
          <w:b/>
          <w:bCs/>
          <w:sz w:val="26"/>
          <w:szCs w:val="26"/>
        </w:rPr>
        <w:t>,</w:t>
      </w:r>
      <w:r w:rsidR="00CF0C50">
        <w:rPr>
          <w:rFonts w:ascii="Arial" w:eastAsia="Calibri" w:hAnsi="Arial" w:cs="Arial"/>
          <w:bCs/>
          <w:sz w:val="26"/>
          <w:szCs w:val="26"/>
        </w:rPr>
        <w:t xml:space="preserve"> sí fue emitido en apego a la garantía de legalidad prevista por el artículo 16 de la Constitución Política de los Estados Unidos Mexicanos</w:t>
      </w:r>
      <w:r w:rsidR="002066E5">
        <w:rPr>
          <w:rFonts w:ascii="Arial" w:eastAsia="Calibri" w:hAnsi="Arial" w:cs="Arial"/>
          <w:bCs/>
          <w:sz w:val="26"/>
          <w:szCs w:val="26"/>
        </w:rPr>
        <w:t>,</w:t>
      </w:r>
      <w:r w:rsidR="00CF0C50">
        <w:rPr>
          <w:rFonts w:ascii="Arial" w:eastAsia="Calibri" w:hAnsi="Arial" w:cs="Arial"/>
          <w:bCs/>
          <w:sz w:val="26"/>
          <w:szCs w:val="26"/>
        </w:rPr>
        <w:t xml:space="preserve"> </w:t>
      </w:r>
      <w:r w:rsidR="001278EA">
        <w:rPr>
          <w:rFonts w:ascii="Arial" w:eastAsia="Calibri" w:hAnsi="Arial" w:cs="Arial"/>
          <w:bCs/>
          <w:sz w:val="26"/>
          <w:szCs w:val="26"/>
        </w:rPr>
        <w:t>y de validez previsto por el artículo 7 de la Ley de Justicia Administrativa para el Estado de Oaxaca, vigente al momento de la emisión del referido acuerdo.</w:t>
      </w:r>
    </w:p>
    <w:p w:rsidR="007667E2" w:rsidRDefault="001278EA" w:rsidP="007667E2">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Expone que para sostener la legalidad del acuerdo de diecisiete de junio de dos mil dieciséis, </w:t>
      </w:r>
      <w:r w:rsidR="00345EE2">
        <w:rPr>
          <w:rFonts w:ascii="Arial" w:eastAsia="Calibri" w:hAnsi="Arial" w:cs="Arial"/>
          <w:bCs/>
          <w:sz w:val="26"/>
          <w:szCs w:val="26"/>
        </w:rPr>
        <w:t>considera importante preci</w:t>
      </w:r>
      <w:r w:rsidR="00910228">
        <w:rPr>
          <w:rFonts w:ascii="Arial" w:eastAsia="Calibri" w:hAnsi="Arial" w:cs="Arial"/>
          <w:bCs/>
          <w:sz w:val="26"/>
          <w:szCs w:val="26"/>
        </w:rPr>
        <w:t>s</w:t>
      </w:r>
      <w:r w:rsidR="00345EE2">
        <w:rPr>
          <w:rFonts w:ascii="Arial" w:eastAsia="Calibri" w:hAnsi="Arial" w:cs="Arial"/>
          <w:bCs/>
          <w:sz w:val="26"/>
          <w:szCs w:val="26"/>
        </w:rPr>
        <w:t>ar el concepto de acto administrativo mismo que transcribe, señalando que el acuerdo indicado cumple con lo dispuesto por el artículo 7 de la Ley de Justicia Administrativa</w:t>
      </w:r>
      <w:r w:rsidR="00C947A2">
        <w:rPr>
          <w:rFonts w:ascii="Arial" w:eastAsia="Calibri" w:hAnsi="Arial" w:cs="Arial"/>
          <w:bCs/>
          <w:sz w:val="26"/>
          <w:szCs w:val="26"/>
        </w:rPr>
        <w:t xml:space="preserve"> para el Estado de Oaxaca</w:t>
      </w:r>
      <w:r w:rsidR="00345EE2">
        <w:rPr>
          <w:rFonts w:ascii="Arial" w:eastAsia="Calibri" w:hAnsi="Arial" w:cs="Arial"/>
          <w:bCs/>
          <w:sz w:val="26"/>
          <w:szCs w:val="26"/>
        </w:rPr>
        <w:t>, al haber sido expedido por autoridad competente y estar debidamente fundado y motivado</w:t>
      </w:r>
      <w:r w:rsidR="00823C9B">
        <w:rPr>
          <w:rFonts w:ascii="Arial" w:eastAsia="Calibri" w:hAnsi="Arial" w:cs="Arial"/>
          <w:bCs/>
          <w:sz w:val="26"/>
          <w:szCs w:val="26"/>
        </w:rPr>
        <w:t>; por lo que no le asiste razón al actor, cuando alega la existencia de violaciones acontecidas durante la tramitación del procedimiento de responsabilidad administrativa</w:t>
      </w:r>
      <w:r w:rsidR="007667E2">
        <w:rPr>
          <w:rFonts w:ascii="Arial" w:eastAsia="Calibri" w:hAnsi="Arial" w:cs="Arial"/>
          <w:bCs/>
          <w:sz w:val="26"/>
          <w:szCs w:val="26"/>
        </w:rPr>
        <w:t>.</w:t>
      </w:r>
    </w:p>
    <w:p w:rsidR="00910228" w:rsidRDefault="00C947A2" w:rsidP="007667E2">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P</w:t>
      </w:r>
      <w:r w:rsidR="00823C9B">
        <w:rPr>
          <w:rFonts w:ascii="Arial" w:eastAsia="Calibri" w:hAnsi="Arial" w:cs="Arial"/>
          <w:bCs/>
          <w:sz w:val="26"/>
          <w:szCs w:val="26"/>
        </w:rPr>
        <w:t>recisa que el actor manifestó que le causó agravio</w:t>
      </w:r>
      <w:r w:rsidR="00CA7C72">
        <w:rPr>
          <w:rFonts w:ascii="Arial" w:eastAsia="Calibri" w:hAnsi="Arial" w:cs="Arial"/>
          <w:bCs/>
          <w:sz w:val="26"/>
          <w:szCs w:val="26"/>
        </w:rPr>
        <w:t>, el hecho</w:t>
      </w:r>
      <w:r w:rsidR="00823C9B">
        <w:rPr>
          <w:rFonts w:ascii="Arial" w:eastAsia="Calibri" w:hAnsi="Arial" w:cs="Arial"/>
          <w:bCs/>
          <w:sz w:val="26"/>
          <w:szCs w:val="26"/>
        </w:rPr>
        <w:t xml:space="preserve"> que la autoridad demandada haya firmado el acuerdo de inicio de procedimiento de responsabilidad, como “</w:t>
      </w:r>
      <w:r w:rsidR="00823C9B" w:rsidRPr="00823C9B">
        <w:rPr>
          <w:rFonts w:ascii="Arial" w:eastAsia="Calibri" w:hAnsi="Arial" w:cs="Arial"/>
          <w:bCs/>
          <w:i/>
          <w:sz w:val="24"/>
          <w:szCs w:val="24"/>
        </w:rPr>
        <w:t>Director de Responsabilidades y Situación de la Secretaría de la Contraloría y Transparencia Gubernamental del Estado de Oaxaca</w:t>
      </w:r>
      <w:r w:rsidR="00823C9B">
        <w:rPr>
          <w:rFonts w:ascii="Arial" w:eastAsia="Calibri" w:hAnsi="Arial" w:cs="Arial"/>
          <w:bCs/>
          <w:sz w:val="26"/>
          <w:szCs w:val="26"/>
        </w:rPr>
        <w:t xml:space="preserve">”; lo que dice no le causa incertidumbre, ni </w:t>
      </w:r>
      <w:r w:rsidR="00CA7C72">
        <w:rPr>
          <w:rFonts w:ascii="Arial" w:eastAsia="Calibri" w:hAnsi="Arial" w:cs="Arial"/>
          <w:bCs/>
          <w:sz w:val="26"/>
          <w:szCs w:val="26"/>
        </w:rPr>
        <w:t xml:space="preserve">lo </w:t>
      </w:r>
      <w:r w:rsidR="00823C9B">
        <w:rPr>
          <w:rFonts w:ascii="Arial" w:eastAsia="Calibri" w:hAnsi="Arial" w:cs="Arial"/>
          <w:bCs/>
          <w:sz w:val="26"/>
          <w:szCs w:val="26"/>
        </w:rPr>
        <w:t>dejó en estado de indefensión, porque la demandada cumplió con la garantía de fundamentación</w:t>
      </w:r>
      <w:r w:rsidR="00910228">
        <w:rPr>
          <w:rFonts w:ascii="Arial" w:eastAsia="Calibri" w:hAnsi="Arial" w:cs="Arial"/>
          <w:bCs/>
          <w:sz w:val="26"/>
          <w:szCs w:val="26"/>
        </w:rPr>
        <w:t xml:space="preserve"> al citar el artículo 5 numeral 1.2.1 del Reglamento Interno de la Secretaría de la Contraloría y Transparencia Gubernamental publicado en el Periódico Oficial el dos de febrero de dos mil dieciséis, del que se desprende que la denominación de la autoridad lo era “</w:t>
      </w:r>
      <w:r w:rsidR="00910228" w:rsidRPr="00910228">
        <w:rPr>
          <w:rFonts w:ascii="Arial" w:eastAsia="Calibri" w:hAnsi="Arial" w:cs="Arial"/>
          <w:bCs/>
          <w:i/>
          <w:sz w:val="24"/>
          <w:szCs w:val="24"/>
        </w:rPr>
        <w:t>Dirección de Responsabilidades y Situación Patrimonial</w:t>
      </w:r>
      <w:r w:rsidR="00910228">
        <w:rPr>
          <w:rFonts w:ascii="Arial" w:eastAsia="Calibri" w:hAnsi="Arial" w:cs="Arial"/>
          <w:bCs/>
          <w:sz w:val="26"/>
          <w:szCs w:val="26"/>
        </w:rPr>
        <w:t>” y en el sello de esa Dirección, consta la leyenda “</w:t>
      </w:r>
      <w:r w:rsidR="00910228" w:rsidRPr="00910228">
        <w:rPr>
          <w:rFonts w:ascii="Arial" w:eastAsia="Calibri" w:hAnsi="Arial" w:cs="Arial"/>
          <w:bCs/>
          <w:i/>
          <w:sz w:val="24"/>
          <w:szCs w:val="24"/>
        </w:rPr>
        <w:t xml:space="preserve">Dirección de Responsabilidades </w:t>
      </w:r>
      <w:r w:rsidR="00910228">
        <w:rPr>
          <w:rFonts w:ascii="Arial" w:eastAsia="Calibri" w:hAnsi="Arial" w:cs="Arial"/>
          <w:bCs/>
          <w:i/>
          <w:sz w:val="24"/>
          <w:szCs w:val="24"/>
        </w:rPr>
        <w:t xml:space="preserve">Administrativas </w:t>
      </w:r>
      <w:r w:rsidR="00910228" w:rsidRPr="00910228">
        <w:rPr>
          <w:rFonts w:ascii="Arial" w:eastAsia="Calibri" w:hAnsi="Arial" w:cs="Arial"/>
          <w:bCs/>
          <w:i/>
          <w:sz w:val="24"/>
          <w:szCs w:val="24"/>
        </w:rPr>
        <w:t>y Situación Patrimonial</w:t>
      </w:r>
      <w:r w:rsidR="00910228">
        <w:rPr>
          <w:rFonts w:ascii="Arial" w:eastAsia="Calibri" w:hAnsi="Arial" w:cs="Arial"/>
          <w:bCs/>
          <w:sz w:val="26"/>
          <w:szCs w:val="26"/>
        </w:rPr>
        <w:t xml:space="preserve">”, lo que hace evidente que la </w:t>
      </w:r>
      <w:r w:rsidR="00910228">
        <w:rPr>
          <w:rFonts w:ascii="Arial" w:eastAsia="Calibri" w:hAnsi="Arial" w:cs="Arial"/>
          <w:bCs/>
          <w:sz w:val="26"/>
          <w:szCs w:val="26"/>
        </w:rPr>
        <w:lastRenderedPageBreak/>
        <w:t>autoridad emisora del acto fuera identificable para el actor desde el inicio del procedimiento administrativo.</w:t>
      </w:r>
    </w:p>
    <w:p w:rsidR="007667E2" w:rsidRDefault="005D430A" w:rsidP="007667E2">
      <w:pPr>
        <w:spacing w:line="360" w:lineRule="auto"/>
        <w:ind w:firstLine="567"/>
        <w:jc w:val="both"/>
        <w:rPr>
          <w:rFonts w:ascii="Arial" w:eastAsia="Calibri" w:hAnsi="Arial" w:cs="Arial"/>
          <w:bCs/>
          <w:sz w:val="26"/>
          <w:szCs w:val="26"/>
        </w:rPr>
      </w:pPr>
      <w:r w:rsidRPr="00B24D8F">
        <w:rPr>
          <w:rFonts w:ascii="Arial" w:eastAsia="Calibri" w:hAnsi="Arial" w:cs="Arial"/>
          <w:b/>
          <w:bCs/>
          <w:sz w:val="26"/>
          <w:szCs w:val="26"/>
        </w:rPr>
        <w:t xml:space="preserve">Estas </w:t>
      </w:r>
      <w:r w:rsidR="00875A5D" w:rsidRPr="00CC6E8F">
        <w:rPr>
          <w:rFonts w:ascii="Arial" w:eastAsia="Calibri" w:hAnsi="Arial" w:cs="Arial"/>
          <w:bCs/>
          <w:sz w:val="26"/>
          <w:szCs w:val="26"/>
        </w:rPr>
        <w:t>e</w:t>
      </w:r>
      <w:r w:rsidR="00875A5D" w:rsidRPr="00F00642">
        <w:rPr>
          <w:rFonts w:ascii="Arial" w:eastAsia="Calibri" w:hAnsi="Arial" w:cs="Arial"/>
          <w:bCs/>
          <w:sz w:val="26"/>
          <w:szCs w:val="26"/>
        </w:rPr>
        <w:t>xposiciones</w:t>
      </w:r>
      <w:r w:rsidRPr="00F00642">
        <w:rPr>
          <w:rFonts w:ascii="Arial" w:eastAsia="Calibri" w:hAnsi="Arial" w:cs="Arial"/>
          <w:bCs/>
          <w:sz w:val="26"/>
          <w:szCs w:val="26"/>
        </w:rPr>
        <w:t xml:space="preserve"> son </w:t>
      </w:r>
      <w:r w:rsidRPr="00F00642">
        <w:rPr>
          <w:rFonts w:ascii="Arial" w:eastAsia="Calibri" w:hAnsi="Arial" w:cs="Arial"/>
          <w:b/>
          <w:bCs/>
          <w:sz w:val="26"/>
          <w:szCs w:val="26"/>
        </w:rPr>
        <w:t>inoperantes</w:t>
      </w:r>
      <w:r w:rsidRPr="00F00642">
        <w:rPr>
          <w:rFonts w:ascii="Arial" w:eastAsia="Calibri" w:hAnsi="Arial" w:cs="Arial"/>
          <w:bCs/>
          <w:sz w:val="26"/>
          <w:szCs w:val="26"/>
        </w:rPr>
        <w:t xml:space="preserve">, </w:t>
      </w:r>
      <w:r w:rsidR="00590C11" w:rsidRPr="00F00642">
        <w:rPr>
          <w:rFonts w:ascii="Arial" w:eastAsia="Calibri" w:hAnsi="Arial" w:cs="Arial"/>
          <w:bCs/>
          <w:sz w:val="26"/>
          <w:szCs w:val="26"/>
        </w:rPr>
        <w:t>porque se concreta</w:t>
      </w:r>
      <w:r w:rsidR="00A73079" w:rsidRPr="00F00642">
        <w:rPr>
          <w:rFonts w:ascii="Arial" w:eastAsia="Calibri" w:hAnsi="Arial" w:cs="Arial"/>
          <w:bCs/>
          <w:sz w:val="26"/>
          <w:szCs w:val="26"/>
        </w:rPr>
        <w:t>n</w:t>
      </w:r>
      <w:r w:rsidR="00590C11" w:rsidRPr="00F00642">
        <w:rPr>
          <w:rFonts w:ascii="Arial" w:eastAsia="Calibri" w:hAnsi="Arial" w:cs="Arial"/>
          <w:bCs/>
          <w:sz w:val="26"/>
          <w:szCs w:val="26"/>
        </w:rPr>
        <w:t xml:space="preserve"> a realizar diversas manifestaciones, tendientes a sostener la legalidad del acuerdo de diecisiete de junio de dos mil dieciséis, con el que se dio inicio al procedimiento de responsabilidad administrativa disciplinaria, instruido a </w:t>
      </w:r>
      <w:r w:rsidR="00AD480A" w:rsidRPr="00AD480A">
        <w:rPr>
          <w:rFonts w:ascii="Arial" w:eastAsia="Calibri" w:hAnsi="Arial" w:cs="Arial"/>
          <w:b/>
          <w:bCs/>
          <w:sz w:val="26"/>
          <w:szCs w:val="26"/>
        </w:rPr>
        <w:t>*********</w:t>
      </w:r>
      <w:r w:rsidR="00590C11" w:rsidRPr="00AD480A">
        <w:rPr>
          <w:rFonts w:ascii="Arial" w:eastAsia="Calibri" w:hAnsi="Arial" w:cs="Arial"/>
          <w:b/>
          <w:bCs/>
          <w:sz w:val="26"/>
          <w:szCs w:val="26"/>
        </w:rPr>
        <w:t>,</w:t>
      </w:r>
      <w:r w:rsidR="00590C11" w:rsidRPr="00F00642">
        <w:rPr>
          <w:rFonts w:ascii="Arial" w:eastAsia="Calibri" w:hAnsi="Arial" w:cs="Arial"/>
          <w:bCs/>
          <w:sz w:val="26"/>
          <w:szCs w:val="26"/>
        </w:rPr>
        <w:t xml:space="preserve"> pero sin exponer argumento alguno </w:t>
      </w:r>
      <w:r w:rsidR="00F00642" w:rsidRPr="00F00642">
        <w:rPr>
          <w:rFonts w:ascii="Arial" w:eastAsia="Calibri" w:hAnsi="Arial" w:cs="Arial"/>
          <w:bCs/>
          <w:sz w:val="26"/>
          <w:szCs w:val="26"/>
        </w:rPr>
        <w:t>destinado</w:t>
      </w:r>
      <w:r w:rsidR="00590C11" w:rsidRPr="00F00642">
        <w:rPr>
          <w:rFonts w:ascii="Arial" w:eastAsia="Calibri" w:hAnsi="Arial" w:cs="Arial"/>
          <w:bCs/>
          <w:sz w:val="26"/>
          <w:szCs w:val="26"/>
        </w:rPr>
        <w:t xml:space="preserve"> a combatir la consideración toral emitida por la Primera Instancia, en el que consideró que </w:t>
      </w:r>
      <w:r w:rsidR="003A3A87" w:rsidRPr="00F00642">
        <w:rPr>
          <w:rFonts w:ascii="Arial" w:eastAsia="Calibri" w:hAnsi="Arial" w:cs="Arial"/>
          <w:bCs/>
          <w:sz w:val="26"/>
          <w:szCs w:val="26"/>
        </w:rPr>
        <w:t xml:space="preserve">en </w:t>
      </w:r>
      <w:r w:rsidR="00590C11" w:rsidRPr="00F00642">
        <w:rPr>
          <w:rFonts w:ascii="Arial" w:eastAsia="Calibri" w:hAnsi="Arial" w:cs="Arial"/>
          <w:bCs/>
          <w:sz w:val="26"/>
          <w:szCs w:val="26"/>
        </w:rPr>
        <w:t>el Reglamento Interno de la Secretaría de la Contraloría y Transparencia Gubernamental del Estado, no se encuentra previsto el cargo de Director de Responsabilidades y Situación de la Secretaría de la Contraloría y Transparencia Gubernamental, con el que firmó la autoridad demandada el acuerdo de diecisiete de junio de dos mil dieciséis, y que por ello, dicho acuerdo carece de un elemento indispensable para su validez, como lo es el de señalarse de manera precisa, clara y comp</w:t>
      </w:r>
      <w:r w:rsidR="00CC6E8F">
        <w:rPr>
          <w:rFonts w:ascii="Arial" w:eastAsia="Calibri" w:hAnsi="Arial" w:cs="Arial"/>
          <w:bCs/>
          <w:sz w:val="26"/>
          <w:szCs w:val="26"/>
        </w:rPr>
        <w:t>l</w:t>
      </w:r>
      <w:r w:rsidR="00590C11" w:rsidRPr="00F00642">
        <w:rPr>
          <w:rFonts w:ascii="Arial" w:eastAsia="Calibri" w:hAnsi="Arial" w:cs="Arial"/>
          <w:bCs/>
          <w:sz w:val="26"/>
          <w:szCs w:val="26"/>
        </w:rPr>
        <w:t xml:space="preserve">eta </w:t>
      </w:r>
      <w:r w:rsidR="00590C11" w:rsidRPr="00746651">
        <w:rPr>
          <w:rFonts w:ascii="Arial" w:eastAsia="Calibri" w:hAnsi="Arial" w:cs="Arial"/>
          <w:bCs/>
          <w:sz w:val="26"/>
          <w:szCs w:val="26"/>
        </w:rPr>
        <w:t>el</w:t>
      </w:r>
      <w:r w:rsidR="00590C11" w:rsidRPr="00F00642">
        <w:rPr>
          <w:rFonts w:ascii="Arial" w:eastAsia="Calibri" w:hAnsi="Arial" w:cs="Arial"/>
          <w:bCs/>
          <w:sz w:val="26"/>
          <w:szCs w:val="26"/>
        </w:rPr>
        <w:t xml:space="preserve"> servidor público que lo emitió.</w:t>
      </w:r>
    </w:p>
    <w:p w:rsidR="00590C11" w:rsidRPr="002B506D" w:rsidRDefault="00590C11" w:rsidP="007667E2">
      <w:pPr>
        <w:spacing w:line="360" w:lineRule="auto"/>
        <w:ind w:firstLine="567"/>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a lo anterior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590C11" w:rsidRPr="00907C0F" w:rsidRDefault="00590C11" w:rsidP="00590C11">
      <w:pPr>
        <w:spacing w:line="360" w:lineRule="auto"/>
        <w:ind w:left="1134" w:right="709"/>
        <w:jc w:val="both"/>
        <w:rPr>
          <w:rFonts w:ascii="Arial" w:hAnsi="Arial" w:cs="Arial"/>
          <w:bCs/>
          <w:i/>
          <w:color w:val="000000" w:themeColor="text1"/>
          <w:lang w:val="es-MX"/>
        </w:rPr>
      </w:pPr>
      <w:r w:rsidRPr="00907C0F">
        <w:rPr>
          <w:rFonts w:ascii="Arial" w:eastAsia="Times New Roman" w:hAnsi="Arial"/>
          <w:i/>
          <w:color w:val="000000" w:themeColor="text1"/>
          <w:lang w:val="es-MX"/>
        </w:rPr>
        <w:t>“</w:t>
      </w:r>
      <w:r w:rsidRPr="00907C0F">
        <w:rPr>
          <w:rFonts w:ascii="Arial" w:eastAsia="Times New Roman" w:hAnsi="Arial"/>
          <w:b/>
          <w:i/>
          <w:color w:val="000000" w:themeColor="text1"/>
          <w:lang w:val="es-MX"/>
        </w:rPr>
        <w:t xml:space="preserve">AGRAVIOS. DEBEN DE IMPUGNAR LA ILEGALIDAD DEL FALLO RECURRIDO. </w:t>
      </w:r>
      <w:r w:rsidRPr="00907C0F">
        <w:rPr>
          <w:rFonts w:ascii="Arial" w:eastAsia="Times New Roman" w:hAnsi="Arial"/>
          <w:i/>
          <w:color w:val="000000" w:themeColor="text1"/>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7667E2" w:rsidRDefault="00907C0F" w:rsidP="007667E2">
      <w:pPr>
        <w:spacing w:before="240" w:line="360" w:lineRule="auto"/>
        <w:ind w:firstLine="709"/>
        <w:jc w:val="both"/>
        <w:rPr>
          <w:rFonts w:ascii="Arial" w:eastAsia="Calibri" w:hAnsi="Arial" w:cs="Arial"/>
          <w:bCs/>
          <w:sz w:val="26"/>
          <w:szCs w:val="26"/>
        </w:rPr>
      </w:pPr>
      <w:r w:rsidRPr="00B24D8F">
        <w:rPr>
          <w:rFonts w:ascii="Arial" w:hAnsi="Arial" w:cs="Arial"/>
          <w:b/>
          <w:bCs/>
          <w:sz w:val="26"/>
          <w:szCs w:val="26"/>
          <w:lang w:val="es-MX"/>
        </w:rPr>
        <w:t>Por otra</w:t>
      </w:r>
      <w:r>
        <w:rPr>
          <w:rFonts w:ascii="Arial" w:hAnsi="Arial" w:cs="Arial"/>
          <w:bCs/>
          <w:sz w:val="26"/>
          <w:szCs w:val="26"/>
          <w:lang w:val="es-MX"/>
        </w:rPr>
        <w:t xml:space="preserve"> </w:t>
      </w:r>
      <w:r w:rsidRPr="00B24D8F">
        <w:rPr>
          <w:rFonts w:ascii="Arial" w:hAnsi="Arial" w:cs="Arial"/>
          <w:b/>
          <w:bCs/>
          <w:sz w:val="26"/>
          <w:szCs w:val="26"/>
          <w:lang w:val="es-MX"/>
        </w:rPr>
        <w:t>parte, resulta</w:t>
      </w:r>
      <w:r w:rsidRPr="00907C0F">
        <w:rPr>
          <w:rFonts w:ascii="Arial" w:hAnsi="Arial" w:cs="Arial"/>
          <w:b/>
          <w:bCs/>
          <w:sz w:val="26"/>
          <w:szCs w:val="26"/>
          <w:lang w:val="es-MX"/>
        </w:rPr>
        <w:t xml:space="preserve"> inatendible </w:t>
      </w:r>
      <w:r w:rsidRPr="00907C0F">
        <w:rPr>
          <w:rFonts w:ascii="Arial" w:hAnsi="Arial" w:cs="Arial"/>
          <w:bCs/>
          <w:sz w:val="26"/>
          <w:szCs w:val="26"/>
          <w:lang w:val="es-MX"/>
        </w:rPr>
        <w:t>por novedoso, el argumento</w:t>
      </w:r>
      <w:r w:rsidRPr="00907C0F">
        <w:rPr>
          <w:rFonts w:ascii="Arial" w:hAnsi="Arial" w:cs="Arial"/>
          <w:b/>
          <w:bCs/>
          <w:sz w:val="26"/>
          <w:szCs w:val="26"/>
          <w:lang w:val="es-MX"/>
        </w:rPr>
        <w:t xml:space="preserve"> </w:t>
      </w:r>
      <w:r w:rsidRPr="00907C0F">
        <w:rPr>
          <w:rFonts w:ascii="Arial" w:hAnsi="Arial" w:cs="Arial"/>
          <w:bCs/>
          <w:sz w:val="26"/>
          <w:szCs w:val="26"/>
          <w:lang w:val="es-MX"/>
        </w:rPr>
        <w:t xml:space="preserve">expuesto por la autoridad recurrente, al indicar que </w:t>
      </w:r>
      <w:r>
        <w:rPr>
          <w:rFonts w:ascii="Arial" w:eastAsia="Calibri" w:hAnsi="Arial" w:cs="Arial"/>
          <w:bCs/>
          <w:sz w:val="26"/>
          <w:szCs w:val="26"/>
        </w:rPr>
        <w:t xml:space="preserve"> si bien por error se citó de manera incompleta la denominación de la autoridad al señalar “</w:t>
      </w:r>
      <w:r w:rsidRPr="00B40B24">
        <w:rPr>
          <w:rFonts w:ascii="Arial" w:eastAsia="Calibri" w:hAnsi="Arial" w:cs="Arial"/>
          <w:bCs/>
          <w:i/>
          <w:sz w:val="24"/>
          <w:szCs w:val="24"/>
        </w:rPr>
        <w:t>Director de Responsabilidades y Situación</w:t>
      </w:r>
      <w:r>
        <w:rPr>
          <w:rFonts w:ascii="Arial" w:eastAsia="Calibri" w:hAnsi="Arial" w:cs="Arial"/>
          <w:bCs/>
          <w:sz w:val="26"/>
          <w:szCs w:val="26"/>
        </w:rPr>
        <w:t xml:space="preserve">”, no es cierto que le asista razón al actor para reclamar vulneración a sus derechos, porque no es dable que pretenda en esta instancia reclamar violaciones ocurridas durante la tramitación del procedimiento de responsabilidad administrativa, cuando tuvo la oportunidad en su momento de hacer valer su inconformidad en </w:t>
      </w:r>
      <w:r>
        <w:rPr>
          <w:rFonts w:ascii="Arial" w:eastAsia="Calibri" w:hAnsi="Arial" w:cs="Arial"/>
          <w:bCs/>
          <w:sz w:val="26"/>
          <w:szCs w:val="26"/>
        </w:rPr>
        <w:lastRenderedPageBreak/>
        <w:t>contra del acuerdo de diecisiete de junio de dos mil dieciséis, en la actuación siguiente o subsiguiente dentro del mismo procedimiento, a través de los medios establecidos por la Ley de Justicia Administrativa para el Estado de Oaxaca, esto tomando en consideración que el procedimiento se desarrolló conforme el artículo 69 de la Ley de Responsabilidades de los Servidores Públicos del Estado y Municipios del Estado de Oaxaca, publicada el primero de junio de mil novecientos noventa y seis. Se apoya en los criterios de rubros: “</w:t>
      </w:r>
      <w:r w:rsidRPr="005D430A">
        <w:rPr>
          <w:rFonts w:ascii="Arial" w:eastAsia="Calibri" w:hAnsi="Arial" w:cs="Arial"/>
          <w:bCs/>
          <w:i/>
        </w:rPr>
        <w:t>NULIDAD DE NOTIFICACIONES EN EL JUICIO DE AMPARO. LA SIGUIENTE ACTUACIÓN EN QUE SE COMPAREZCA A PRESENTAR EL INCIDENTE RESPECTIVO, DEBE LLEVARLA A CABO EL INTERESADO DENTRO DEL TÉRMINO DE 3 DÍAS PREVISTO EN EL ARTÍCULO 297, FRACCIÓN II, DEL CÓDIGO FEDERAL DE PROCEDIMIENTOS CIVILES, CONTADO A PARTIR DEL DÍA SIGUIENTE AL EN QUE TUVO CONOCIMIENTO O SE OSTENTÓ SABEDOR DE LA ACTUACIÓN QUE TILDA DE IRREGULAR.</w:t>
      </w:r>
      <w:r>
        <w:rPr>
          <w:rFonts w:ascii="Arial" w:eastAsia="Calibri" w:hAnsi="Arial" w:cs="Arial"/>
          <w:bCs/>
          <w:sz w:val="26"/>
          <w:szCs w:val="26"/>
        </w:rPr>
        <w:t>” y “</w:t>
      </w:r>
      <w:r>
        <w:rPr>
          <w:rFonts w:ascii="Arial" w:eastAsia="Calibri" w:hAnsi="Arial" w:cs="Arial"/>
          <w:bCs/>
          <w:i/>
        </w:rPr>
        <w:t>ACTOS CONSENTIDOS. SON LOS QUE NO SE IMPUGNAN MEDIANTE EL RECURSO IDONEO.</w:t>
      </w:r>
      <w:r w:rsidR="007667E2">
        <w:rPr>
          <w:rFonts w:ascii="Arial" w:eastAsia="Calibri" w:hAnsi="Arial" w:cs="Arial"/>
          <w:bCs/>
          <w:sz w:val="26"/>
          <w:szCs w:val="26"/>
        </w:rPr>
        <w:t>”</w:t>
      </w:r>
    </w:p>
    <w:p w:rsidR="00907C0F" w:rsidRPr="006921D8" w:rsidRDefault="00907C0F" w:rsidP="007667E2">
      <w:pPr>
        <w:spacing w:before="240" w:line="360" w:lineRule="auto"/>
        <w:ind w:firstLine="709"/>
        <w:jc w:val="both"/>
        <w:rPr>
          <w:rFonts w:ascii="Arial" w:hAnsi="Arial" w:cs="Arial"/>
          <w:bCs/>
          <w:color w:val="000000"/>
          <w:sz w:val="26"/>
          <w:szCs w:val="26"/>
        </w:rPr>
      </w:pPr>
      <w:r>
        <w:rPr>
          <w:rFonts w:ascii="Arial" w:hAnsi="Arial" w:cs="Arial"/>
          <w:bCs/>
          <w:color w:val="000000"/>
          <w:sz w:val="26"/>
          <w:szCs w:val="26"/>
        </w:rPr>
        <w:t xml:space="preserve">Lo anterior, toda vez que dicha </w:t>
      </w:r>
      <w:r w:rsidRPr="00950A6D">
        <w:rPr>
          <w:rFonts w:ascii="Arial" w:hAnsi="Arial" w:cs="Arial"/>
          <w:bCs/>
          <w:color w:val="000000"/>
          <w:sz w:val="26"/>
          <w:szCs w:val="26"/>
        </w:rPr>
        <w:t>expresión debió haber</w:t>
      </w:r>
      <w:r>
        <w:rPr>
          <w:rFonts w:ascii="Arial" w:hAnsi="Arial" w:cs="Arial"/>
          <w:bCs/>
          <w:color w:val="000000"/>
          <w:sz w:val="26"/>
          <w:szCs w:val="26"/>
        </w:rPr>
        <w:t>la</w:t>
      </w:r>
      <w:r w:rsidRPr="00950A6D">
        <w:rPr>
          <w:rFonts w:ascii="Arial" w:hAnsi="Arial" w:cs="Arial"/>
          <w:bCs/>
          <w:color w:val="000000"/>
          <w:sz w:val="26"/>
          <w:szCs w:val="26"/>
        </w:rPr>
        <w:t xml:space="preserve"> realizado al contestar su demanda, para que la juzgadora estuviera en la posibilidad jurídica de hacer su análisis y para que atendiendo al principio de igualdad</w:t>
      </w:r>
      <w:r>
        <w:rPr>
          <w:rFonts w:ascii="Arial" w:hAnsi="Arial" w:cs="Arial"/>
          <w:bCs/>
          <w:color w:val="000000"/>
          <w:sz w:val="26"/>
          <w:szCs w:val="26"/>
        </w:rPr>
        <w:t>,</w:t>
      </w:r>
      <w:r w:rsidRPr="00950A6D">
        <w:rPr>
          <w:rFonts w:ascii="Arial" w:hAnsi="Arial" w:cs="Arial"/>
          <w:bCs/>
          <w:color w:val="000000"/>
          <w:sz w:val="26"/>
          <w:szCs w:val="26"/>
        </w:rPr>
        <w:t xml:space="preserve"> su contraparte conociera su defensa y no se le colocara en un estado de desventaja, </w:t>
      </w:r>
      <w:r>
        <w:rPr>
          <w:rFonts w:ascii="Arial" w:hAnsi="Arial" w:cs="Arial"/>
          <w:bCs/>
          <w:color w:val="000000"/>
          <w:sz w:val="26"/>
          <w:szCs w:val="26"/>
        </w:rPr>
        <w:t xml:space="preserve">y </w:t>
      </w:r>
      <w:r w:rsidRPr="00950A6D">
        <w:rPr>
          <w:rFonts w:ascii="Arial" w:hAnsi="Arial" w:cs="Arial"/>
          <w:bCs/>
          <w:color w:val="000000"/>
          <w:sz w:val="26"/>
          <w:szCs w:val="26"/>
        </w:rPr>
        <w:t>al no haberlo realizado de esa manera</w:t>
      </w:r>
      <w:r>
        <w:rPr>
          <w:rFonts w:ascii="Arial" w:hAnsi="Arial" w:cs="Arial"/>
          <w:bCs/>
          <w:color w:val="000000"/>
          <w:sz w:val="26"/>
          <w:szCs w:val="26"/>
        </w:rPr>
        <w:t>,</w:t>
      </w:r>
      <w:r w:rsidRPr="00950A6D">
        <w:rPr>
          <w:rFonts w:ascii="Arial" w:hAnsi="Arial" w:cs="Arial"/>
          <w:bCs/>
          <w:color w:val="000000"/>
          <w:sz w:val="26"/>
          <w:szCs w:val="26"/>
        </w:rPr>
        <w:t xml:space="preserve"> esta Superioridad está impedida a su estudio por no haber sido sometido primeramente ante la sala primigenia. Esta consideración encuentra apoyo por identidad en la tesis del Tercer Tribunal Colegiado en Materia Administrativa del Primer Circuito de la octava época, la cual fue publicada en el Semanario Judicial de la Federación, Tomo VIII, de septiembre de 1991 y es consultable a página 95, bajo el rubro y texto siguientes:</w:t>
      </w:r>
    </w:p>
    <w:p w:rsidR="00907C0F" w:rsidRPr="004C5A1A" w:rsidRDefault="00907C0F" w:rsidP="007667E2">
      <w:pPr>
        <w:widowControl w:val="0"/>
        <w:spacing w:after="120"/>
        <w:ind w:left="851" w:right="900"/>
        <w:jc w:val="both"/>
        <w:rPr>
          <w:rFonts w:ascii="Arial" w:hAnsi="Arial" w:cs="Arial"/>
          <w:sz w:val="26"/>
          <w:szCs w:val="26"/>
        </w:rPr>
      </w:pPr>
      <w:r w:rsidRPr="005A3216">
        <w:rPr>
          <w:rFonts w:ascii="Arial" w:hAnsi="Arial" w:cs="Arial"/>
          <w:i/>
        </w:rPr>
        <w:t>“</w:t>
      </w:r>
      <w:r w:rsidRPr="005A3216">
        <w:rPr>
          <w:rFonts w:ascii="Arial" w:hAnsi="Arial" w:cs="Arial"/>
          <w:b/>
          <w:i/>
        </w:rPr>
        <w:t>AGRAVIOS EN LA REVISION, SON INATENDIBLES CUANDO SE PRETENDA INTRODUCIR UNA O MAS CUESTIONES QUE NO FORMEN PARTE DE LA LITIS</w:t>
      </w:r>
      <w:r w:rsidRPr="005A3216">
        <w:rPr>
          <w:rFonts w:ascii="Arial" w:hAnsi="Arial" w:cs="Arial"/>
          <w:i/>
        </w:rPr>
        <w:t xml:space="preserve">. El artículo 3o. del Código Federal de Procedimientos Civiles reconoce el principio procesal de trato equitativo a las partes que intervienen en una contienda judicial. En su parte conducente, la mencionada disposición legal establece que "en todo caso, debe observarse la norma tutelar de la igualdad de las partes dentro del proceso, de manera tal que su curso fuera el mismo aunque se invirtieran los papeles de los litigantes". Es así que en respeto del mencionado principio procesal, el juzgador de amparo está obligado a no atender ninguno de los razonamientos que la parte recurrente plantee ante su potestad, vía revisión, cuando mediante los mismos se pretenda introducir una o más cuestiones que no formen parte de la litis, por no haber sido planteadas originalmente ante el a quo; de lo </w:t>
      </w:r>
      <w:r w:rsidRPr="005A3216">
        <w:rPr>
          <w:rFonts w:ascii="Arial" w:hAnsi="Arial" w:cs="Arial"/>
          <w:i/>
        </w:rPr>
        <w:lastRenderedPageBreak/>
        <w:t>contrario se colocaría a la recurrente en posición de ventaja frente a su contraria, al brindársele la oportunidad de mejorar su defensa, con la posibilidad de que la parte contraria quede en estado de indefensión respecto de las cuestiones novedosas introducidas por virtud del recurso respectivo.”</w:t>
      </w:r>
    </w:p>
    <w:p w:rsidR="007667E2" w:rsidRDefault="0021295E" w:rsidP="007667E2">
      <w:pPr>
        <w:spacing w:after="0" w:line="360" w:lineRule="auto"/>
        <w:ind w:firstLine="567"/>
        <w:jc w:val="both"/>
        <w:rPr>
          <w:rFonts w:ascii="Arial" w:eastAsia="Calibri" w:hAnsi="Arial" w:cs="Arial"/>
          <w:bCs/>
          <w:sz w:val="26"/>
          <w:szCs w:val="26"/>
          <w:lang w:val="es-MX"/>
        </w:rPr>
      </w:pPr>
      <w:r w:rsidRPr="00B24D8F">
        <w:rPr>
          <w:rFonts w:ascii="Arial" w:eastAsia="Calibri" w:hAnsi="Arial" w:cs="Arial"/>
          <w:b/>
          <w:bCs/>
          <w:sz w:val="26"/>
          <w:szCs w:val="26"/>
          <w:lang w:val="es-MX"/>
        </w:rPr>
        <w:t>En otro</w:t>
      </w:r>
      <w:r w:rsidRPr="0021295E">
        <w:rPr>
          <w:rFonts w:ascii="Arial" w:eastAsia="Calibri" w:hAnsi="Arial" w:cs="Arial"/>
          <w:bCs/>
          <w:sz w:val="26"/>
          <w:szCs w:val="26"/>
          <w:lang w:val="es-MX"/>
        </w:rPr>
        <w:t xml:space="preserve"> orden de ideas,</w:t>
      </w:r>
      <w:r>
        <w:rPr>
          <w:rFonts w:ascii="Arial" w:eastAsia="Calibri" w:hAnsi="Arial" w:cs="Arial"/>
          <w:b/>
          <w:bCs/>
          <w:sz w:val="26"/>
          <w:szCs w:val="26"/>
          <w:lang w:val="es-MX"/>
        </w:rPr>
        <w:t xml:space="preserve"> </w:t>
      </w:r>
      <w:r w:rsidR="00966A79">
        <w:rPr>
          <w:rFonts w:ascii="Arial" w:eastAsia="Calibri" w:hAnsi="Arial" w:cs="Arial"/>
          <w:bCs/>
          <w:sz w:val="26"/>
          <w:szCs w:val="26"/>
          <w:lang w:val="es-MX"/>
        </w:rPr>
        <w:t>señala</w:t>
      </w:r>
      <w:r>
        <w:rPr>
          <w:rFonts w:ascii="Arial" w:eastAsia="Calibri" w:hAnsi="Arial" w:cs="Arial"/>
          <w:bCs/>
          <w:sz w:val="26"/>
          <w:szCs w:val="26"/>
          <w:lang w:val="es-MX"/>
        </w:rPr>
        <w:t xml:space="preserve"> la autoridad recurrente</w:t>
      </w:r>
      <w:r w:rsidR="00966A79">
        <w:rPr>
          <w:rFonts w:ascii="Arial" w:eastAsia="Calibri" w:hAnsi="Arial" w:cs="Arial"/>
          <w:bCs/>
          <w:sz w:val="26"/>
          <w:szCs w:val="26"/>
          <w:lang w:val="es-MX"/>
        </w:rPr>
        <w:t xml:space="preserve"> que la Primera Instancia no realizó el análisis cabal y correcto de la atribución de la autoridad demandada</w:t>
      </w:r>
      <w:r w:rsidR="002A7F7E">
        <w:rPr>
          <w:rFonts w:ascii="Arial" w:eastAsia="Calibri" w:hAnsi="Arial" w:cs="Arial"/>
          <w:bCs/>
          <w:sz w:val="26"/>
          <w:szCs w:val="26"/>
          <w:lang w:val="es-MX"/>
        </w:rPr>
        <w:t xml:space="preserve"> Director de Responsabilidades y Situación Patrimonial, para dar inicio al procedimiento de responsabilidad administrativa disciplinaria instruida al actor, porque en el acuerdo de diecisiete de junio de dos mil dieciséis, citó entre otras disposiciones legales, los artículos 5, numeral 1.2.1 y 1.2.1.5, 36 fracción IV y 40 fracción II del Reglamento </w:t>
      </w:r>
      <w:r w:rsidR="00966A79">
        <w:rPr>
          <w:rFonts w:ascii="Arial" w:eastAsia="Calibri" w:hAnsi="Arial" w:cs="Arial"/>
          <w:bCs/>
          <w:sz w:val="26"/>
          <w:szCs w:val="26"/>
          <w:lang w:val="es-MX"/>
        </w:rPr>
        <w:t>Interno de la Secretaría de la Contraloría y Transparencia Gubernamental publicada en el Peri</w:t>
      </w:r>
      <w:r w:rsidR="000C7169">
        <w:rPr>
          <w:rFonts w:ascii="Arial" w:eastAsia="Calibri" w:hAnsi="Arial" w:cs="Arial"/>
          <w:bCs/>
          <w:sz w:val="26"/>
          <w:szCs w:val="26"/>
          <w:lang w:val="es-MX"/>
        </w:rPr>
        <w:t xml:space="preserve">ódico Oficial del Estado, el </w:t>
      </w:r>
      <w:r w:rsidR="00966A79">
        <w:rPr>
          <w:rFonts w:ascii="Arial" w:eastAsia="Calibri" w:hAnsi="Arial" w:cs="Arial"/>
          <w:bCs/>
          <w:sz w:val="26"/>
          <w:szCs w:val="26"/>
          <w:lang w:val="es-MX"/>
        </w:rPr>
        <w:t>dos de febrero de dos mil dieciséis</w:t>
      </w:r>
      <w:r w:rsidR="002A7F7E">
        <w:rPr>
          <w:rFonts w:ascii="Arial" w:eastAsia="Calibri" w:hAnsi="Arial" w:cs="Arial"/>
          <w:bCs/>
          <w:sz w:val="26"/>
          <w:szCs w:val="26"/>
          <w:lang w:val="es-MX"/>
        </w:rPr>
        <w:t>; advirtiénd</w:t>
      </w:r>
      <w:r>
        <w:rPr>
          <w:rFonts w:ascii="Arial" w:eastAsia="Calibri" w:hAnsi="Arial" w:cs="Arial"/>
          <w:bCs/>
          <w:sz w:val="26"/>
          <w:szCs w:val="26"/>
          <w:lang w:val="es-MX"/>
        </w:rPr>
        <w:t>ose del artículo 36 fracción IV,</w:t>
      </w:r>
      <w:r w:rsidR="002A7F7E">
        <w:rPr>
          <w:rFonts w:ascii="Arial" w:eastAsia="Calibri" w:hAnsi="Arial" w:cs="Arial"/>
          <w:bCs/>
          <w:sz w:val="26"/>
          <w:szCs w:val="26"/>
          <w:lang w:val="es-MX"/>
        </w:rPr>
        <w:t xml:space="preserve"> que dicha autoridad cuenta con la atribución de ordenar la realización de los procedimientos de responsabilidad administrativa; al respecto aduce que resulta importante definir qué implica el término realización, explica</w:t>
      </w:r>
      <w:r w:rsidR="003A3A87">
        <w:rPr>
          <w:rFonts w:ascii="Arial" w:eastAsia="Calibri" w:hAnsi="Arial" w:cs="Arial"/>
          <w:bCs/>
          <w:sz w:val="26"/>
          <w:szCs w:val="26"/>
          <w:lang w:val="es-MX"/>
        </w:rPr>
        <w:t>n</w:t>
      </w:r>
      <w:r w:rsidR="002A7F7E">
        <w:rPr>
          <w:rFonts w:ascii="Arial" w:eastAsia="Calibri" w:hAnsi="Arial" w:cs="Arial"/>
          <w:bCs/>
          <w:sz w:val="26"/>
          <w:szCs w:val="26"/>
          <w:lang w:val="es-MX"/>
        </w:rPr>
        <w:t>do: “</w:t>
      </w:r>
      <w:r w:rsidR="002A7F7E" w:rsidRPr="002A7F7E">
        <w:rPr>
          <w:rFonts w:ascii="Arial" w:eastAsia="Calibri" w:hAnsi="Arial" w:cs="Arial"/>
          <w:bCs/>
          <w:i/>
          <w:sz w:val="24"/>
          <w:szCs w:val="24"/>
          <w:lang w:val="es-MX"/>
        </w:rPr>
        <w:t xml:space="preserve">La palabra realización admite varios usos, en tanto, en su empleo más general y amplio, la misma, permite referir a la </w:t>
      </w:r>
      <w:r w:rsidR="002A7F7E" w:rsidRPr="002A7F7E">
        <w:rPr>
          <w:rFonts w:ascii="Arial" w:eastAsia="Calibri" w:hAnsi="Arial" w:cs="Arial"/>
          <w:b/>
          <w:bCs/>
          <w:i/>
          <w:sz w:val="24"/>
          <w:szCs w:val="24"/>
          <w:lang w:val="es-MX"/>
        </w:rPr>
        <w:t xml:space="preserve">acción a partir </w:t>
      </w:r>
      <w:r w:rsidR="002A7F7E" w:rsidRPr="002A7F7E">
        <w:rPr>
          <w:rFonts w:ascii="Arial" w:eastAsia="Calibri" w:hAnsi="Arial" w:cs="Arial"/>
          <w:bCs/>
          <w:i/>
          <w:sz w:val="24"/>
          <w:szCs w:val="24"/>
          <w:lang w:val="es-MX"/>
        </w:rPr>
        <w:t xml:space="preserve">de la cual es posible hacer algo concreto y real, siendo entonces que dicho vocablo conlleva imprescindiblemente el </w:t>
      </w:r>
      <w:r w:rsidR="002A7F7E" w:rsidRPr="002A7F7E">
        <w:rPr>
          <w:rFonts w:ascii="Arial" w:eastAsia="Calibri" w:hAnsi="Arial" w:cs="Arial"/>
          <w:b/>
          <w:bCs/>
          <w:i/>
          <w:sz w:val="24"/>
          <w:szCs w:val="24"/>
          <w:lang w:val="es-MX"/>
        </w:rPr>
        <w:t xml:space="preserve">inicio de un acción. </w:t>
      </w:r>
      <w:r w:rsidR="002A7F7E" w:rsidRPr="002A7F7E">
        <w:rPr>
          <w:rFonts w:ascii="Arial" w:eastAsia="Calibri" w:hAnsi="Arial" w:cs="Arial"/>
          <w:bCs/>
          <w:i/>
          <w:sz w:val="24"/>
          <w:szCs w:val="24"/>
          <w:lang w:val="es-MX"/>
        </w:rPr>
        <w:t xml:space="preserve">Por lo que se hace hincapié en que la acción ´realizar´ se traduce en </w:t>
      </w:r>
      <w:r w:rsidR="002A7F7E" w:rsidRPr="002A7F7E">
        <w:rPr>
          <w:rFonts w:ascii="Arial" w:eastAsia="Calibri" w:hAnsi="Arial" w:cs="Arial"/>
          <w:b/>
          <w:bCs/>
          <w:i/>
          <w:sz w:val="24"/>
          <w:szCs w:val="24"/>
          <w:lang w:val="es-MX"/>
        </w:rPr>
        <w:t>iniciar</w:t>
      </w:r>
      <w:r w:rsidR="002A7F7E" w:rsidRPr="002A7F7E">
        <w:rPr>
          <w:rFonts w:ascii="Arial" w:eastAsia="Calibri" w:hAnsi="Arial" w:cs="Arial"/>
          <w:bCs/>
          <w:sz w:val="26"/>
          <w:szCs w:val="26"/>
          <w:lang w:val="es-MX"/>
        </w:rPr>
        <w:t>”</w:t>
      </w:r>
      <w:r w:rsidR="00206EC2">
        <w:rPr>
          <w:rFonts w:ascii="Arial" w:eastAsia="Calibri" w:hAnsi="Arial" w:cs="Arial"/>
          <w:bCs/>
          <w:sz w:val="26"/>
          <w:szCs w:val="26"/>
          <w:lang w:val="es-MX"/>
        </w:rPr>
        <w:t>; que por lo anterior, se puede decir que el Director de Responsabilidades y Situación Patrimonial en aquél tiempo sí estaba debidamente facultado por el Reglamento, para ordenar el inicio del procedimiento de responsabilidad administrativa disciplinaria</w:t>
      </w:r>
      <w:r w:rsidR="000C7169">
        <w:rPr>
          <w:rFonts w:ascii="Arial" w:eastAsia="Calibri" w:hAnsi="Arial" w:cs="Arial"/>
          <w:bCs/>
          <w:sz w:val="26"/>
          <w:szCs w:val="26"/>
          <w:lang w:val="es-MX"/>
        </w:rPr>
        <w:t>. Cita como apoyo el criterio de rubro: “</w:t>
      </w:r>
      <w:r w:rsidR="000C7169" w:rsidRPr="000C7169">
        <w:rPr>
          <w:rFonts w:ascii="Arial" w:eastAsia="Calibri" w:hAnsi="Arial" w:cs="Arial"/>
          <w:bCs/>
          <w:i/>
          <w:lang w:val="es-MX"/>
        </w:rPr>
        <w:t>COMPETENCIA. SU FUNDAMENTACIÓN ES REQUISITO ESENCIAL DEL ACTO DE AUTORIDAD</w:t>
      </w:r>
      <w:r w:rsidR="000C7169">
        <w:rPr>
          <w:rFonts w:ascii="Arial" w:eastAsia="Calibri" w:hAnsi="Arial" w:cs="Arial"/>
          <w:bCs/>
          <w:sz w:val="26"/>
          <w:szCs w:val="26"/>
          <w:lang w:val="es-MX"/>
        </w:rPr>
        <w:t>.”</w:t>
      </w:r>
    </w:p>
    <w:p w:rsidR="007667E2" w:rsidRDefault="000C7169" w:rsidP="007667E2">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t xml:space="preserve">Estas </w:t>
      </w:r>
      <w:r w:rsidR="00875A5D">
        <w:rPr>
          <w:rFonts w:ascii="Arial" w:eastAsia="Calibri" w:hAnsi="Arial" w:cs="Arial"/>
          <w:bCs/>
          <w:sz w:val="26"/>
          <w:szCs w:val="26"/>
        </w:rPr>
        <w:t>manifestaciones</w:t>
      </w:r>
      <w:r>
        <w:rPr>
          <w:rFonts w:ascii="Arial" w:eastAsia="Calibri" w:hAnsi="Arial" w:cs="Arial"/>
          <w:bCs/>
          <w:sz w:val="26"/>
          <w:szCs w:val="26"/>
        </w:rPr>
        <w:t xml:space="preserve"> son </w:t>
      </w:r>
      <w:r w:rsidRPr="00D143F7">
        <w:rPr>
          <w:rFonts w:ascii="Arial" w:eastAsia="Calibri" w:hAnsi="Arial" w:cs="Arial"/>
          <w:b/>
          <w:bCs/>
          <w:sz w:val="26"/>
          <w:szCs w:val="26"/>
        </w:rPr>
        <w:t>infundada</w:t>
      </w:r>
      <w:r w:rsidR="00D143F7" w:rsidRPr="00D143F7">
        <w:rPr>
          <w:rFonts w:ascii="Arial" w:eastAsia="Calibri" w:hAnsi="Arial" w:cs="Arial"/>
          <w:b/>
          <w:bCs/>
          <w:sz w:val="26"/>
          <w:szCs w:val="26"/>
        </w:rPr>
        <w:t>s</w:t>
      </w:r>
      <w:r>
        <w:rPr>
          <w:rFonts w:ascii="Arial" w:eastAsia="Calibri" w:hAnsi="Arial" w:cs="Arial"/>
          <w:bCs/>
          <w:sz w:val="26"/>
          <w:szCs w:val="26"/>
        </w:rPr>
        <w:t xml:space="preserve">, </w:t>
      </w:r>
      <w:r w:rsidR="009B2AF6">
        <w:rPr>
          <w:rFonts w:ascii="Arial" w:eastAsia="Calibri" w:hAnsi="Arial" w:cs="Arial"/>
          <w:bCs/>
          <w:sz w:val="26"/>
          <w:szCs w:val="26"/>
        </w:rPr>
        <w:t xml:space="preserve">porque </w:t>
      </w:r>
      <w:r>
        <w:rPr>
          <w:rFonts w:ascii="Arial" w:eastAsia="Calibri" w:hAnsi="Arial" w:cs="Arial"/>
          <w:bCs/>
          <w:sz w:val="26"/>
          <w:szCs w:val="26"/>
        </w:rPr>
        <w:t>part</w:t>
      </w:r>
      <w:r w:rsidR="009B2AF6">
        <w:rPr>
          <w:rFonts w:ascii="Arial" w:eastAsia="Calibri" w:hAnsi="Arial" w:cs="Arial"/>
          <w:bCs/>
          <w:sz w:val="26"/>
          <w:szCs w:val="26"/>
        </w:rPr>
        <w:t>en</w:t>
      </w:r>
      <w:r>
        <w:rPr>
          <w:rFonts w:ascii="Arial" w:eastAsia="Calibri" w:hAnsi="Arial" w:cs="Arial"/>
          <w:bCs/>
          <w:sz w:val="26"/>
          <w:szCs w:val="26"/>
        </w:rPr>
        <w:t xml:space="preserve"> de una apreciación equivocada del recurrente, pues considera </w:t>
      </w:r>
      <w:r w:rsidR="009A7DC8">
        <w:rPr>
          <w:rFonts w:ascii="Arial" w:eastAsia="Calibri" w:hAnsi="Arial" w:cs="Arial"/>
          <w:bCs/>
          <w:sz w:val="26"/>
          <w:szCs w:val="26"/>
        </w:rPr>
        <w:t xml:space="preserve">que </w:t>
      </w:r>
      <w:r w:rsidR="00D143F7">
        <w:rPr>
          <w:rFonts w:ascii="Arial" w:eastAsia="Calibri" w:hAnsi="Arial" w:cs="Arial"/>
          <w:bCs/>
          <w:sz w:val="26"/>
          <w:szCs w:val="26"/>
        </w:rPr>
        <w:t>la palabra realización conlleva al inicio de una acción y por ello la acción realizar se traduce en iniciar</w:t>
      </w:r>
      <w:r w:rsidR="0021295E">
        <w:rPr>
          <w:rFonts w:ascii="Arial" w:eastAsia="Calibri" w:hAnsi="Arial" w:cs="Arial"/>
          <w:bCs/>
          <w:sz w:val="26"/>
          <w:szCs w:val="26"/>
        </w:rPr>
        <w:t>. E</w:t>
      </w:r>
      <w:r w:rsidR="00087DB2">
        <w:rPr>
          <w:rFonts w:ascii="Arial" w:eastAsia="Calibri" w:hAnsi="Arial" w:cs="Arial"/>
          <w:bCs/>
          <w:sz w:val="26"/>
          <w:szCs w:val="26"/>
        </w:rPr>
        <w:t xml:space="preserve">sta consideración, es errónea, porque si bien </w:t>
      </w:r>
      <w:r w:rsidR="009A7DC8">
        <w:rPr>
          <w:rFonts w:ascii="Arial" w:eastAsia="Calibri" w:hAnsi="Arial" w:cs="Arial"/>
          <w:bCs/>
          <w:sz w:val="26"/>
          <w:szCs w:val="26"/>
        </w:rPr>
        <w:t xml:space="preserve">como lo apunta el recurrente </w:t>
      </w:r>
      <w:r w:rsidR="003A3A87">
        <w:rPr>
          <w:rFonts w:ascii="Arial" w:eastAsia="Calibri" w:hAnsi="Arial" w:cs="Arial"/>
          <w:bCs/>
          <w:sz w:val="26"/>
          <w:szCs w:val="26"/>
        </w:rPr>
        <w:t>conforme la Diccionario de la Lengua Española, la palabra realización, es la “</w:t>
      </w:r>
      <w:r w:rsidR="003A3A87" w:rsidRPr="003A3A87">
        <w:rPr>
          <w:rFonts w:ascii="Arial" w:eastAsia="Calibri" w:hAnsi="Arial" w:cs="Arial"/>
          <w:bCs/>
          <w:i/>
          <w:sz w:val="24"/>
          <w:szCs w:val="24"/>
        </w:rPr>
        <w:t>A</w:t>
      </w:r>
      <w:r w:rsidR="00087DB2" w:rsidRPr="003A3A87">
        <w:rPr>
          <w:rFonts w:ascii="Arial" w:eastAsia="Calibri" w:hAnsi="Arial" w:cs="Arial"/>
          <w:bCs/>
          <w:i/>
          <w:sz w:val="24"/>
          <w:szCs w:val="24"/>
        </w:rPr>
        <w:t xml:space="preserve">cción </w:t>
      </w:r>
      <w:r w:rsidR="003A3A87" w:rsidRPr="003A3A87">
        <w:rPr>
          <w:rFonts w:ascii="Arial" w:eastAsia="Calibri" w:hAnsi="Arial" w:cs="Arial"/>
          <w:bCs/>
          <w:i/>
          <w:sz w:val="24"/>
          <w:szCs w:val="24"/>
        </w:rPr>
        <w:t>y</w:t>
      </w:r>
      <w:r w:rsidR="00087DB2" w:rsidRPr="003A3A87">
        <w:rPr>
          <w:rFonts w:ascii="Arial" w:eastAsia="Calibri" w:hAnsi="Arial" w:cs="Arial"/>
          <w:bCs/>
          <w:i/>
          <w:sz w:val="24"/>
          <w:szCs w:val="24"/>
        </w:rPr>
        <w:t xml:space="preserve"> efecto de realizar</w:t>
      </w:r>
      <w:r w:rsidR="003A3A87">
        <w:rPr>
          <w:rFonts w:ascii="Arial" w:eastAsia="Calibri" w:hAnsi="Arial" w:cs="Arial"/>
          <w:bCs/>
          <w:sz w:val="26"/>
          <w:szCs w:val="26"/>
        </w:rPr>
        <w:t>”</w:t>
      </w:r>
      <w:r w:rsidR="00087DB2">
        <w:rPr>
          <w:rFonts w:ascii="Arial" w:eastAsia="Calibri" w:hAnsi="Arial" w:cs="Arial"/>
          <w:bCs/>
          <w:sz w:val="26"/>
          <w:szCs w:val="26"/>
        </w:rPr>
        <w:t xml:space="preserve"> y esta última, se traduce en </w:t>
      </w:r>
      <w:r w:rsidR="003A3A87">
        <w:rPr>
          <w:rFonts w:ascii="Arial" w:eastAsia="Calibri" w:hAnsi="Arial" w:cs="Arial"/>
          <w:bCs/>
          <w:sz w:val="26"/>
          <w:szCs w:val="26"/>
        </w:rPr>
        <w:t>“</w:t>
      </w:r>
      <w:r w:rsidR="003A3A87" w:rsidRPr="003A3A87">
        <w:rPr>
          <w:rFonts w:ascii="Arial" w:eastAsia="Calibri" w:hAnsi="Arial" w:cs="Arial"/>
          <w:bCs/>
          <w:i/>
          <w:sz w:val="24"/>
          <w:szCs w:val="24"/>
        </w:rPr>
        <w:t>E</w:t>
      </w:r>
      <w:r w:rsidR="00087DB2" w:rsidRPr="003A3A87">
        <w:rPr>
          <w:rFonts w:ascii="Arial" w:eastAsia="Calibri" w:hAnsi="Arial" w:cs="Arial"/>
          <w:bCs/>
          <w:i/>
          <w:sz w:val="24"/>
          <w:szCs w:val="24"/>
        </w:rPr>
        <w:t>fectuar</w:t>
      </w:r>
      <w:r w:rsidR="003A3A87" w:rsidRPr="003A3A87">
        <w:rPr>
          <w:rFonts w:ascii="Arial" w:eastAsia="Calibri" w:hAnsi="Arial" w:cs="Arial"/>
          <w:bCs/>
          <w:i/>
          <w:sz w:val="24"/>
          <w:szCs w:val="24"/>
        </w:rPr>
        <w:t>;</w:t>
      </w:r>
      <w:r w:rsidR="00087DB2" w:rsidRPr="003A3A87">
        <w:rPr>
          <w:rFonts w:ascii="Arial" w:eastAsia="Calibri" w:hAnsi="Arial" w:cs="Arial"/>
          <w:bCs/>
          <w:i/>
          <w:sz w:val="24"/>
          <w:szCs w:val="24"/>
        </w:rPr>
        <w:t xml:space="preserve"> llevar a cabo algo o ejecu</w:t>
      </w:r>
      <w:r w:rsidR="009A7DC8" w:rsidRPr="003A3A87">
        <w:rPr>
          <w:rFonts w:ascii="Arial" w:eastAsia="Calibri" w:hAnsi="Arial" w:cs="Arial"/>
          <w:bCs/>
          <w:i/>
          <w:sz w:val="24"/>
          <w:szCs w:val="24"/>
        </w:rPr>
        <w:t xml:space="preserve">tar </w:t>
      </w:r>
      <w:r w:rsidR="00087DB2" w:rsidRPr="003A3A87">
        <w:rPr>
          <w:rFonts w:ascii="Arial" w:eastAsia="Calibri" w:hAnsi="Arial" w:cs="Arial"/>
          <w:bCs/>
          <w:i/>
          <w:sz w:val="24"/>
          <w:szCs w:val="24"/>
        </w:rPr>
        <w:t>un</w:t>
      </w:r>
      <w:r w:rsidR="002912BD">
        <w:rPr>
          <w:rFonts w:ascii="Arial" w:eastAsia="Calibri" w:hAnsi="Arial" w:cs="Arial"/>
          <w:bCs/>
          <w:i/>
          <w:sz w:val="24"/>
          <w:szCs w:val="24"/>
        </w:rPr>
        <w:t>a</w:t>
      </w:r>
      <w:r w:rsidR="00087DB2" w:rsidRPr="003A3A87">
        <w:rPr>
          <w:rFonts w:ascii="Arial" w:eastAsia="Calibri" w:hAnsi="Arial" w:cs="Arial"/>
          <w:bCs/>
          <w:i/>
          <w:sz w:val="24"/>
          <w:szCs w:val="24"/>
        </w:rPr>
        <w:t xml:space="preserve"> acción</w:t>
      </w:r>
      <w:r w:rsidR="003A3A87">
        <w:rPr>
          <w:rFonts w:ascii="Arial" w:eastAsia="Calibri" w:hAnsi="Arial" w:cs="Arial"/>
          <w:bCs/>
          <w:sz w:val="26"/>
          <w:szCs w:val="26"/>
        </w:rPr>
        <w:t>”</w:t>
      </w:r>
      <w:r w:rsidR="00087DB2">
        <w:rPr>
          <w:rFonts w:ascii="Arial" w:eastAsia="Calibri" w:hAnsi="Arial" w:cs="Arial"/>
          <w:bCs/>
          <w:sz w:val="26"/>
          <w:szCs w:val="26"/>
        </w:rPr>
        <w:t xml:space="preserve">; </w:t>
      </w:r>
      <w:r w:rsidR="00A83333">
        <w:rPr>
          <w:rFonts w:ascii="Arial" w:eastAsia="Calibri" w:hAnsi="Arial" w:cs="Arial"/>
          <w:bCs/>
          <w:sz w:val="26"/>
          <w:szCs w:val="26"/>
        </w:rPr>
        <w:t xml:space="preserve">lo anterior no puntualiza, que tal acción se refiera a </w:t>
      </w:r>
      <w:r w:rsidR="0021295E">
        <w:rPr>
          <w:rFonts w:ascii="Arial" w:eastAsia="Calibri" w:hAnsi="Arial" w:cs="Arial"/>
          <w:bCs/>
          <w:sz w:val="26"/>
          <w:szCs w:val="26"/>
          <w:u w:val="single"/>
        </w:rPr>
        <w:t>iniciar</w:t>
      </w:r>
      <w:r w:rsidR="00935CBA">
        <w:rPr>
          <w:rFonts w:ascii="Arial" w:eastAsia="Calibri" w:hAnsi="Arial" w:cs="Arial"/>
          <w:bCs/>
          <w:sz w:val="26"/>
          <w:szCs w:val="26"/>
        </w:rPr>
        <w:t xml:space="preserve">, en el caso el procedimiento de responsabilidad administrativa; pues </w:t>
      </w:r>
      <w:r w:rsidR="00087DB2">
        <w:rPr>
          <w:rFonts w:ascii="Arial" w:eastAsia="Calibri" w:hAnsi="Arial" w:cs="Arial"/>
          <w:bCs/>
          <w:sz w:val="26"/>
          <w:szCs w:val="26"/>
        </w:rPr>
        <w:t xml:space="preserve">de la lectura al artículo 36 fracción IV del Reglamento Interno de la Secretaría de la Contraloría y Transparencia Gubernamental, </w:t>
      </w:r>
      <w:r w:rsidR="00935CBA">
        <w:rPr>
          <w:rFonts w:ascii="Arial" w:eastAsia="Calibri" w:hAnsi="Arial" w:cs="Arial"/>
          <w:bCs/>
          <w:sz w:val="26"/>
          <w:szCs w:val="26"/>
        </w:rPr>
        <w:t xml:space="preserve">se puede </w:t>
      </w:r>
      <w:r w:rsidR="00A83333">
        <w:rPr>
          <w:rFonts w:ascii="Arial" w:eastAsia="Calibri" w:hAnsi="Arial" w:cs="Arial"/>
          <w:bCs/>
          <w:sz w:val="26"/>
          <w:szCs w:val="26"/>
        </w:rPr>
        <w:t xml:space="preserve">ver </w:t>
      </w:r>
      <w:r w:rsidR="00935CBA">
        <w:rPr>
          <w:rFonts w:ascii="Arial" w:eastAsia="Calibri" w:hAnsi="Arial" w:cs="Arial"/>
          <w:bCs/>
          <w:sz w:val="26"/>
          <w:szCs w:val="26"/>
        </w:rPr>
        <w:t>claramente</w:t>
      </w:r>
      <w:r w:rsidR="00A83333">
        <w:rPr>
          <w:rFonts w:ascii="Arial" w:eastAsia="Calibri" w:hAnsi="Arial" w:cs="Arial"/>
          <w:bCs/>
          <w:sz w:val="26"/>
          <w:szCs w:val="26"/>
        </w:rPr>
        <w:t xml:space="preserve">, </w:t>
      </w:r>
      <w:r w:rsidR="00935CBA">
        <w:rPr>
          <w:rFonts w:ascii="Arial" w:eastAsia="Calibri" w:hAnsi="Arial" w:cs="Arial"/>
          <w:bCs/>
          <w:sz w:val="26"/>
          <w:szCs w:val="26"/>
        </w:rPr>
        <w:t xml:space="preserve">que la facultad ahí conferida, de ningún modo </w:t>
      </w:r>
      <w:r w:rsidR="004D1094">
        <w:rPr>
          <w:rFonts w:ascii="Arial" w:eastAsia="Calibri" w:hAnsi="Arial" w:cs="Arial"/>
          <w:bCs/>
          <w:sz w:val="26"/>
          <w:szCs w:val="26"/>
        </w:rPr>
        <w:t>establece el</w:t>
      </w:r>
      <w:r w:rsidR="00A83333">
        <w:rPr>
          <w:rFonts w:ascii="Arial" w:eastAsia="Calibri" w:hAnsi="Arial" w:cs="Arial"/>
          <w:bCs/>
          <w:sz w:val="26"/>
          <w:szCs w:val="26"/>
        </w:rPr>
        <w:t xml:space="preserve"> </w:t>
      </w:r>
      <w:r w:rsidR="0021295E" w:rsidRPr="004D1094">
        <w:rPr>
          <w:rFonts w:ascii="Arial" w:eastAsia="Calibri" w:hAnsi="Arial" w:cs="Arial"/>
          <w:b/>
          <w:bCs/>
          <w:sz w:val="26"/>
          <w:szCs w:val="26"/>
          <w:u w:val="single"/>
        </w:rPr>
        <w:t>iniciar</w:t>
      </w:r>
      <w:r w:rsidR="0021295E" w:rsidRPr="004D1094">
        <w:rPr>
          <w:rFonts w:ascii="Arial" w:eastAsia="Calibri" w:hAnsi="Arial" w:cs="Arial"/>
          <w:bCs/>
          <w:sz w:val="26"/>
          <w:szCs w:val="26"/>
          <w:u w:val="single"/>
        </w:rPr>
        <w:t xml:space="preserve"> </w:t>
      </w:r>
      <w:r w:rsidR="004D1094" w:rsidRPr="004D1094">
        <w:rPr>
          <w:rFonts w:ascii="Arial" w:eastAsia="Calibri" w:hAnsi="Arial" w:cs="Arial"/>
          <w:bCs/>
          <w:sz w:val="26"/>
          <w:szCs w:val="26"/>
          <w:u w:val="single"/>
        </w:rPr>
        <w:t>los procedimientos de responsabilidad</w:t>
      </w:r>
      <w:r w:rsidR="00935CBA">
        <w:rPr>
          <w:rFonts w:ascii="Arial" w:eastAsia="Calibri" w:hAnsi="Arial" w:cs="Arial"/>
          <w:bCs/>
          <w:sz w:val="26"/>
          <w:szCs w:val="26"/>
        </w:rPr>
        <w:t xml:space="preserve">; sino </w:t>
      </w:r>
      <w:r w:rsidR="00A83333">
        <w:rPr>
          <w:rFonts w:ascii="Arial" w:eastAsia="Calibri" w:hAnsi="Arial" w:cs="Arial"/>
          <w:bCs/>
          <w:sz w:val="26"/>
          <w:szCs w:val="26"/>
        </w:rPr>
        <w:t xml:space="preserve">que </w:t>
      </w:r>
      <w:r w:rsidR="00935CBA">
        <w:rPr>
          <w:rFonts w:ascii="Arial" w:eastAsia="Calibri" w:hAnsi="Arial" w:cs="Arial"/>
          <w:bCs/>
          <w:sz w:val="26"/>
          <w:szCs w:val="26"/>
        </w:rPr>
        <w:t xml:space="preserve">únicamente </w:t>
      </w:r>
      <w:r w:rsidR="00A83333">
        <w:rPr>
          <w:rFonts w:ascii="Arial" w:eastAsia="Calibri" w:hAnsi="Arial" w:cs="Arial"/>
          <w:bCs/>
          <w:sz w:val="26"/>
          <w:szCs w:val="26"/>
        </w:rPr>
        <w:t xml:space="preserve">establece la </w:t>
      </w:r>
      <w:r w:rsidR="00A83333">
        <w:rPr>
          <w:rFonts w:ascii="Arial" w:eastAsia="Calibri" w:hAnsi="Arial" w:cs="Arial"/>
          <w:bCs/>
          <w:sz w:val="26"/>
          <w:szCs w:val="26"/>
        </w:rPr>
        <w:lastRenderedPageBreak/>
        <w:t>facultad de</w:t>
      </w:r>
      <w:r w:rsidR="00935CBA">
        <w:rPr>
          <w:rFonts w:ascii="Arial" w:eastAsia="Calibri" w:hAnsi="Arial" w:cs="Arial"/>
          <w:bCs/>
          <w:sz w:val="26"/>
          <w:szCs w:val="26"/>
        </w:rPr>
        <w:t xml:space="preserve"> </w:t>
      </w:r>
      <w:r w:rsidR="00935CBA" w:rsidRPr="00A83333">
        <w:rPr>
          <w:rFonts w:ascii="Arial" w:eastAsia="Calibri" w:hAnsi="Arial" w:cs="Arial"/>
          <w:b/>
          <w:bCs/>
          <w:sz w:val="26"/>
          <w:szCs w:val="26"/>
          <w:u w:val="single"/>
        </w:rPr>
        <w:t>ordenar</w:t>
      </w:r>
      <w:r w:rsidR="00935CBA" w:rsidRPr="00A83333">
        <w:rPr>
          <w:rFonts w:ascii="Arial" w:eastAsia="Calibri" w:hAnsi="Arial" w:cs="Arial"/>
          <w:bCs/>
          <w:sz w:val="26"/>
          <w:szCs w:val="26"/>
          <w:u w:val="single"/>
        </w:rPr>
        <w:t xml:space="preserve"> la realización de los procedimientos de </w:t>
      </w:r>
      <w:r w:rsidR="00A83333">
        <w:rPr>
          <w:rFonts w:ascii="Arial" w:eastAsia="Calibri" w:hAnsi="Arial" w:cs="Arial"/>
          <w:bCs/>
          <w:sz w:val="26"/>
          <w:szCs w:val="26"/>
          <w:u w:val="single"/>
        </w:rPr>
        <w:t>responsabilidad</w:t>
      </w:r>
      <w:r w:rsidR="00A83333">
        <w:rPr>
          <w:rFonts w:ascii="Arial" w:eastAsia="Calibri" w:hAnsi="Arial" w:cs="Arial"/>
          <w:bCs/>
          <w:sz w:val="26"/>
          <w:szCs w:val="26"/>
        </w:rPr>
        <w:t>, sin que su texto enmarque una facultad más allá de la ahí determinada</w:t>
      </w:r>
      <w:r w:rsidR="007667E2">
        <w:rPr>
          <w:rFonts w:ascii="Arial" w:eastAsia="Calibri" w:hAnsi="Arial" w:cs="Arial"/>
          <w:bCs/>
          <w:sz w:val="26"/>
          <w:szCs w:val="26"/>
        </w:rPr>
        <w:t>.</w:t>
      </w:r>
    </w:p>
    <w:p w:rsidR="007667E2" w:rsidRDefault="004D1094" w:rsidP="007667E2">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00F25B8D" w:rsidRPr="00CC6E8F">
        <w:rPr>
          <w:rFonts w:ascii="Arial" w:eastAsia="Calibri" w:hAnsi="Arial" w:cs="Arial"/>
          <w:bCs/>
          <w:sz w:val="26"/>
          <w:szCs w:val="26"/>
        </w:rPr>
        <w:t>Por otr</w:t>
      </w:r>
      <w:r w:rsidR="00294919" w:rsidRPr="00CC6E8F">
        <w:rPr>
          <w:rFonts w:ascii="Arial" w:eastAsia="Calibri" w:hAnsi="Arial" w:cs="Arial"/>
          <w:bCs/>
          <w:sz w:val="26"/>
          <w:szCs w:val="26"/>
        </w:rPr>
        <w:t>o</w:t>
      </w:r>
      <w:r w:rsidR="00294919">
        <w:rPr>
          <w:rFonts w:ascii="Arial" w:eastAsia="Calibri" w:hAnsi="Arial" w:cs="Arial"/>
          <w:bCs/>
          <w:sz w:val="26"/>
          <w:szCs w:val="26"/>
        </w:rPr>
        <w:t xml:space="preserve"> lado a</w:t>
      </w:r>
      <w:r w:rsidR="00F25B8D" w:rsidRPr="004D1094">
        <w:rPr>
          <w:rFonts w:ascii="Arial" w:eastAsia="Calibri" w:hAnsi="Arial" w:cs="Arial"/>
          <w:bCs/>
          <w:sz w:val="26"/>
          <w:szCs w:val="26"/>
        </w:rPr>
        <w:t>lega</w:t>
      </w:r>
      <w:r w:rsidR="00294919">
        <w:rPr>
          <w:rFonts w:ascii="Arial" w:eastAsia="Calibri" w:hAnsi="Arial" w:cs="Arial"/>
          <w:bCs/>
          <w:sz w:val="26"/>
          <w:szCs w:val="26"/>
        </w:rPr>
        <w:t xml:space="preserve"> la re</w:t>
      </w:r>
      <w:r w:rsidR="00CC6E8F">
        <w:rPr>
          <w:rFonts w:ascii="Arial" w:eastAsia="Calibri" w:hAnsi="Arial" w:cs="Arial"/>
          <w:bCs/>
          <w:sz w:val="26"/>
          <w:szCs w:val="26"/>
        </w:rPr>
        <w:t>c</w:t>
      </w:r>
      <w:r w:rsidR="00294919">
        <w:rPr>
          <w:rFonts w:ascii="Arial" w:eastAsia="Calibri" w:hAnsi="Arial" w:cs="Arial"/>
          <w:bCs/>
          <w:sz w:val="26"/>
          <w:szCs w:val="26"/>
        </w:rPr>
        <w:t>urrente</w:t>
      </w:r>
      <w:r w:rsidR="00F25B8D">
        <w:rPr>
          <w:rFonts w:ascii="Arial" w:eastAsia="Calibri" w:hAnsi="Arial" w:cs="Arial"/>
          <w:bCs/>
          <w:sz w:val="26"/>
          <w:szCs w:val="26"/>
        </w:rPr>
        <w:t xml:space="preserve"> que es equivocada la apreciación de la Primera Instancia, en la que consideró que las atribuciones de admitir los procedimiento de responsabilidad, queda reservada a los </w:t>
      </w:r>
      <w:r w:rsidR="00A83333">
        <w:rPr>
          <w:rFonts w:ascii="Arial" w:eastAsia="Calibri" w:hAnsi="Arial" w:cs="Arial"/>
          <w:bCs/>
          <w:sz w:val="26"/>
          <w:szCs w:val="26"/>
        </w:rPr>
        <w:t>J</w:t>
      </w:r>
      <w:r w:rsidR="00F25B8D">
        <w:rPr>
          <w:rFonts w:ascii="Arial" w:eastAsia="Calibri" w:hAnsi="Arial" w:cs="Arial"/>
          <w:bCs/>
          <w:sz w:val="26"/>
          <w:szCs w:val="26"/>
        </w:rPr>
        <w:t>efes de Departamento de Investigación de Quejas y Denuncias A y B de la Secretaría de la Contraloría</w:t>
      </w:r>
      <w:r w:rsidR="00294919">
        <w:rPr>
          <w:rFonts w:ascii="Arial" w:eastAsia="Calibri" w:hAnsi="Arial" w:cs="Arial"/>
          <w:bCs/>
          <w:sz w:val="26"/>
          <w:szCs w:val="26"/>
        </w:rPr>
        <w:t>,</w:t>
      </w:r>
      <w:r w:rsidR="00F25B8D">
        <w:rPr>
          <w:rFonts w:ascii="Arial" w:eastAsia="Calibri" w:hAnsi="Arial" w:cs="Arial"/>
          <w:bCs/>
          <w:sz w:val="26"/>
          <w:szCs w:val="26"/>
        </w:rPr>
        <w:t xml:space="preserve"> porque de la lectura al artículo 40 fracción II del Reglamento Interno de la Secretaría de la Contraloría, se puede advertir que </w:t>
      </w:r>
      <w:r w:rsidR="00875A5D">
        <w:rPr>
          <w:rFonts w:ascii="Arial" w:eastAsia="Calibri" w:hAnsi="Arial" w:cs="Arial"/>
          <w:bCs/>
          <w:sz w:val="26"/>
          <w:szCs w:val="26"/>
        </w:rPr>
        <w:t>la atribución de admitir los procedimientos administrativos de responsabilidades disciplinarias, se la dio a los Departamentos de Responsabilidades Administrativas A y B y no a los Jefes de Departamento de Investigación de Quejas y Denuncias A y B.</w:t>
      </w:r>
    </w:p>
    <w:p w:rsidR="007667E2" w:rsidRDefault="007667E2" w:rsidP="007667E2">
      <w:pPr>
        <w:spacing w:after="0" w:line="360" w:lineRule="auto"/>
        <w:ind w:firstLine="567"/>
        <w:jc w:val="both"/>
        <w:rPr>
          <w:rFonts w:ascii="Arial" w:eastAsia="Calibri" w:hAnsi="Arial" w:cs="Arial"/>
          <w:bCs/>
          <w:sz w:val="26"/>
          <w:szCs w:val="26"/>
        </w:rPr>
      </w:pPr>
      <w:r w:rsidRPr="00294919">
        <w:rPr>
          <w:rFonts w:ascii="Arial" w:eastAsia="Calibri" w:hAnsi="Arial" w:cs="Arial"/>
          <w:bCs/>
          <w:sz w:val="26"/>
          <w:szCs w:val="26"/>
        </w:rPr>
        <w:t xml:space="preserve"> </w:t>
      </w:r>
      <w:r w:rsidR="00875A5D" w:rsidRPr="00294919">
        <w:rPr>
          <w:rFonts w:ascii="Arial" w:eastAsia="Calibri" w:hAnsi="Arial" w:cs="Arial"/>
          <w:bCs/>
          <w:sz w:val="26"/>
          <w:szCs w:val="26"/>
        </w:rPr>
        <w:t xml:space="preserve">Esta parte de sus alegaciones </w:t>
      </w:r>
      <w:r w:rsidR="00294919" w:rsidRPr="00294919">
        <w:rPr>
          <w:rFonts w:ascii="Arial" w:eastAsia="Calibri" w:hAnsi="Arial" w:cs="Arial"/>
          <w:b/>
          <w:bCs/>
          <w:sz w:val="26"/>
          <w:szCs w:val="26"/>
        </w:rPr>
        <w:t>son infundadas</w:t>
      </w:r>
      <w:r w:rsidR="00875A5D" w:rsidRPr="00294919">
        <w:rPr>
          <w:rFonts w:ascii="Arial" w:eastAsia="Calibri" w:hAnsi="Arial" w:cs="Arial"/>
          <w:bCs/>
          <w:sz w:val="26"/>
          <w:szCs w:val="26"/>
        </w:rPr>
        <w:t xml:space="preserve">, pues </w:t>
      </w:r>
      <w:r w:rsidR="00873D9D" w:rsidRPr="00294919">
        <w:rPr>
          <w:rFonts w:ascii="Arial" w:eastAsia="Calibri" w:hAnsi="Arial" w:cs="Arial"/>
          <w:bCs/>
          <w:sz w:val="26"/>
          <w:szCs w:val="26"/>
        </w:rPr>
        <w:t>si bien de la lectura a la sentencia materia de revisión, se puede advertir que el A quo, equivocadamente concluyó que la atribución de admitir los procedimientos administrativos de responsabilidad disciplinaria, queda reservada a los Jefes de Departamento de Investigación de Quejas y Denuncias A y B</w:t>
      </w:r>
      <w:r w:rsidR="00424A6E">
        <w:rPr>
          <w:rFonts w:ascii="Arial" w:eastAsia="Calibri" w:hAnsi="Arial" w:cs="Arial"/>
          <w:bCs/>
          <w:sz w:val="26"/>
          <w:szCs w:val="26"/>
        </w:rPr>
        <w:t>, al indicar lo siguiente:</w:t>
      </w:r>
      <w:r w:rsidR="00A83333" w:rsidRPr="00294919">
        <w:rPr>
          <w:rFonts w:ascii="Arial" w:eastAsia="Calibri" w:hAnsi="Arial" w:cs="Arial"/>
          <w:bCs/>
          <w:sz w:val="26"/>
          <w:szCs w:val="26"/>
        </w:rPr>
        <w:t xml:space="preserve"> “</w:t>
      </w:r>
      <w:r w:rsidR="00A83333" w:rsidRPr="00424A6E">
        <w:rPr>
          <w:rFonts w:ascii="Arial" w:eastAsia="Calibri" w:hAnsi="Arial" w:cs="Arial"/>
          <w:bCs/>
          <w:i/>
          <w:sz w:val="24"/>
          <w:szCs w:val="24"/>
        </w:rPr>
        <w:t>quedando reservada la atribución de admitir los referidos procedimiento a los JEFES DE DEPARTAMENTO DE INVESTIGACIÓN DE QUEJAS Y DENUNC</w:t>
      </w:r>
      <w:r w:rsidR="00294919" w:rsidRPr="00424A6E">
        <w:rPr>
          <w:rFonts w:ascii="Arial" w:eastAsia="Calibri" w:hAnsi="Arial" w:cs="Arial"/>
          <w:bCs/>
          <w:i/>
          <w:sz w:val="24"/>
          <w:szCs w:val="24"/>
        </w:rPr>
        <w:t>I</w:t>
      </w:r>
      <w:r w:rsidR="00A83333" w:rsidRPr="00424A6E">
        <w:rPr>
          <w:rFonts w:ascii="Arial" w:eastAsia="Calibri" w:hAnsi="Arial" w:cs="Arial"/>
          <w:bCs/>
          <w:i/>
          <w:sz w:val="24"/>
          <w:szCs w:val="24"/>
        </w:rPr>
        <w:t>AS A Y B</w:t>
      </w:r>
      <w:r w:rsidR="00A83333" w:rsidRPr="00424A6E">
        <w:rPr>
          <w:rFonts w:ascii="Arial" w:eastAsia="Calibri" w:hAnsi="Arial" w:cs="Arial"/>
          <w:bCs/>
          <w:sz w:val="24"/>
          <w:szCs w:val="24"/>
        </w:rPr>
        <w:t>”</w:t>
      </w:r>
      <w:r w:rsidR="00873D9D" w:rsidRPr="00424A6E">
        <w:rPr>
          <w:rFonts w:ascii="Arial" w:eastAsia="Calibri" w:hAnsi="Arial" w:cs="Arial"/>
          <w:bCs/>
          <w:sz w:val="24"/>
          <w:szCs w:val="24"/>
        </w:rPr>
        <w:t>;</w:t>
      </w:r>
      <w:r w:rsidR="00873D9D" w:rsidRPr="00294919">
        <w:rPr>
          <w:rFonts w:ascii="Arial" w:eastAsia="Calibri" w:hAnsi="Arial" w:cs="Arial"/>
          <w:bCs/>
          <w:sz w:val="26"/>
          <w:szCs w:val="26"/>
        </w:rPr>
        <w:t xml:space="preserve"> también se desprende, que al analizar lo dispuesto por el artículo 40 fracción II del Reglamento Interno de la Secretaría de la Contraloría, </w:t>
      </w:r>
      <w:r w:rsidR="00424A6E">
        <w:rPr>
          <w:rFonts w:ascii="Arial" w:eastAsia="Calibri" w:hAnsi="Arial" w:cs="Arial"/>
          <w:bCs/>
          <w:sz w:val="26"/>
          <w:szCs w:val="26"/>
        </w:rPr>
        <w:t xml:space="preserve">se </w:t>
      </w:r>
      <w:r w:rsidR="00873D9D" w:rsidRPr="00294919">
        <w:rPr>
          <w:rFonts w:ascii="Arial" w:eastAsia="Calibri" w:hAnsi="Arial" w:cs="Arial"/>
          <w:bCs/>
          <w:sz w:val="26"/>
          <w:szCs w:val="26"/>
        </w:rPr>
        <w:t>est</w:t>
      </w:r>
      <w:r w:rsidR="002912BD" w:rsidRPr="00294919">
        <w:rPr>
          <w:rFonts w:ascii="Arial" w:eastAsia="Calibri" w:hAnsi="Arial" w:cs="Arial"/>
          <w:bCs/>
          <w:sz w:val="26"/>
          <w:szCs w:val="26"/>
        </w:rPr>
        <w:t>ablec</w:t>
      </w:r>
      <w:r w:rsidR="00424A6E">
        <w:rPr>
          <w:rFonts w:ascii="Arial" w:eastAsia="Calibri" w:hAnsi="Arial" w:cs="Arial"/>
          <w:bCs/>
          <w:sz w:val="26"/>
          <w:szCs w:val="26"/>
        </w:rPr>
        <w:t>e</w:t>
      </w:r>
      <w:r w:rsidR="002912BD" w:rsidRPr="00294919">
        <w:rPr>
          <w:rFonts w:ascii="Arial" w:eastAsia="Calibri" w:hAnsi="Arial" w:cs="Arial"/>
          <w:bCs/>
          <w:sz w:val="26"/>
          <w:szCs w:val="26"/>
        </w:rPr>
        <w:t xml:space="preserve"> que la referida facultad </w:t>
      </w:r>
      <w:r w:rsidR="00873D9D" w:rsidRPr="00294919">
        <w:rPr>
          <w:rFonts w:ascii="Arial" w:eastAsia="Calibri" w:hAnsi="Arial" w:cs="Arial"/>
          <w:bCs/>
          <w:sz w:val="26"/>
          <w:szCs w:val="26"/>
        </w:rPr>
        <w:t>de admitir</w:t>
      </w:r>
      <w:r w:rsidR="00424A6E">
        <w:rPr>
          <w:rFonts w:ascii="Arial" w:eastAsia="Calibri" w:hAnsi="Arial" w:cs="Arial"/>
          <w:bCs/>
          <w:sz w:val="26"/>
          <w:szCs w:val="26"/>
        </w:rPr>
        <w:t xml:space="preserve"> los procedimientos administrativos de responsabilidad</w:t>
      </w:r>
      <w:r w:rsidR="00873D9D" w:rsidRPr="00294919">
        <w:rPr>
          <w:rFonts w:ascii="Arial" w:eastAsia="Calibri" w:hAnsi="Arial" w:cs="Arial"/>
          <w:bCs/>
          <w:sz w:val="26"/>
          <w:szCs w:val="26"/>
        </w:rPr>
        <w:t>, le corresponde a “</w:t>
      </w:r>
      <w:r w:rsidR="00873D9D" w:rsidRPr="00294919">
        <w:rPr>
          <w:rFonts w:ascii="Arial" w:eastAsia="Calibri" w:hAnsi="Arial" w:cs="Arial"/>
          <w:bCs/>
          <w:i/>
          <w:sz w:val="24"/>
          <w:szCs w:val="24"/>
        </w:rPr>
        <w:t>los Jefes de Departamento A y B de Responsabilidades Administrativas</w:t>
      </w:r>
      <w:r w:rsidR="00424A6E">
        <w:rPr>
          <w:rFonts w:ascii="Arial" w:eastAsia="Calibri" w:hAnsi="Arial" w:cs="Arial"/>
          <w:bCs/>
          <w:i/>
          <w:sz w:val="24"/>
          <w:szCs w:val="24"/>
        </w:rPr>
        <w:t>,</w:t>
      </w:r>
      <w:r w:rsidR="00873D9D" w:rsidRPr="00294919">
        <w:rPr>
          <w:rFonts w:ascii="Arial" w:eastAsia="Calibri" w:hAnsi="Arial" w:cs="Arial"/>
          <w:bCs/>
          <w:i/>
          <w:sz w:val="24"/>
          <w:szCs w:val="24"/>
        </w:rPr>
        <w:t xml:space="preserve"> de</w:t>
      </w:r>
      <w:r w:rsidR="00F154C1">
        <w:rPr>
          <w:rFonts w:ascii="Arial" w:eastAsia="Calibri" w:hAnsi="Arial" w:cs="Arial"/>
          <w:bCs/>
          <w:i/>
          <w:sz w:val="24"/>
          <w:szCs w:val="24"/>
        </w:rPr>
        <w:t>pendientes de</w:t>
      </w:r>
      <w:r w:rsidR="00873D9D" w:rsidRPr="00294919">
        <w:rPr>
          <w:rFonts w:ascii="Arial" w:eastAsia="Calibri" w:hAnsi="Arial" w:cs="Arial"/>
          <w:bCs/>
          <w:i/>
          <w:sz w:val="24"/>
          <w:szCs w:val="24"/>
        </w:rPr>
        <w:t xml:space="preserve"> la </w:t>
      </w:r>
      <w:r w:rsidR="00F154C1">
        <w:rPr>
          <w:rFonts w:ascii="Arial" w:eastAsia="Calibri" w:hAnsi="Arial" w:cs="Arial"/>
          <w:bCs/>
          <w:i/>
          <w:sz w:val="24"/>
          <w:szCs w:val="24"/>
        </w:rPr>
        <w:t>Dirección de Responsabilidades y Situación Patrimonial</w:t>
      </w:r>
      <w:r w:rsidR="00873D9D" w:rsidRPr="00294919">
        <w:rPr>
          <w:rFonts w:ascii="Arial" w:eastAsia="Calibri" w:hAnsi="Arial" w:cs="Arial"/>
          <w:bCs/>
          <w:sz w:val="26"/>
          <w:szCs w:val="26"/>
        </w:rPr>
        <w:t>”</w:t>
      </w:r>
      <w:r>
        <w:rPr>
          <w:rFonts w:ascii="Arial" w:eastAsia="Calibri" w:hAnsi="Arial" w:cs="Arial"/>
          <w:bCs/>
          <w:sz w:val="26"/>
          <w:szCs w:val="26"/>
        </w:rPr>
        <w:t>.</w:t>
      </w:r>
    </w:p>
    <w:p w:rsidR="00424A6E" w:rsidRDefault="00424A6E" w:rsidP="007667E2">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t>R</w:t>
      </w:r>
      <w:r w:rsidR="00873D9D" w:rsidRPr="00294919">
        <w:rPr>
          <w:rFonts w:ascii="Arial" w:eastAsia="Calibri" w:hAnsi="Arial" w:cs="Arial"/>
          <w:bCs/>
          <w:sz w:val="26"/>
          <w:szCs w:val="26"/>
        </w:rPr>
        <w:t>azonamiento q</w:t>
      </w:r>
      <w:r w:rsidR="00C95E62" w:rsidRPr="00294919">
        <w:rPr>
          <w:rFonts w:ascii="Arial" w:eastAsia="Calibri" w:hAnsi="Arial" w:cs="Arial"/>
          <w:bCs/>
          <w:sz w:val="26"/>
          <w:szCs w:val="26"/>
        </w:rPr>
        <w:t>ue es correcto, pues en efecto dicho precepto legal</w:t>
      </w:r>
      <w:r w:rsidR="00873D9D" w:rsidRPr="00294919">
        <w:rPr>
          <w:rFonts w:ascii="Arial" w:eastAsia="Calibri" w:hAnsi="Arial" w:cs="Arial"/>
          <w:bCs/>
          <w:sz w:val="26"/>
          <w:szCs w:val="26"/>
        </w:rPr>
        <w:t xml:space="preserve"> </w:t>
      </w:r>
      <w:r w:rsidR="00C95E62" w:rsidRPr="00294919">
        <w:rPr>
          <w:rFonts w:ascii="Arial" w:eastAsia="Calibri" w:hAnsi="Arial" w:cs="Arial"/>
          <w:bCs/>
          <w:sz w:val="26"/>
          <w:szCs w:val="26"/>
        </w:rPr>
        <w:t>indica textualmente</w:t>
      </w:r>
      <w:r w:rsidR="007667E2">
        <w:rPr>
          <w:rFonts w:ascii="Arial" w:eastAsia="Calibri" w:hAnsi="Arial" w:cs="Arial"/>
          <w:bCs/>
          <w:sz w:val="26"/>
          <w:szCs w:val="26"/>
        </w:rPr>
        <w:t xml:space="preserve"> lo siguiente:</w:t>
      </w:r>
    </w:p>
    <w:p w:rsidR="004D2510" w:rsidRDefault="004D2510" w:rsidP="007667E2">
      <w:pPr>
        <w:spacing w:after="120"/>
        <w:ind w:left="709" w:right="902"/>
        <w:jc w:val="both"/>
        <w:rPr>
          <w:rFonts w:ascii="Arial" w:eastAsia="Calibri" w:hAnsi="Arial" w:cs="Arial"/>
          <w:bCs/>
          <w:i/>
        </w:rPr>
      </w:pPr>
      <w:r>
        <w:rPr>
          <w:rFonts w:ascii="Arial" w:eastAsia="Calibri" w:hAnsi="Arial" w:cs="Arial"/>
          <w:b/>
          <w:bCs/>
          <w:i/>
        </w:rPr>
        <w:t xml:space="preserve">“ARTICULO 40. </w:t>
      </w:r>
      <w:r>
        <w:rPr>
          <w:rFonts w:ascii="Arial" w:eastAsia="Calibri" w:hAnsi="Arial" w:cs="Arial"/>
          <w:bCs/>
          <w:i/>
        </w:rPr>
        <w:t>Al frente de los Departamentos de Responsabilidad Administrativa “A” y “B” habrá Jefes de Departamento, quienes dependerán directamente del Director de Responsabilidades y Situación Patrimonial y tendrán las siguientes facultades:</w:t>
      </w:r>
    </w:p>
    <w:p w:rsidR="004D2510" w:rsidRPr="007A2EA4" w:rsidRDefault="004D2510" w:rsidP="007667E2">
      <w:pPr>
        <w:spacing w:after="120"/>
        <w:ind w:left="709" w:right="902"/>
        <w:jc w:val="both"/>
        <w:rPr>
          <w:rFonts w:ascii="Arial" w:eastAsia="Calibri" w:hAnsi="Arial" w:cs="Arial"/>
          <w:bCs/>
          <w:i/>
        </w:rPr>
      </w:pPr>
      <w:r w:rsidRPr="004D2510">
        <w:rPr>
          <w:rFonts w:ascii="Arial" w:eastAsia="Calibri" w:hAnsi="Arial" w:cs="Arial"/>
          <w:b/>
          <w:bCs/>
          <w:i/>
        </w:rPr>
        <w:t>II.</w:t>
      </w:r>
      <w:r>
        <w:rPr>
          <w:rFonts w:ascii="Arial" w:eastAsia="Calibri" w:hAnsi="Arial" w:cs="Arial"/>
          <w:b/>
          <w:bCs/>
          <w:i/>
        </w:rPr>
        <w:t xml:space="preserve"> </w:t>
      </w:r>
      <w:r>
        <w:rPr>
          <w:rFonts w:ascii="Arial" w:eastAsia="Calibri" w:hAnsi="Arial" w:cs="Arial"/>
          <w:bCs/>
          <w:i/>
        </w:rPr>
        <w:t>Admitir los procedimientos administrativos de responsabilidad</w:t>
      </w:r>
      <w:r w:rsidR="00447485">
        <w:rPr>
          <w:rFonts w:ascii="Arial" w:eastAsia="Calibri" w:hAnsi="Arial" w:cs="Arial"/>
          <w:bCs/>
          <w:i/>
        </w:rPr>
        <w:t xml:space="preserve"> disciplinaria y resarcitoria, derivados de actos u omisiones de los sujetos a la Ley de Responsabilidades, en el ámbito de su </w:t>
      </w:r>
      <w:r w:rsidR="00447485" w:rsidRPr="007A2EA4">
        <w:rPr>
          <w:rFonts w:ascii="Arial" w:eastAsia="Calibri" w:hAnsi="Arial" w:cs="Arial"/>
          <w:bCs/>
          <w:i/>
        </w:rPr>
        <w:t>competencia.”</w:t>
      </w:r>
      <w:r w:rsidRPr="007A2EA4">
        <w:rPr>
          <w:rFonts w:ascii="Arial" w:eastAsia="Calibri" w:hAnsi="Arial" w:cs="Arial"/>
          <w:bCs/>
          <w:i/>
        </w:rPr>
        <w:t xml:space="preserve"> </w:t>
      </w:r>
    </w:p>
    <w:p w:rsidR="007667E2" w:rsidRDefault="00C9151F" w:rsidP="007667E2">
      <w:pPr>
        <w:spacing w:line="360" w:lineRule="auto"/>
        <w:ind w:right="69" w:firstLine="567"/>
        <w:jc w:val="both"/>
        <w:rPr>
          <w:rFonts w:ascii="Arial" w:hAnsi="Arial" w:cs="Arial"/>
          <w:bCs/>
          <w:sz w:val="26"/>
          <w:szCs w:val="26"/>
          <w:lang w:val="es-MX"/>
        </w:rPr>
      </w:pPr>
      <w:r w:rsidRPr="00B24D8F">
        <w:rPr>
          <w:rFonts w:ascii="Arial" w:hAnsi="Arial" w:cs="Arial"/>
          <w:bCs/>
          <w:sz w:val="26"/>
          <w:szCs w:val="26"/>
          <w:lang w:val="es-MX"/>
        </w:rPr>
        <w:t>Como se ve</w:t>
      </w:r>
      <w:r w:rsidRPr="00E3007E">
        <w:rPr>
          <w:rFonts w:ascii="Arial" w:hAnsi="Arial" w:cs="Arial"/>
          <w:b/>
          <w:bCs/>
          <w:sz w:val="26"/>
          <w:szCs w:val="26"/>
          <w:lang w:val="es-MX"/>
        </w:rPr>
        <w:t xml:space="preserve"> </w:t>
      </w:r>
      <w:r w:rsidRPr="00E3007E">
        <w:rPr>
          <w:rFonts w:ascii="Arial" w:hAnsi="Arial" w:cs="Arial"/>
          <w:bCs/>
          <w:sz w:val="26"/>
          <w:szCs w:val="26"/>
          <w:lang w:val="es-MX"/>
        </w:rPr>
        <w:t>de esta transcripción</w:t>
      </w:r>
      <w:r w:rsidR="00F90D08">
        <w:rPr>
          <w:rFonts w:ascii="Arial" w:hAnsi="Arial" w:cs="Arial"/>
          <w:bCs/>
          <w:sz w:val="26"/>
          <w:szCs w:val="26"/>
          <w:lang w:val="es-MX"/>
        </w:rPr>
        <w:t>,</w:t>
      </w:r>
      <w:r w:rsidRPr="00E3007E">
        <w:rPr>
          <w:rFonts w:ascii="Arial" w:hAnsi="Arial" w:cs="Arial"/>
          <w:bCs/>
          <w:sz w:val="26"/>
          <w:szCs w:val="26"/>
          <w:lang w:val="es-MX"/>
        </w:rPr>
        <w:t xml:space="preserve"> se obtiene que</w:t>
      </w:r>
      <w:r w:rsidR="00781D7A">
        <w:rPr>
          <w:rFonts w:ascii="Arial" w:hAnsi="Arial" w:cs="Arial"/>
          <w:bCs/>
          <w:sz w:val="26"/>
          <w:szCs w:val="26"/>
          <w:lang w:val="es-MX"/>
        </w:rPr>
        <w:t xml:space="preserve"> en el Reglamento Interno de la Secretaría de la Contraloría y Transparencia Gubernamental, publicado </w:t>
      </w:r>
      <w:r w:rsidR="00943E1F">
        <w:rPr>
          <w:rFonts w:ascii="Arial" w:hAnsi="Arial" w:cs="Arial"/>
          <w:bCs/>
          <w:sz w:val="26"/>
          <w:szCs w:val="26"/>
          <w:lang w:val="es-MX"/>
        </w:rPr>
        <w:t>en el Periódico Oficial del Gobierno del Estado</w:t>
      </w:r>
      <w:r w:rsidR="000B4B51">
        <w:rPr>
          <w:rFonts w:ascii="Arial" w:hAnsi="Arial" w:cs="Arial"/>
          <w:bCs/>
          <w:sz w:val="26"/>
          <w:szCs w:val="26"/>
          <w:lang w:val="es-MX"/>
        </w:rPr>
        <w:t>,</w:t>
      </w:r>
      <w:r w:rsidR="00943E1F">
        <w:rPr>
          <w:rFonts w:ascii="Arial" w:hAnsi="Arial" w:cs="Arial"/>
          <w:bCs/>
          <w:sz w:val="26"/>
          <w:szCs w:val="26"/>
          <w:lang w:val="es-MX"/>
        </w:rPr>
        <w:t xml:space="preserve"> </w:t>
      </w:r>
      <w:r w:rsidR="00781D7A">
        <w:rPr>
          <w:rFonts w:ascii="Arial" w:hAnsi="Arial" w:cs="Arial"/>
          <w:bCs/>
          <w:sz w:val="26"/>
          <w:szCs w:val="26"/>
          <w:lang w:val="es-MX"/>
        </w:rPr>
        <w:t xml:space="preserve">el </w:t>
      </w:r>
      <w:r w:rsidRPr="00E3007E">
        <w:rPr>
          <w:rFonts w:ascii="Arial" w:hAnsi="Arial" w:cs="Arial"/>
          <w:bCs/>
          <w:sz w:val="26"/>
          <w:szCs w:val="26"/>
          <w:lang w:val="es-MX"/>
        </w:rPr>
        <w:t>02 dos de febrero de 2016 dos mil dieciséis</w:t>
      </w:r>
      <w:r w:rsidR="00943E1F">
        <w:rPr>
          <w:rFonts w:ascii="Arial" w:hAnsi="Arial" w:cs="Arial"/>
          <w:bCs/>
          <w:sz w:val="26"/>
          <w:szCs w:val="26"/>
          <w:lang w:val="es-MX"/>
        </w:rPr>
        <w:t xml:space="preserve">, </w:t>
      </w:r>
      <w:r w:rsidR="00943E1F" w:rsidRPr="00781D7A">
        <w:rPr>
          <w:rFonts w:ascii="Arial" w:hAnsi="Arial" w:cs="Arial"/>
          <w:b/>
          <w:bCs/>
          <w:sz w:val="26"/>
          <w:szCs w:val="26"/>
          <w:lang w:val="es-MX"/>
        </w:rPr>
        <w:t xml:space="preserve">no le otorgan </w:t>
      </w:r>
      <w:r w:rsidR="00943E1F" w:rsidRPr="00781D7A">
        <w:rPr>
          <w:rFonts w:ascii="Arial" w:hAnsi="Arial" w:cs="Arial"/>
          <w:b/>
          <w:bCs/>
          <w:sz w:val="26"/>
          <w:szCs w:val="26"/>
          <w:lang w:val="es-MX"/>
        </w:rPr>
        <w:lastRenderedPageBreak/>
        <w:t>facultades</w:t>
      </w:r>
      <w:r w:rsidR="00943E1F">
        <w:rPr>
          <w:rFonts w:ascii="Arial" w:hAnsi="Arial" w:cs="Arial"/>
          <w:b/>
          <w:bCs/>
          <w:sz w:val="26"/>
          <w:szCs w:val="26"/>
          <w:lang w:val="es-MX"/>
        </w:rPr>
        <w:t xml:space="preserve"> </w:t>
      </w:r>
      <w:r w:rsidR="00943E1F" w:rsidRPr="00943E1F">
        <w:rPr>
          <w:rFonts w:ascii="Arial" w:hAnsi="Arial" w:cs="Arial"/>
          <w:b/>
          <w:bCs/>
          <w:sz w:val="26"/>
          <w:szCs w:val="26"/>
          <w:lang w:val="es-MX"/>
        </w:rPr>
        <w:t>al</w:t>
      </w:r>
      <w:r w:rsidRPr="00943E1F">
        <w:rPr>
          <w:rFonts w:ascii="Arial" w:hAnsi="Arial" w:cs="Arial"/>
          <w:b/>
          <w:bCs/>
          <w:sz w:val="26"/>
          <w:szCs w:val="26"/>
          <w:lang w:val="es-MX"/>
        </w:rPr>
        <w:t xml:space="preserve"> Director de Responsabilidades y Situación Patrimonial de la Secretaria de la Contraloría y Transparencia Gubernamental del Estado</w:t>
      </w:r>
      <w:r w:rsidR="00E3007E" w:rsidRPr="00943E1F">
        <w:rPr>
          <w:rFonts w:ascii="Arial" w:hAnsi="Arial" w:cs="Arial"/>
          <w:b/>
          <w:bCs/>
          <w:sz w:val="26"/>
          <w:szCs w:val="26"/>
          <w:lang w:val="es-MX"/>
        </w:rPr>
        <w:t>,</w:t>
      </w:r>
      <w:r w:rsidRPr="00781D7A">
        <w:rPr>
          <w:rFonts w:ascii="Arial" w:hAnsi="Arial" w:cs="Arial"/>
          <w:bCs/>
          <w:sz w:val="26"/>
          <w:szCs w:val="26"/>
          <w:lang w:val="es-MX"/>
        </w:rPr>
        <w:t xml:space="preserve"> </w:t>
      </w:r>
      <w:r w:rsidRPr="00781D7A">
        <w:rPr>
          <w:rFonts w:ascii="Arial" w:hAnsi="Arial" w:cs="Arial"/>
          <w:b/>
          <w:bCs/>
          <w:sz w:val="26"/>
          <w:szCs w:val="26"/>
          <w:lang w:val="es-MX"/>
        </w:rPr>
        <w:t xml:space="preserve">para </w:t>
      </w:r>
      <w:r w:rsidR="00F90D08">
        <w:rPr>
          <w:rFonts w:ascii="Arial" w:hAnsi="Arial" w:cs="Arial"/>
          <w:b/>
          <w:bCs/>
          <w:sz w:val="26"/>
          <w:szCs w:val="26"/>
          <w:lang w:val="es-MX"/>
        </w:rPr>
        <w:t>admitir o iniciar</w:t>
      </w:r>
      <w:r w:rsidR="00943E1F">
        <w:rPr>
          <w:rFonts w:ascii="Arial" w:hAnsi="Arial" w:cs="Arial"/>
          <w:b/>
          <w:bCs/>
          <w:sz w:val="26"/>
          <w:szCs w:val="26"/>
          <w:lang w:val="es-MX"/>
        </w:rPr>
        <w:t xml:space="preserve"> el </w:t>
      </w:r>
      <w:r w:rsidR="00335965">
        <w:rPr>
          <w:rFonts w:ascii="Arial" w:hAnsi="Arial" w:cs="Arial"/>
          <w:b/>
          <w:bCs/>
          <w:sz w:val="26"/>
          <w:szCs w:val="26"/>
          <w:lang w:val="es-MX"/>
        </w:rPr>
        <w:t xml:space="preserve">procedimiento de responsabilidad administrativa disciplinaria, </w:t>
      </w:r>
      <w:r w:rsidRPr="00781D7A">
        <w:rPr>
          <w:rFonts w:ascii="Arial" w:hAnsi="Arial" w:cs="Arial"/>
          <w:b/>
          <w:bCs/>
          <w:sz w:val="26"/>
          <w:szCs w:val="26"/>
          <w:lang w:val="es-MX"/>
        </w:rPr>
        <w:t>iniciado en contra de</w:t>
      </w:r>
      <w:r w:rsidR="00943E1F">
        <w:rPr>
          <w:rFonts w:ascii="Arial" w:hAnsi="Arial" w:cs="Arial"/>
          <w:b/>
          <w:bCs/>
          <w:sz w:val="26"/>
          <w:szCs w:val="26"/>
          <w:lang w:val="es-MX"/>
        </w:rPr>
        <w:t>l</w:t>
      </w:r>
      <w:r w:rsidRPr="00781D7A">
        <w:rPr>
          <w:rFonts w:ascii="Arial" w:hAnsi="Arial" w:cs="Arial"/>
          <w:b/>
          <w:bCs/>
          <w:sz w:val="26"/>
          <w:szCs w:val="26"/>
          <w:lang w:val="es-MX"/>
        </w:rPr>
        <w:t xml:space="preserve"> </w:t>
      </w:r>
      <w:r w:rsidR="0009537E">
        <w:rPr>
          <w:rFonts w:ascii="Arial" w:hAnsi="Arial" w:cs="Arial"/>
          <w:b/>
          <w:bCs/>
          <w:sz w:val="26"/>
          <w:szCs w:val="26"/>
          <w:lang w:val="es-MX"/>
        </w:rPr>
        <w:t>*********</w:t>
      </w:r>
      <w:r w:rsidR="00335965">
        <w:rPr>
          <w:rFonts w:ascii="Arial" w:hAnsi="Arial" w:cs="Arial"/>
          <w:b/>
          <w:bCs/>
          <w:sz w:val="26"/>
          <w:szCs w:val="26"/>
          <w:lang w:val="es-MX"/>
        </w:rPr>
        <w:t xml:space="preserve">, con número de expediente número </w:t>
      </w:r>
      <w:r w:rsidR="0009537E">
        <w:rPr>
          <w:rFonts w:ascii="Arial" w:hAnsi="Arial" w:cs="Arial"/>
          <w:b/>
          <w:bCs/>
          <w:sz w:val="26"/>
          <w:szCs w:val="26"/>
          <w:lang w:val="es-MX"/>
        </w:rPr>
        <w:t>*******</w:t>
      </w:r>
      <w:r w:rsidR="00943E1F">
        <w:rPr>
          <w:rFonts w:ascii="Arial" w:hAnsi="Arial" w:cs="Arial"/>
          <w:b/>
          <w:bCs/>
          <w:sz w:val="26"/>
          <w:szCs w:val="26"/>
          <w:lang w:val="es-MX"/>
        </w:rPr>
        <w:t>;</w:t>
      </w:r>
      <w:r w:rsidRPr="00781D7A">
        <w:rPr>
          <w:rFonts w:ascii="Arial" w:hAnsi="Arial" w:cs="Arial"/>
          <w:b/>
          <w:bCs/>
          <w:sz w:val="26"/>
          <w:szCs w:val="26"/>
          <w:lang w:val="es-MX"/>
        </w:rPr>
        <w:t xml:space="preserve"> </w:t>
      </w:r>
      <w:r w:rsidRPr="00781D7A">
        <w:rPr>
          <w:rFonts w:ascii="Arial" w:hAnsi="Arial" w:cs="Arial"/>
          <w:bCs/>
          <w:sz w:val="26"/>
          <w:szCs w:val="26"/>
          <w:lang w:val="es-MX"/>
        </w:rPr>
        <w:t>esto es así</w:t>
      </w:r>
      <w:r w:rsidR="00943E1F">
        <w:rPr>
          <w:rFonts w:ascii="Arial" w:hAnsi="Arial" w:cs="Arial"/>
          <w:bCs/>
          <w:sz w:val="26"/>
          <w:szCs w:val="26"/>
          <w:lang w:val="es-MX"/>
        </w:rPr>
        <w:t>, porque conforme 40</w:t>
      </w:r>
      <w:r w:rsidRPr="00781D7A">
        <w:rPr>
          <w:rFonts w:ascii="Arial" w:hAnsi="Arial" w:cs="Arial"/>
          <w:bCs/>
          <w:sz w:val="26"/>
          <w:szCs w:val="26"/>
          <w:lang w:val="es-MX"/>
        </w:rPr>
        <w:t xml:space="preserve"> fracción I</w:t>
      </w:r>
      <w:r w:rsidR="00943E1F">
        <w:rPr>
          <w:rFonts w:ascii="Arial" w:hAnsi="Arial" w:cs="Arial"/>
          <w:bCs/>
          <w:sz w:val="26"/>
          <w:szCs w:val="26"/>
          <w:lang w:val="es-MX"/>
        </w:rPr>
        <w:t>I</w:t>
      </w:r>
      <w:r w:rsidRPr="00781D7A">
        <w:rPr>
          <w:rFonts w:ascii="Arial" w:hAnsi="Arial" w:cs="Arial"/>
          <w:bCs/>
          <w:sz w:val="26"/>
          <w:szCs w:val="26"/>
          <w:lang w:val="es-MX"/>
        </w:rPr>
        <w:t xml:space="preserve"> de dicho reglamento, la autoridad competente para </w:t>
      </w:r>
      <w:r w:rsidR="004733C3">
        <w:rPr>
          <w:rFonts w:ascii="Arial" w:hAnsi="Arial" w:cs="Arial"/>
          <w:bCs/>
          <w:sz w:val="26"/>
          <w:szCs w:val="26"/>
          <w:lang w:val="es-MX"/>
        </w:rPr>
        <w:t>admitir</w:t>
      </w:r>
      <w:r w:rsidRPr="00781D7A">
        <w:rPr>
          <w:rFonts w:ascii="Arial" w:hAnsi="Arial" w:cs="Arial"/>
          <w:bCs/>
          <w:sz w:val="26"/>
          <w:szCs w:val="26"/>
          <w:lang w:val="es-MX"/>
        </w:rPr>
        <w:t xml:space="preserve"> dicho </w:t>
      </w:r>
      <w:r w:rsidR="004733C3">
        <w:rPr>
          <w:rFonts w:ascii="Arial" w:hAnsi="Arial" w:cs="Arial"/>
          <w:bCs/>
          <w:sz w:val="26"/>
          <w:szCs w:val="26"/>
          <w:lang w:val="es-MX"/>
        </w:rPr>
        <w:t xml:space="preserve">procedimiento administrativo </w:t>
      </w:r>
      <w:r w:rsidRPr="00781D7A">
        <w:rPr>
          <w:rFonts w:ascii="Arial" w:hAnsi="Arial" w:cs="Arial"/>
          <w:bCs/>
          <w:sz w:val="26"/>
          <w:szCs w:val="26"/>
          <w:lang w:val="es-MX"/>
        </w:rPr>
        <w:t xml:space="preserve">es el </w:t>
      </w:r>
      <w:r w:rsidR="00943E1F">
        <w:rPr>
          <w:rFonts w:ascii="Arial" w:hAnsi="Arial" w:cs="Arial"/>
          <w:bCs/>
          <w:sz w:val="26"/>
          <w:szCs w:val="26"/>
          <w:lang w:val="es-MX"/>
        </w:rPr>
        <w:t xml:space="preserve">Departamento de </w:t>
      </w:r>
      <w:r w:rsidR="004733C3">
        <w:rPr>
          <w:rFonts w:ascii="Arial" w:hAnsi="Arial" w:cs="Arial"/>
          <w:bCs/>
          <w:sz w:val="26"/>
          <w:szCs w:val="26"/>
          <w:lang w:val="es-MX"/>
        </w:rPr>
        <w:t>Responsabilidades Administrativas</w:t>
      </w:r>
      <w:r w:rsidRPr="00781D7A">
        <w:rPr>
          <w:rFonts w:ascii="Arial" w:hAnsi="Arial" w:cs="Arial"/>
          <w:bCs/>
          <w:sz w:val="26"/>
          <w:szCs w:val="26"/>
          <w:lang w:val="es-MX"/>
        </w:rPr>
        <w:t xml:space="preserve"> “A” </w:t>
      </w:r>
      <w:r w:rsidR="004733C3">
        <w:rPr>
          <w:rFonts w:ascii="Arial" w:hAnsi="Arial" w:cs="Arial"/>
          <w:bCs/>
          <w:sz w:val="26"/>
          <w:szCs w:val="26"/>
          <w:lang w:val="es-MX"/>
        </w:rPr>
        <w:t>y “B” quien tendrá al frente Jefes de Departamento</w:t>
      </w:r>
      <w:r w:rsidR="002863AA">
        <w:rPr>
          <w:rFonts w:ascii="Arial" w:hAnsi="Arial" w:cs="Arial"/>
          <w:bCs/>
          <w:sz w:val="26"/>
          <w:szCs w:val="26"/>
          <w:lang w:val="es-MX"/>
        </w:rPr>
        <w:t xml:space="preserve">, quienes también están facultados para desahogar las diligencias, actuaciones y audiencias </w:t>
      </w:r>
      <w:r w:rsidR="00EB5993">
        <w:rPr>
          <w:rFonts w:ascii="Arial" w:hAnsi="Arial" w:cs="Arial"/>
          <w:bCs/>
          <w:sz w:val="26"/>
          <w:szCs w:val="26"/>
          <w:lang w:val="es-MX"/>
        </w:rPr>
        <w:t>administrativas de los procedimientos administrativos, conforme a la fracción IV del artículo 40 citado</w:t>
      </w:r>
      <w:r w:rsidR="007667E2">
        <w:rPr>
          <w:rFonts w:ascii="Arial" w:hAnsi="Arial" w:cs="Arial"/>
          <w:bCs/>
          <w:sz w:val="26"/>
          <w:szCs w:val="26"/>
          <w:lang w:val="es-MX"/>
        </w:rPr>
        <w:t>.</w:t>
      </w:r>
    </w:p>
    <w:p w:rsidR="007667E2" w:rsidRDefault="00EB5993" w:rsidP="007667E2">
      <w:pPr>
        <w:spacing w:line="360" w:lineRule="auto"/>
        <w:ind w:right="69" w:firstLine="567"/>
        <w:jc w:val="both"/>
        <w:rPr>
          <w:rFonts w:ascii="Arial" w:hAnsi="Arial" w:cs="Arial"/>
          <w:sz w:val="26"/>
          <w:szCs w:val="26"/>
        </w:rPr>
      </w:pPr>
      <w:r>
        <w:rPr>
          <w:rFonts w:ascii="Arial" w:hAnsi="Arial" w:cs="Arial"/>
          <w:bCs/>
          <w:sz w:val="26"/>
          <w:szCs w:val="26"/>
          <w:lang w:val="es-MX"/>
        </w:rPr>
        <w:t xml:space="preserve"> </w:t>
      </w:r>
      <w:r w:rsidR="005623A5" w:rsidRPr="00B24D8F">
        <w:rPr>
          <w:rFonts w:ascii="Arial" w:hAnsi="Arial" w:cs="Arial"/>
          <w:sz w:val="26"/>
          <w:szCs w:val="26"/>
        </w:rPr>
        <w:t>Luego</w:t>
      </w:r>
      <w:r w:rsidR="00C9151F" w:rsidRPr="00781D7A">
        <w:rPr>
          <w:rFonts w:ascii="Arial" w:hAnsi="Arial" w:cs="Arial"/>
          <w:sz w:val="26"/>
          <w:szCs w:val="26"/>
        </w:rPr>
        <w:t xml:space="preserve">, </w:t>
      </w:r>
      <w:r w:rsidR="00C9151F" w:rsidRPr="005623A5">
        <w:rPr>
          <w:rFonts w:ascii="Arial" w:hAnsi="Arial" w:cs="Arial"/>
          <w:sz w:val="26"/>
          <w:szCs w:val="26"/>
        </w:rPr>
        <w:t xml:space="preserve">la fundamentación de su competencia para tramitar </w:t>
      </w:r>
      <w:r w:rsidR="005623A5" w:rsidRPr="005623A5">
        <w:rPr>
          <w:rFonts w:ascii="Arial" w:hAnsi="Arial" w:cs="Arial"/>
          <w:bCs/>
          <w:sz w:val="26"/>
          <w:szCs w:val="26"/>
          <w:lang w:val="es-MX"/>
        </w:rPr>
        <w:t xml:space="preserve">el procedimiento de responsabilidad administrativa disciplinaria, iniciado en contra </w:t>
      </w:r>
      <w:r w:rsidR="0009537E">
        <w:rPr>
          <w:rFonts w:ascii="Arial" w:hAnsi="Arial" w:cs="Arial"/>
          <w:bCs/>
          <w:sz w:val="26"/>
          <w:szCs w:val="26"/>
          <w:lang w:val="es-MX"/>
        </w:rPr>
        <w:t xml:space="preserve">de </w:t>
      </w:r>
      <w:r w:rsidR="0009537E" w:rsidRPr="0009537E">
        <w:rPr>
          <w:rFonts w:ascii="Arial" w:hAnsi="Arial" w:cs="Arial"/>
          <w:b/>
          <w:bCs/>
          <w:sz w:val="26"/>
          <w:szCs w:val="26"/>
          <w:lang w:val="es-MX"/>
        </w:rPr>
        <w:t>*********</w:t>
      </w:r>
      <w:r w:rsidR="005623A5" w:rsidRPr="0009537E">
        <w:rPr>
          <w:rFonts w:ascii="Arial" w:hAnsi="Arial" w:cs="Arial"/>
          <w:b/>
          <w:bCs/>
          <w:sz w:val="26"/>
          <w:szCs w:val="26"/>
          <w:lang w:val="es-MX"/>
        </w:rPr>
        <w:t>,</w:t>
      </w:r>
      <w:r w:rsidR="005623A5">
        <w:rPr>
          <w:rFonts w:ascii="Arial" w:hAnsi="Arial" w:cs="Arial"/>
          <w:b/>
          <w:bCs/>
          <w:sz w:val="26"/>
          <w:szCs w:val="26"/>
          <w:lang w:val="es-MX"/>
        </w:rPr>
        <w:t xml:space="preserve"> </w:t>
      </w:r>
      <w:r w:rsidR="00C9151F" w:rsidRPr="00781D7A">
        <w:rPr>
          <w:rFonts w:ascii="Arial" w:hAnsi="Arial" w:cs="Arial"/>
          <w:sz w:val="26"/>
          <w:szCs w:val="26"/>
        </w:rPr>
        <w:t>es indebida y por ende, como lo dijo la sala de origen, el inicio del procedimiento se encuentra viciado de origen al haber sido tramitado por una autoridad que no cuenta con facultades para ello, ya que la única autoridad facultada para llevar a cabo dichas diligencias de</w:t>
      </w:r>
      <w:r w:rsidR="005623A5">
        <w:rPr>
          <w:rFonts w:ascii="Arial" w:hAnsi="Arial" w:cs="Arial"/>
          <w:sz w:val="26"/>
          <w:szCs w:val="26"/>
        </w:rPr>
        <w:t xml:space="preserve"> </w:t>
      </w:r>
      <w:r w:rsidR="005623A5" w:rsidRPr="00781D7A">
        <w:rPr>
          <w:rFonts w:ascii="Arial" w:hAnsi="Arial" w:cs="Arial"/>
          <w:bCs/>
          <w:sz w:val="26"/>
          <w:szCs w:val="26"/>
          <w:lang w:val="es-MX"/>
        </w:rPr>
        <w:t xml:space="preserve">dicho </w:t>
      </w:r>
      <w:r w:rsidR="005623A5">
        <w:rPr>
          <w:rFonts w:ascii="Arial" w:hAnsi="Arial" w:cs="Arial"/>
          <w:bCs/>
          <w:sz w:val="26"/>
          <w:szCs w:val="26"/>
          <w:lang w:val="es-MX"/>
        </w:rPr>
        <w:t>procedimiento administrativo, son los Jefes d</w:t>
      </w:r>
      <w:r w:rsidR="005623A5" w:rsidRPr="00781D7A">
        <w:rPr>
          <w:rFonts w:ascii="Arial" w:hAnsi="Arial" w:cs="Arial"/>
          <w:bCs/>
          <w:sz w:val="26"/>
          <w:szCs w:val="26"/>
          <w:lang w:val="es-MX"/>
        </w:rPr>
        <w:t xml:space="preserve">el </w:t>
      </w:r>
      <w:r w:rsidR="005623A5">
        <w:rPr>
          <w:rFonts w:ascii="Arial" w:hAnsi="Arial" w:cs="Arial"/>
          <w:bCs/>
          <w:sz w:val="26"/>
          <w:szCs w:val="26"/>
          <w:lang w:val="es-MX"/>
        </w:rPr>
        <w:t>Departamento de Responsabilidades Administrativas</w:t>
      </w:r>
      <w:r w:rsidR="005623A5" w:rsidRPr="00781D7A">
        <w:rPr>
          <w:rFonts w:ascii="Arial" w:hAnsi="Arial" w:cs="Arial"/>
          <w:bCs/>
          <w:sz w:val="26"/>
          <w:szCs w:val="26"/>
          <w:lang w:val="es-MX"/>
        </w:rPr>
        <w:t xml:space="preserve"> “A” </w:t>
      </w:r>
      <w:r w:rsidR="005623A5">
        <w:rPr>
          <w:rFonts w:ascii="Arial" w:hAnsi="Arial" w:cs="Arial"/>
          <w:bCs/>
          <w:sz w:val="26"/>
          <w:szCs w:val="26"/>
          <w:lang w:val="es-MX"/>
        </w:rPr>
        <w:t>y “B”</w:t>
      </w:r>
      <w:r w:rsidR="00C9151F" w:rsidRPr="00781D7A">
        <w:rPr>
          <w:rFonts w:ascii="Arial" w:hAnsi="Arial" w:cs="Arial"/>
          <w:sz w:val="26"/>
          <w:szCs w:val="26"/>
        </w:rPr>
        <w:t xml:space="preserve">. En estas consideraciones son </w:t>
      </w:r>
      <w:r w:rsidR="00C9151F" w:rsidRPr="00781D7A">
        <w:rPr>
          <w:rFonts w:ascii="Arial" w:hAnsi="Arial" w:cs="Arial"/>
          <w:b/>
          <w:sz w:val="26"/>
          <w:szCs w:val="26"/>
        </w:rPr>
        <w:t xml:space="preserve">infundados </w:t>
      </w:r>
      <w:r w:rsidR="00C9151F" w:rsidRPr="00781D7A">
        <w:rPr>
          <w:rFonts w:ascii="Arial" w:hAnsi="Arial" w:cs="Arial"/>
          <w:sz w:val="26"/>
          <w:szCs w:val="26"/>
        </w:rPr>
        <w:t xml:space="preserve">los agravios que expone cuando afirma que su actuación está debidamente fundada y motivada y que por ello sí tiene competencia para el trámite del </w:t>
      </w:r>
      <w:r w:rsidR="00C9151F" w:rsidRPr="00161C11">
        <w:rPr>
          <w:rFonts w:ascii="Arial" w:hAnsi="Arial" w:cs="Arial"/>
          <w:sz w:val="26"/>
          <w:szCs w:val="26"/>
        </w:rPr>
        <w:t xml:space="preserve">expediente </w:t>
      </w:r>
      <w:bookmarkStart w:id="0" w:name="_GoBack"/>
      <w:r w:rsidR="0009537E" w:rsidRPr="0009537E">
        <w:rPr>
          <w:rFonts w:ascii="Arial" w:hAnsi="Arial" w:cs="Arial"/>
          <w:b/>
          <w:bCs/>
          <w:sz w:val="26"/>
          <w:szCs w:val="26"/>
          <w:lang w:val="es-MX"/>
        </w:rPr>
        <w:t>*********</w:t>
      </w:r>
      <w:r w:rsidR="00161C11">
        <w:rPr>
          <w:rFonts w:ascii="Arial" w:hAnsi="Arial" w:cs="Arial"/>
          <w:bCs/>
          <w:sz w:val="26"/>
          <w:szCs w:val="26"/>
          <w:lang w:val="es-MX"/>
        </w:rPr>
        <w:t xml:space="preserve"> </w:t>
      </w:r>
      <w:bookmarkEnd w:id="0"/>
      <w:r w:rsidR="00C9151F" w:rsidRPr="00161C11">
        <w:rPr>
          <w:rFonts w:ascii="Arial" w:hAnsi="Arial" w:cs="Arial"/>
          <w:sz w:val="26"/>
          <w:szCs w:val="26"/>
        </w:rPr>
        <w:t>de</w:t>
      </w:r>
      <w:r w:rsidR="00C9151F" w:rsidRPr="00781D7A">
        <w:rPr>
          <w:rFonts w:ascii="Arial" w:hAnsi="Arial" w:cs="Arial"/>
          <w:sz w:val="26"/>
          <w:szCs w:val="26"/>
        </w:rPr>
        <w:t xml:space="preserve"> referencia.</w:t>
      </w:r>
    </w:p>
    <w:p w:rsidR="007667E2" w:rsidRDefault="00D34875" w:rsidP="007667E2">
      <w:pPr>
        <w:spacing w:line="360" w:lineRule="auto"/>
        <w:ind w:right="69" w:firstLine="567"/>
        <w:jc w:val="both"/>
        <w:rPr>
          <w:rFonts w:ascii="Arial" w:eastAsia="Calibri" w:hAnsi="Arial" w:cs="Arial"/>
          <w:bCs/>
          <w:sz w:val="26"/>
          <w:szCs w:val="26"/>
        </w:rPr>
      </w:pPr>
      <w:r w:rsidRPr="00CC6E8F">
        <w:rPr>
          <w:rFonts w:ascii="Arial" w:eastAsia="Calibri" w:hAnsi="Arial" w:cs="Arial"/>
          <w:bCs/>
          <w:sz w:val="26"/>
          <w:szCs w:val="26"/>
        </w:rPr>
        <w:t>Por</w:t>
      </w:r>
      <w:r w:rsidRPr="00B062C1">
        <w:rPr>
          <w:rFonts w:ascii="Arial" w:eastAsia="Calibri" w:hAnsi="Arial" w:cs="Arial"/>
          <w:b/>
          <w:bCs/>
          <w:sz w:val="26"/>
          <w:szCs w:val="26"/>
        </w:rPr>
        <w:t xml:space="preserve"> </w:t>
      </w:r>
      <w:r w:rsidRPr="00F154C1">
        <w:rPr>
          <w:rFonts w:ascii="Arial" w:eastAsia="Calibri" w:hAnsi="Arial" w:cs="Arial"/>
          <w:bCs/>
          <w:sz w:val="26"/>
          <w:szCs w:val="26"/>
        </w:rPr>
        <w:t>último arguye,</w:t>
      </w:r>
      <w:r>
        <w:rPr>
          <w:rFonts w:ascii="Arial" w:eastAsia="Calibri" w:hAnsi="Arial" w:cs="Arial"/>
          <w:bCs/>
          <w:sz w:val="26"/>
          <w:szCs w:val="26"/>
        </w:rPr>
        <w:t xml:space="preserve"> que es incongruente y erróneo que la Primera Instancia se haya basado en </w:t>
      </w:r>
      <w:r w:rsidR="004744F0">
        <w:rPr>
          <w:rFonts w:ascii="Arial" w:eastAsia="Calibri" w:hAnsi="Arial" w:cs="Arial"/>
          <w:bCs/>
          <w:sz w:val="26"/>
          <w:szCs w:val="26"/>
        </w:rPr>
        <w:t xml:space="preserve">el artículo 177 de </w:t>
      </w:r>
      <w:r>
        <w:rPr>
          <w:rFonts w:ascii="Arial" w:eastAsia="Calibri" w:hAnsi="Arial" w:cs="Arial"/>
          <w:bCs/>
          <w:sz w:val="26"/>
          <w:szCs w:val="26"/>
        </w:rPr>
        <w:t>la Ley de Justicia Administrativa para el Estado de Oaxaca, ab</w:t>
      </w:r>
      <w:r w:rsidR="00B062C1">
        <w:rPr>
          <w:rFonts w:ascii="Arial" w:eastAsia="Calibri" w:hAnsi="Arial" w:cs="Arial"/>
          <w:bCs/>
          <w:sz w:val="26"/>
          <w:szCs w:val="26"/>
        </w:rPr>
        <w:t>r</w:t>
      </w:r>
      <w:r>
        <w:rPr>
          <w:rFonts w:ascii="Arial" w:eastAsia="Calibri" w:hAnsi="Arial" w:cs="Arial"/>
          <w:bCs/>
          <w:sz w:val="26"/>
          <w:szCs w:val="26"/>
        </w:rPr>
        <w:t>ogada el veinte de octubre de dos mil diecisiete, para emitir</w:t>
      </w:r>
      <w:r w:rsidR="00B062C1">
        <w:rPr>
          <w:rFonts w:ascii="Arial" w:eastAsia="Calibri" w:hAnsi="Arial" w:cs="Arial"/>
          <w:bCs/>
          <w:sz w:val="26"/>
          <w:szCs w:val="26"/>
        </w:rPr>
        <w:t xml:space="preserve"> su determinación respecto de la competencia de la autoridad demandada</w:t>
      </w:r>
      <w:r w:rsidR="00F154C1">
        <w:rPr>
          <w:rFonts w:ascii="Arial" w:eastAsia="Calibri" w:hAnsi="Arial" w:cs="Arial"/>
          <w:bCs/>
          <w:sz w:val="26"/>
          <w:szCs w:val="26"/>
        </w:rPr>
        <w:t xml:space="preserve">, por </w:t>
      </w:r>
      <w:r w:rsidR="004744F0">
        <w:rPr>
          <w:rFonts w:ascii="Arial" w:eastAsia="Calibri" w:hAnsi="Arial" w:cs="Arial"/>
          <w:bCs/>
          <w:sz w:val="26"/>
          <w:szCs w:val="26"/>
        </w:rPr>
        <w:t>ello</w:t>
      </w:r>
      <w:r w:rsidR="00F154C1">
        <w:rPr>
          <w:rFonts w:ascii="Arial" w:eastAsia="Calibri" w:hAnsi="Arial" w:cs="Arial"/>
          <w:bCs/>
          <w:sz w:val="26"/>
          <w:szCs w:val="26"/>
        </w:rPr>
        <w:t xml:space="preserve"> dice,</w:t>
      </w:r>
      <w:r w:rsidR="004744F0">
        <w:rPr>
          <w:rFonts w:ascii="Arial" w:eastAsia="Calibri" w:hAnsi="Arial" w:cs="Arial"/>
          <w:bCs/>
          <w:sz w:val="26"/>
          <w:szCs w:val="26"/>
        </w:rPr>
        <w:t xml:space="preserve"> </w:t>
      </w:r>
      <w:r w:rsidR="00F154C1">
        <w:rPr>
          <w:rFonts w:ascii="Arial" w:eastAsia="Calibri" w:hAnsi="Arial" w:cs="Arial"/>
          <w:bCs/>
          <w:sz w:val="26"/>
          <w:szCs w:val="26"/>
        </w:rPr>
        <w:t xml:space="preserve">la sentencia recurrida es </w:t>
      </w:r>
      <w:r w:rsidR="004744F0">
        <w:rPr>
          <w:rFonts w:ascii="Arial" w:eastAsia="Calibri" w:hAnsi="Arial" w:cs="Arial"/>
          <w:bCs/>
          <w:sz w:val="26"/>
          <w:szCs w:val="26"/>
        </w:rPr>
        <w:t xml:space="preserve"> violatoria de las garantías del debido proceso y legalidad, porque la Primera Instancia tramitó el juicio conforme a una Ley abrogada</w:t>
      </w:r>
      <w:r w:rsidR="003A7094">
        <w:rPr>
          <w:rFonts w:ascii="Arial" w:eastAsia="Calibri" w:hAnsi="Arial" w:cs="Arial"/>
          <w:bCs/>
          <w:sz w:val="26"/>
          <w:szCs w:val="26"/>
        </w:rPr>
        <w:t>.</w:t>
      </w:r>
    </w:p>
    <w:p w:rsidR="007667E2" w:rsidRDefault="003A7094" w:rsidP="007667E2">
      <w:pPr>
        <w:spacing w:line="360" w:lineRule="auto"/>
        <w:ind w:right="69" w:firstLine="567"/>
        <w:jc w:val="both"/>
        <w:rPr>
          <w:rFonts w:ascii="Arial" w:eastAsia="Calibri" w:hAnsi="Arial" w:cs="Arial"/>
          <w:bCs/>
          <w:sz w:val="26"/>
          <w:szCs w:val="26"/>
        </w:rPr>
      </w:pPr>
      <w:r w:rsidRPr="00F3702E">
        <w:rPr>
          <w:rFonts w:ascii="Arial" w:eastAsia="Calibri" w:hAnsi="Arial" w:cs="Arial"/>
          <w:bCs/>
          <w:sz w:val="26"/>
          <w:szCs w:val="26"/>
        </w:rPr>
        <w:t>Esta</w:t>
      </w:r>
      <w:r>
        <w:rPr>
          <w:rFonts w:ascii="Arial" w:eastAsia="Calibri" w:hAnsi="Arial" w:cs="Arial"/>
          <w:bCs/>
          <w:sz w:val="26"/>
          <w:szCs w:val="26"/>
        </w:rPr>
        <w:t xml:space="preserve"> parte de sus alegaciones </w:t>
      </w:r>
      <w:r w:rsidR="00F37F94">
        <w:rPr>
          <w:rFonts w:ascii="Arial" w:eastAsia="Calibri" w:hAnsi="Arial" w:cs="Arial"/>
          <w:bCs/>
          <w:sz w:val="26"/>
          <w:szCs w:val="26"/>
        </w:rPr>
        <w:t xml:space="preserve">son </w:t>
      </w:r>
      <w:r w:rsidR="00F37F94">
        <w:rPr>
          <w:rFonts w:ascii="Arial" w:eastAsia="Calibri" w:hAnsi="Arial" w:cs="Arial"/>
          <w:b/>
          <w:bCs/>
          <w:sz w:val="26"/>
          <w:szCs w:val="26"/>
        </w:rPr>
        <w:t xml:space="preserve">inoperantes </w:t>
      </w:r>
      <w:r w:rsidR="006375C6">
        <w:rPr>
          <w:rFonts w:ascii="Arial" w:eastAsia="Calibri" w:hAnsi="Arial" w:cs="Arial"/>
          <w:bCs/>
          <w:sz w:val="26"/>
          <w:szCs w:val="26"/>
        </w:rPr>
        <w:t>porque</w:t>
      </w:r>
      <w:r>
        <w:rPr>
          <w:rFonts w:ascii="Arial" w:eastAsia="Calibri" w:hAnsi="Arial" w:cs="Arial"/>
          <w:b/>
          <w:bCs/>
          <w:sz w:val="26"/>
          <w:szCs w:val="26"/>
        </w:rPr>
        <w:t xml:space="preserve"> </w:t>
      </w:r>
      <w:r>
        <w:rPr>
          <w:rFonts w:ascii="Arial" w:eastAsia="Calibri" w:hAnsi="Arial" w:cs="Arial"/>
          <w:bCs/>
          <w:sz w:val="26"/>
          <w:szCs w:val="26"/>
        </w:rPr>
        <w:t xml:space="preserve">si bien de la lectura a la sentencia </w:t>
      </w:r>
      <w:r w:rsidR="00D256B3">
        <w:rPr>
          <w:rFonts w:ascii="Arial" w:eastAsia="Calibri" w:hAnsi="Arial" w:cs="Arial"/>
          <w:bCs/>
          <w:sz w:val="26"/>
          <w:szCs w:val="26"/>
        </w:rPr>
        <w:t>recurrida</w:t>
      </w:r>
      <w:r>
        <w:rPr>
          <w:rFonts w:ascii="Arial" w:eastAsia="Calibri" w:hAnsi="Arial" w:cs="Arial"/>
          <w:bCs/>
          <w:sz w:val="26"/>
          <w:szCs w:val="26"/>
        </w:rPr>
        <w:t xml:space="preserve">, se advierte que el </w:t>
      </w:r>
      <w:r w:rsidR="00D256B3">
        <w:rPr>
          <w:rFonts w:ascii="Arial" w:eastAsia="Calibri" w:hAnsi="Arial" w:cs="Arial"/>
          <w:bCs/>
          <w:sz w:val="26"/>
          <w:szCs w:val="26"/>
        </w:rPr>
        <w:t>Magistrado de la Quinta Sala Unitaria de Primera Instancia,</w:t>
      </w:r>
      <w:r>
        <w:rPr>
          <w:rFonts w:ascii="Arial" w:eastAsia="Calibri" w:hAnsi="Arial" w:cs="Arial"/>
          <w:bCs/>
          <w:sz w:val="26"/>
          <w:szCs w:val="26"/>
        </w:rPr>
        <w:t xml:space="preserve"> </w:t>
      </w:r>
      <w:r w:rsidR="00A83333">
        <w:rPr>
          <w:rFonts w:ascii="Arial" w:eastAsia="Calibri" w:hAnsi="Arial" w:cs="Arial"/>
          <w:bCs/>
          <w:sz w:val="26"/>
          <w:szCs w:val="26"/>
        </w:rPr>
        <w:t xml:space="preserve">en el considerando cuarto, </w:t>
      </w:r>
      <w:r>
        <w:rPr>
          <w:rFonts w:ascii="Arial" w:eastAsia="Calibri" w:hAnsi="Arial" w:cs="Arial"/>
          <w:bCs/>
          <w:sz w:val="26"/>
          <w:szCs w:val="26"/>
        </w:rPr>
        <w:t>párrafo diez, citó de manera equivocada el artículo 177 de la Ley de Justicia Administrativa para el Estado de Oaxaca</w:t>
      </w:r>
      <w:r w:rsidR="00AE7265">
        <w:rPr>
          <w:rFonts w:ascii="Arial" w:eastAsia="Calibri" w:hAnsi="Arial" w:cs="Arial"/>
          <w:bCs/>
          <w:sz w:val="26"/>
          <w:szCs w:val="26"/>
        </w:rPr>
        <w:t xml:space="preserve">, </w:t>
      </w:r>
      <w:r w:rsidR="00D256B3">
        <w:rPr>
          <w:rFonts w:ascii="Arial" w:eastAsia="Calibri" w:hAnsi="Arial" w:cs="Arial"/>
          <w:bCs/>
          <w:sz w:val="26"/>
          <w:szCs w:val="26"/>
        </w:rPr>
        <w:t xml:space="preserve">siendo que </w:t>
      </w:r>
      <w:r w:rsidR="006375C6">
        <w:rPr>
          <w:rFonts w:ascii="Arial" w:eastAsia="Calibri" w:hAnsi="Arial" w:cs="Arial"/>
          <w:bCs/>
          <w:sz w:val="26"/>
          <w:szCs w:val="26"/>
        </w:rPr>
        <w:t xml:space="preserve">dicho </w:t>
      </w:r>
      <w:r w:rsidR="00AE7265">
        <w:rPr>
          <w:rFonts w:ascii="Arial" w:eastAsia="Calibri" w:hAnsi="Arial" w:cs="Arial"/>
          <w:bCs/>
          <w:sz w:val="26"/>
          <w:szCs w:val="26"/>
        </w:rPr>
        <w:t>ordenamiento resulta inaplicable al ya no estar vigente en la fecha en que se  dio inicio del juicio natural</w:t>
      </w:r>
      <w:r w:rsidR="00D256B3">
        <w:rPr>
          <w:rFonts w:ascii="Arial" w:eastAsia="Calibri" w:hAnsi="Arial" w:cs="Arial"/>
          <w:bCs/>
          <w:sz w:val="26"/>
          <w:szCs w:val="26"/>
        </w:rPr>
        <w:t xml:space="preserve"> (</w:t>
      </w:r>
      <w:r w:rsidR="00AE7265">
        <w:rPr>
          <w:rFonts w:ascii="Arial" w:eastAsia="Calibri" w:hAnsi="Arial" w:cs="Arial"/>
          <w:bCs/>
          <w:sz w:val="26"/>
          <w:szCs w:val="26"/>
        </w:rPr>
        <w:t>abril de dos mil dieciocho</w:t>
      </w:r>
      <w:r w:rsidR="00D256B3">
        <w:rPr>
          <w:rFonts w:ascii="Arial" w:eastAsia="Calibri" w:hAnsi="Arial" w:cs="Arial"/>
          <w:bCs/>
          <w:sz w:val="26"/>
          <w:szCs w:val="26"/>
        </w:rPr>
        <w:t>)</w:t>
      </w:r>
      <w:r w:rsidR="00AE7265">
        <w:rPr>
          <w:rFonts w:ascii="Arial" w:eastAsia="Calibri" w:hAnsi="Arial" w:cs="Arial"/>
          <w:bCs/>
          <w:sz w:val="26"/>
          <w:szCs w:val="26"/>
        </w:rPr>
        <w:t xml:space="preserve">, por haber </w:t>
      </w:r>
      <w:r w:rsidR="00AE7265">
        <w:rPr>
          <w:rFonts w:ascii="Arial" w:eastAsia="Calibri" w:hAnsi="Arial" w:cs="Arial"/>
          <w:bCs/>
          <w:sz w:val="26"/>
          <w:szCs w:val="26"/>
        </w:rPr>
        <w:lastRenderedPageBreak/>
        <w:t>sido abrogada con fecha veinte de octubre de dos mil diecisiete, como lo sostuvo el artículo tercero transitorio de la Ley de Procedimiento y Justicia Administrativa para el Estado de Oaxaca</w:t>
      </w:r>
      <w:r w:rsidR="00F37F94">
        <w:rPr>
          <w:rFonts w:ascii="Arial" w:eastAsia="Calibri" w:hAnsi="Arial" w:cs="Arial"/>
          <w:bCs/>
          <w:sz w:val="26"/>
          <w:szCs w:val="26"/>
        </w:rPr>
        <w:t xml:space="preserve">; lo cierto es que en </w:t>
      </w:r>
      <w:r w:rsidR="00D256B3">
        <w:rPr>
          <w:rFonts w:ascii="Arial" w:eastAsia="Calibri" w:hAnsi="Arial" w:cs="Arial"/>
          <w:bCs/>
          <w:sz w:val="26"/>
          <w:szCs w:val="26"/>
        </w:rPr>
        <w:t xml:space="preserve">el considerando PRIMERO de la sentencia alzada, el Magistrado de Primera Instancia, fundó su competencia para emitir dicho fallo en los artículo 146 y 147 de la Ley de Procedimiento y Justicia Administrativa para el Estado; asimismo, </w:t>
      </w:r>
      <w:r>
        <w:rPr>
          <w:rFonts w:ascii="Arial" w:eastAsia="Calibri" w:hAnsi="Arial" w:cs="Arial"/>
          <w:bCs/>
          <w:sz w:val="26"/>
          <w:szCs w:val="26"/>
        </w:rPr>
        <w:t>en el párrafo correspondiente a la fundamentación</w:t>
      </w:r>
      <w:r w:rsidR="003F74A2">
        <w:rPr>
          <w:rFonts w:ascii="Arial" w:eastAsia="Calibri" w:hAnsi="Arial" w:cs="Arial"/>
          <w:bCs/>
          <w:sz w:val="26"/>
          <w:szCs w:val="26"/>
        </w:rPr>
        <w:t xml:space="preserve"> final del </w:t>
      </w:r>
      <w:r w:rsidR="00D00BF9">
        <w:rPr>
          <w:rFonts w:ascii="Arial" w:eastAsia="Calibri" w:hAnsi="Arial" w:cs="Arial"/>
          <w:bCs/>
          <w:sz w:val="26"/>
          <w:szCs w:val="26"/>
        </w:rPr>
        <w:t xml:space="preserve">A quo </w:t>
      </w:r>
      <w:r w:rsidR="003F74A2">
        <w:rPr>
          <w:rFonts w:ascii="Arial" w:eastAsia="Calibri" w:hAnsi="Arial" w:cs="Arial"/>
          <w:bCs/>
          <w:sz w:val="26"/>
          <w:szCs w:val="26"/>
        </w:rPr>
        <w:t xml:space="preserve">para resolver el juicio, se advierte la cita </w:t>
      </w:r>
      <w:r w:rsidR="00D00BF9">
        <w:rPr>
          <w:rFonts w:ascii="Arial" w:eastAsia="Calibri" w:hAnsi="Arial" w:cs="Arial"/>
          <w:bCs/>
          <w:sz w:val="26"/>
          <w:szCs w:val="26"/>
        </w:rPr>
        <w:t>de los artículos 207 fracciones I, II y III, 208 fracción II, VI de</w:t>
      </w:r>
      <w:r w:rsidR="00933C2D">
        <w:rPr>
          <w:rFonts w:ascii="Arial" w:eastAsia="Calibri" w:hAnsi="Arial" w:cs="Arial"/>
          <w:bCs/>
          <w:sz w:val="26"/>
          <w:szCs w:val="26"/>
        </w:rPr>
        <w:t xml:space="preserve"> la referida ley; por tanto, se subsana el error en que incurrió el A quo, al haber citado el artículo 177 de la Ley de Justicia Administrativa para el Estado de Oaxaca. </w:t>
      </w:r>
    </w:p>
    <w:p w:rsidR="007667E2" w:rsidRDefault="00B90565" w:rsidP="007667E2">
      <w:pPr>
        <w:spacing w:line="360" w:lineRule="auto"/>
        <w:ind w:right="69" w:firstLine="567"/>
        <w:jc w:val="both"/>
        <w:rPr>
          <w:rFonts w:ascii="Arial" w:hAnsi="Arial" w:cs="Arial"/>
          <w:sz w:val="26"/>
          <w:szCs w:val="26"/>
        </w:rPr>
      </w:pPr>
      <w:r w:rsidRPr="00CC6E8F">
        <w:rPr>
          <w:rFonts w:ascii="Arial" w:hAnsi="Arial" w:cs="Arial"/>
          <w:sz w:val="26"/>
          <w:szCs w:val="26"/>
        </w:rPr>
        <w:t>En</w:t>
      </w:r>
      <w:r>
        <w:rPr>
          <w:rFonts w:ascii="Arial" w:hAnsi="Arial" w:cs="Arial"/>
          <w:sz w:val="26"/>
          <w:szCs w:val="26"/>
        </w:rPr>
        <w:t xml:space="preserve"> mérito de lo anterior,</w:t>
      </w:r>
      <w:r w:rsidR="00E60F90">
        <w:rPr>
          <w:rFonts w:ascii="Arial" w:hAnsi="Arial" w:cs="Arial"/>
          <w:sz w:val="26"/>
          <w:szCs w:val="26"/>
        </w:rPr>
        <w:t xml:space="preserve"> </w:t>
      </w:r>
      <w:r w:rsidR="00E60F90" w:rsidRPr="00AA6FE8">
        <w:rPr>
          <w:rFonts w:ascii="Arial" w:hAnsi="Arial" w:cs="Arial"/>
          <w:b/>
          <w:sz w:val="26"/>
          <w:szCs w:val="26"/>
        </w:rPr>
        <w:t xml:space="preserve"> </w:t>
      </w:r>
      <w:r w:rsidR="00E60F90" w:rsidRPr="00AA6FE8">
        <w:rPr>
          <w:rFonts w:ascii="Arial" w:hAnsi="Arial" w:cs="Arial"/>
          <w:sz w:val="26"/>
          <w:szCs w:val="26"/>
        </w:rPr>
        <w:t xml:space="preserve">se </w:t>
      </w:r>
      <w:r w:rsidR="00E60F90">
        <w:rPr>
          <w:rFonts w:ascii="Arial" w:hAnsi="Arial" w:cs="Arial"/>
          <w:b/>
          <w:sz w:val="26"/>
          <w:szCs w:val="26"/>
        </w:rPr>
        <w:t xml:space="preserve">CONFIRMA </w:t>
      </w:r>
      <w:r w:rsidR="00E60F90" w:rsidRPr="00AA6FE8">
        <w:rPr>
          <w:rFonts w:ascii="Arial" w:hAnsi="Arial" w:cs="Arial"/>
          <w:sz w:val="26"/>
          <w:szCs w:val="26"/>
        </w:rPr>
        <w:t xml:space="preserve">la </w:t>
      </w:r>
      <w:r w:rsidR="00E60F90">
        <w:rPr>
          <w:rFonts w:ascii="Arial" w:hAnsi="Arial" w:cs="Arial"/>
          <w:sz w:val="26"/>
          <w:szCs w:val="26"/>
        </w:rPr>
        <w:t>sentencia</w:t>
      </w:r>
      <w:r w:rsidR="00E60F90" w:rsidRPr="00AA6FE8">
        <w:rPr>
          <w:rFonts w:ascii="Arial" w:hAnsi="Arial" w:cs="Arial"/>
          <w:sz w:val="26"/>
          <w:szCs w:val="26"/>
        </w:rPr>
        <w:t xml:space="preserve"> de </w:t>
      </w:r>
      <w:r w:rsidR="00E60F90">
        <w:rPr>
          <w:rFonts w:ascii="Arial" w:hAnsi="Arial" w:cs="Arial"/>
          <w:sz w:val="26"/>
          <w:szCs w:val="26"/>
        </w:rPr>
        <w:t xml:space="preserve">veintiocho de septiembre de dos mil dieciocho; en consecuencia, </w:t>
      </w:r>
      <w:r>
        <w:rPr>
          <w:rFonts w:ascii="Arial" w:hAnsi="Arial" w:cs="Arial"/>
          <w:sz w:val="26"/>
          <w:szCs w:val="26"/>
        </w:rPr>
        <w:t>co</w:t>
      </w:r>
      <w:r w:rsidR="003F74A2">
        <w:rPr>
          <w:rFonts w:ascii="Arial" w:hAnsi="Arial" w:cs="Arial"/>
          <w:sz w:val="26"/>
          <w:szCs w:val="26"/>
        </w:rPr>
        <w:t>n fundamento en los artículos 23</w:t>
      </w:r>
      <w:r>
        <w:rPr>
          <w:rFonts w:ascii="Arial" w:hAnsi="Arial" w:cs="Arial"/>
          <w:sz w:val="26"/>
          <w:szCs w:val="26"/>
        </w:rPr>
        <w:t>7 y 2</w:t>
      </w:r>
      <w:r w:rsidR="003F74A2">
        <w:rPr>
          <w:rFonts w:ascii="Arial" w:hAnsi="Arial" w:cs="Arial"/>
          <w:sz w:val="26"/>
          <w:szCs w:val="26"/>
        </w:rPr>
        <w:t>3</w:t>
      </w:r>
      <w:r>
        <w:rPr>
          <w:rFonts w:ascii="Arial" w:hAnsi="Arial" w:cs="Arial"/>
          <w:sz w:val="26"/>
          <w:szCs w:val="26"/>
        </w:rPr>
        <w:t xml:space="preserve">8 de la Ley de </w:t>
      </w:r>
      <w:r w:rsidR="003F74A2">
        <w:rPr>
          <w:rFonts w:ascii="Arial" w:hAnsi="Arial" w:cs="Arial"/>
          <w:sz w:val="26"/>
          <w:szCs w:val="26"/>
        </w:rPr>
        <w:t xml:space="preserve">Procedimiento y </w:t>
      </w:r>
      <w:r>
        <w:rPr>
          <w:rFonts w:ascii="Arial" w:hAnsi="Arial" w:cs="Arial"/>
          <w:sz w:val="26"/>
          <w:szCs w:val="26"/>
        </w:rPr>
        <w:t>Justicia Administrativa para el Estado</w:t>
      </w:r>
      <w:r w:rsidR="003F74A2">
        <w:rPr>
          <w:rFonts w:ascii="Arial" w:hAnsi="Arial" w:cs="Arial"/>
          <w:sz w:val="26"/>
          <w:szCs w:val="26"/>
        </w:rPr>
        <w:t xml:space="preserve"> de Oaxaca</w:t>
      </w:r>
      <w:r>
        <w:rPr>
          <w:rFonts w:ascii="Arial" w:hAnsi="Arial" w:cs="Arial"/>
          <w:sz w:val="26"/>
          <w:szCs w:val="26"/>
        </w:rPr>
        <w:t>, se:</w:t>
      </w:r>
    </w:p>
    <w:p w:rsidR="00746651" w:rsidRDefault="00B90565" w:rsidP="00746651">
      <w:pPr>
        <w:spacing w:line="360" w:lineRule="auto"/>
        <w:ind w:right="69" w:firstLine="567"/>
        <w:jc w:val="center"/>
        <w:rPr>
          <w:rFonts w:ascii="Arial" w:hAnsi="Arial" w:cs="Arial"/>
          <w:b/>
          <w:sz w:val="26"/>
          <w:szCs w:val="26"/>
        </w:rPr>
      </w:pPr>
      <w:r>
        <w:rPr>
          <w:rFonts w:ascii="Arial" w:hAnsi="Arial" w:cs="Arial"/>
          <w:b/>
          <w:sz w:val="26"/>
          <w:szCs w:val="26"/>
        </w:rPr>
        <w:t>R E S U E L V E</w:t>
      </w:r>
      <w:r w:rsidR="00FB14A7">
        <w:rPr>
          <w:rFonts w:ascii="Arial" w:hAnsi="Arial" w:cs="Arial"/>
          <w:b/>
          <w:sz w:val="26"/>
          <w:szCs w:val="26"/>
        </w:rPr>
        <w:t>:</w:t>
      </w:r>
    </w:p>
    <w:p w:rsidR="007667E2" w:rsidRDefault="00B90565" w:rsidP="007667E2">
      <w:pPr>
        <w:spacing w:line="360" w:lineRule="auto"/>
        <w:ind w:right="6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sidR="007667E2">
        <w:rPr>
          <w:rFonts w:ascii="Arial" w:hAnsi="Arial" w:cs="Arial"/>
          <w:sz w:val="26"/>
          <w:szCs w:val="26"/>
        </w:rPr>
        <w:t>.</w:t>
      </w:r>
    </w:p>
    <w:p w:rsidR="007667E2" w:rsidRDefault="00B90565" w:rsidP="007667E2">
      <w:pPr>
        <w:spacing w:line="360" w:lineRule="auto"/>
        <w:ind w:right="69" w:firstLine="567"/>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3F74A2">
        <w:rPr>
          <w:rFonts w:ascii="Arial" w:hAnsi="Arial" w:cs="Arial"/>
          <w:sz w:val="26"/>
          <w:szCs w:val="26"/>
        </w:rPr>
        <w:t xml:space="preserve">Quinta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cuaderno de revisión como concluido.</w:t>
      </w:r>
    </w:p>
    <w:p w:rsidR="00CC6E8F" w:rsidRDefault="00CF5EDE" w:rsidP="00CF5EDE">
      <w:pPr>
        <w:spacing w:line="360" w:lineRule="auto"/>
        <w:ind w:left="1" w:hanging="3"/>
        <w:jc w:val="both"/>
        <w:rPr>
          <w:rFonts w:ascii="Arial" w:eastAsia="Times New Roman" w:hAnsi="Arial" w:cs="Arial"/>
          <w:sz w:val="26"/>
          <w:szCs w:val="26"/>
          <w:lang w:val="es-ES_tradnl" w:eastAsia="es-ES"/>
        </w:rPr>
      </w:pPr>
      <w:r>
        <w:rPr>
          <w:rFonts w:ascii="Arial" w:eastAsia="Times New Roman" w:hAnsi="Arial" w:cs="Arial"/>
          <w:sz w:val="26"/>
          <w:szCs w:val="26"/>
          <w:lang w:val="es-ES_tradnl" w:eastAsia="es-ES"/>
        </w:rPr>
        <w:t xml:space="preserve">         </w:t>
      </w:r>
      <w:r w:rsidR="00CC6E8F" w:rsidRPr="00CC6E8F">
        <w:rPr>
          <w:rFonts w:ascii="Arial" w:eastAsia="Times New Roman" w:hAnsi="Arial" w:cs="Arial"/>
          <w:sz w:val="26"/>
          <w:szCs w:val="26"/>
          <w:lang w:val="es-ES_tradnl" w:eastAsia="es-ES"/>
        </w:rPr>
        <w:t>Por unanimidad de votos, lo resolvieron y firmaron los Magistrados María Elena Villa de Jarquín, Presidenta, Magistrados Manuel Velasco Alcántara</w:t>
      </w:r>
      <w:r w:rsidR="00CC6E8F">
        <w:rPr>
          <w:rFonts w:ascii="Arial" w:eastAsia="Times New Roman" w:hAnsi="Arial" w:cs="Arial"/>
          <w:sz w:val="26"/>
          <w:szCs w:val="26"/>
          <w:lang w:val="es-ES_tradnl" w:eastAsia="es-ES"/>
        </w:rPr>
        <w:t xml:space="preserve">, </w:t>
      </w:r>
      <w:r w:rsidR="00CC6E8F" w:rsidRPr="00CC6E8F">
        <w:rPr>
          <w:rFonts w:ascii="Arial" w:eastAsia="Times New Roman" w:hAnsi="Arial" w:cs="Arial"/>
          <w:sz w:val="26"/>
          <w:szCs w:val="26"/>
          <w:lang w:val="es-ES_tradnl" w:eastAsia="es-ES"/>
        </w:rPr>
        <w:t>Abraham Santiago Soriano</w:t>
      </w:r>
      <w:r w:rsidR="00CC6E8F">
        <w:rPr>
          <w:rFonts w:ascii="Arial" w:eastAsia="Times New Roman" w:hAnsi="Arial" w:cs="Arial"/>
          <w:sz w:val="26"/>
          <w:szCs w:val="26"/>
          <w:lang w:val="es-ES_tradnl" w:eastAsia="es-ES"/>
        </w:rPr>
        <w:t>,</w:t>
      </w:r>
      <w:r w:rsidR="00CC6E8F" w:rsidRPr="00CC6E8F">
        <w:rPr>
          <w:rFonts w:ascii="Arial" w:eastAsia="Times New Roman" w:hAnsi="Arial" w:cs="Arial"/>
          <w:sz w:val="26"/>
          <w:szCs w:val="26"/>
          <w:lang w:val="es-ES_tradnl" w:eastAsia="es-ES"/>
        </w:rPr>
        <w:t xml:space="preserve"> Adrián Quiroga Avendaño; con Excusa aprobada del Magistrado </w:t>
      </w:r>
      <w:r w:rsidR="00CC6E8F">
        <w:rPr>
          <w:rFonts w:ascii="Arial" w:eastAsia="Times New Roman" w:hAnsi="Arial" w:cs="Arial"/>
          <w:sz w:val="26"/>
          <w:szCs w:val="26"/>
          <w:lang w:val="es-ES_tradnl" w:eastAsia="es-ES"/>
        </w:rPr>
        <w:t>Raúl Palomares Palomino</w:t>
      </w:r>
      <w:r w:rsidR="00CC6E8F" w:rsidRPr="00CC6E8F">
        <w:rPr>
          <w:rFonts w:ascii="Arial" w:eastAsia="Times New Roman" w:hAnsi="Arial" w:cs="Arial"/>
          <w:sz w:val="26"/>
          <w:szCs w:val="26"/>
          <w:lang w:val="es-ES_tradnl" w:eastAsia="es-ES"/>
        </w:rPr>
        <w:t xml:space="preserve">, para conocer, discutir y resolver en la presente Resolución; quienes actúan </w:t>
      </w:r>
    </w:p>
    <w:p w:rsidR="00CC6E8F" w:rsidRDefault="00CC6E8F" w:rsidP="00CC6E8F">
      <w:pPr>
        <w:spacing w:after="0" w:line="240" w:lineRule="auto"/>
        <w:ind w:left="1" w:hanging="3"/>
        <w:jc w:val="center"/>
        <w:rPr>
          <w:rFonts w:ascii="Arial" w:hAnsi="Arial" w:cs="Arial"/>
          <w:sz w:val="26"/>
          <w:szCs w:val="26"/>
        </w:rPr>
      </w:pPr>
    </w:p>
    <w:p w:rsidR="007667E2" w:rsidRDefault="00CC6E8F" w:rsidP="007667E2">
      <w:pPr>
        <w:spacing w:line="360" w:lineRule="auto"/>
        <w:ind w:left="1" w:hanging="3"/>
        <w:rPr>
          <w:rFonts w:ascii="Arial" w:hAnsi="Arial" w:cs="Arial"/>
          <w:sz w:val="26"/>
          <w:szCs w:val="26"/>
        </w:rPr>
      </w:pPr>
      <w:r w:rsidRPr="00CC6E8F">
        <w:rPr>
          <w:rFonts w:ascii="Arial" w:eastAsia="Times New Roman" w:hAnsi="Arial" w:cs="Arial"/>
          <w:sz w:val="26"/>
          <w:szCs w:val="26"/>
          <w:lang w:val="es-ES_tradnl" w:eastAsia="es-ES"/>
        </w:rPr>
        <w:t>con la Licenciada Felicitas Díaz Vázquez, Secretaria General de Acuerdos de este Tribunal, que autoriza y da fe.</w:t>
      </w:r>
    </w:p>
    <w:p w:rsidR="007667E2" w:rsidRDefault="007667E2" w:rsidP="007667E2">
      <w:pPr>
        <w:spacing w:line="360" w:lineRule="auto"/>
        <w:ind w:left="1" w:hanging="3"/>
        <w:rPr>
          <w:rFonts w:ascii="Arial" w:hAnsi="Arial" w:cs="Arial"/>
          <w:sz w:val="26"/>
          <w:szCs w:val="26"/>
        </w:rPr>
      </w:pPr>
    </w:p>
    <w:p w:rsidR="007667E2" w:rsidRDefault="007667E2" w:rsidP="007667E2">
      <w:pPr>
        <w:spacing w:line="360" w:lineRule="auto"/>
        <w:ind w:left="1" w:hanging="3"/>
        <w:rPr>
          <w:rFonts w:ascii="Arial" w:hAnsi="Arial" w:cs="Arial"/>
          <w:sz w:val="26"/>
          <w:szCs w:val="26"/>
        </w:rPr>
      </w:pPr>
    </w:p>
    <w:p w:rsidR="00CC6E8F" w:rsidRDefault="00CC6E8F" w:rsidP="007667E2">
      <w:pPr>
        <w:spacing w:line="360" w:lineRule="auto"/>
        <w:ind w:left="1" w:hanging="3"/>
        <w:rPr>
          <w:rFonts w:ascii="Arial" w:hAnsi="Arial" w:cs="Arial"/>
          <w:sz w:val="26"/>
          <w:szCs w:val="26"/>
        </w:rPr>
      </w:pPr>
    </w:p>
    <w:p w:rsidR="007667E2" w:rsidRDefault="007667E2" w:rsidP="007667E2">
      <w:pPr>
        <w:spacing w:after="0" w:line="240" w:lineRule="auto"/>
        <w:ind w:left="1" w:hanging="3"/>
        <w:jc w:val="center"/>
        <w:rPr>
          <w:rFonts w:ascii="Arial" w:hAnsi="Arial" w:cs="Arial"/>
          <w:sz w:val="26"/>
          <w:szCs w:val="26"/>
        </w:rPr>
      </w:pPr>
      <w:r>
        <w:rPr>
          <w:rFonts w:ascii="Arial" w:hAnsi="Arial" w:cs="Arial"/>
          <w:sz w:val="26"/>
          <w:szCs w:val="26"/>
        </w:rPr>
        <w:lastRenderedPageBreak/>
        <w:t>MAGISTRADA MARÍA ELENA VILLA DE JARQUÍN</w:t>
      </w:r>
    </w:p>
    <w:p w:rsidR="007667E2" w:rsidRDefault="007667E2" w:rsidP="007667E2">
      <w:pPr>
        <w:spacing w:after="0" w:line="240" w:lineRule="auto"/>
        <w:ind w:left="1" w:hanging="3"/>
        <w:jc w:val="center"/>
        <w:rPr>
          <w:rFonts w:ascii="Arial" w:hAnsi="Arial" w:cs="Arial"/>
          <w:sz w:val="26"/>
          <w:szCs w:val="26"/>
        </w:rPr>
      </w:pPr>
      <w:r>
        <w:rPr>
          <w:rFonts w:ascii="Arial" w:hAnsi="Arial" w:cs="Arial"/>
          <w:sz w:val="26"/>
          <w:szCs w:val="26"/>
        </w:rPr>
        <w:t>PRESIDENTA</w:t>
      </w:r>
    </w:p>
    <w:p w:rsidR="007667E2" w:rsidRDefault="007667E2" w:rsidP="007667E2">
      <w:pPr>
        <w:spacing w:after="0" w:line="240" w:lineRule="auto"/>
        <w:ind w:left="1" w:hanging="3"/>
        <w:jc w:val="center"/>
        <w:rPr>
          <w:rFonts w:ascii="Arial" w:hAnsi="Arial" w:cs="Arial"/>
          <w:sz w:val="26"/>
          <w:szCs w:val="26"/>
        </w:rPr>
      </w:pPr>
    </w:p>
    <w:p w:rsidR="007667E2" w:rsidRDefault="007667E2" w:rsidP="007667E2">
      <w:pPr>
        <w:spacing w:after="0" w:line="240" w:lineRule="auto"/>
        <w:ind w:left="1" w:hanging="3"/>
        <w:jc w:val="center"/>
        <w:rPr>
          <w:rFonts w:ascii="Arial" w:hAnsi="Arial" w:cs="Arial"/>
          <w:sz w:val="26"/>
          <w:szCs w:val="26"/>
        </w:rPr>
      </w:pPr>
      <w:r>
        <w:rPr>
          <w:rFonts w:ascii="Arial" w:hAnsi="Arial" w:cs="Arial"/>
          <w:sz w:val="26"/>
          <w:szCs w:val="26"/>
        </w:rPr>
        <w:t xml:space="preserve"> </w:t>
      </w:r>
    </w:p>
    <w:p w:rsidR="007667E2" w:rsidRDefault="007667E2" w:rsidP="007667E2">
      <w:pPr>
        <w:spacing w:after="0" w:line="240" w:lineRule="auto"/>
        <w:ind w:left="1" w:hanging="3"/>
        <w:jc w:val="center"/>
        <w:rPr>
          <w:rFonts w:ascii="Arial" w:hAnsi="Arial" w:cs="Arial"/>
          <w:sz w:val="26"/>
          <w:szCs w:val="26"/>
        </w:rPr>
      </w:pPr>
    </w:p>
    <w:p w:rsidR="007667E2" w:rsidRDefault="007667E2" w:rsidP="007667E2">
      <w:pPr>
        <w:spacing w:after="0" w:line="240" w:lineRule="auto"/>
        <w:ind w:left="1" w:hanging="3"/>
        <w:jc w:val="center"/>
        <w:rPr>
          <w:rFonts w:ascii="Arial" w:hAnsi="Arial" w:cs="Arial"/>
          <w:sz w:val="26"/>
          <w:szCs w:val="26"/>
        </w:rPr>
      </w:pPr>
    </w:p>
    <w:p w:rsidR="007667E2" w:rsidRDefault="007667E2" w:rsidP="007667E2">
      <w:pPr>
        <w:spacing w:after="0" w:line="240" w:lineRule="auto"/>
        <w:ind w:left="1" w:hanging="3"/>
        <w:jc w:val="center"/>
        <w:rPr>
          <w:rFonts w:ascii="Arial" w:hAnsi="Arial" w:cs="Arial"/>
          <w:sz w:val="26"/>
          <w:szCs w:val="26"/>
        </w:rPr>
      </w:pPr>
    </w:p>
    <w:p w:rsidR="00CC6E8F" w:rsidRDefault="00CC6E8F" w:rsidP="007667E2">
      <w:pPr>
        <w:spacing w:after="0" w:line="240" w:lineRule="auto"/>
        <w:ind w:left="1" w:hanging="3"/>
        <w:jc w:val="center"/>
        <w:rPr>
          <w:rFonts w:ascii="Arial" w:hAnsi="Arial" w:cs="Arial"/>
          <w:sz w:val="26"/>
          <w:szCs w:val="26"/>
        </w:rPr>
      </w:pPr>
    </w:p>
    <w:p w:rsidR="007667E2" w:rsidRDefault="007667E2" w:rsidP="007667E2">
      <w:pPr>
        <w:spacing w:after="0" w:line="240" w:lineRule="auto"/>
        <w:ind w:left="1" w:hanging="3"/>
        <w:jc w:val="center"/>
        <w:rPr>
          <w:rFonts w:ascii="Arial" w:hAnsi="Arial" w:cs="Arial"/>
          <w:sz w:val="26"/>
          <w:szCs w:val="26"/>
        </w:rPr>
      </w:pPr>
    </w:p>
    <w:p w:rsidR="007667E2" w:rsidRPr="00CC6E8F" w:rsidRDefault="007667E2" w:rsidP="00CC6E8F">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7667E2" w:rsidRDefault="007667E2" w:rsidP="007667E2">
      <w:pPr>
        <w:ind w:left="1" w:hanging="3"/>
        <w:jc w:val="center"/>
        <w:rPr>
          <w:rFonts w:ascii="Arial" w:hAnsi="Arial" w:cs="Arial"/>
          <w:sz w:val="26"/>
          <w:szCs w:val="26"/>
        </w:rPr>
      </w:pPr>
    </w:p>
    <w:p w:rsidR="007667E2" w:rsidRDefault="007667E2" w:rsidP="007667E2">
      <w:pPr>
        <w:ind w:left="1" w:hanging="3"/>
        <w:jc w:val="center"/>
        <w:rPr>
          <w:rFonts w:ascii="Arial" w:hAnsi="Arial" w:cs="Arial"/>
          <w:sz w:val="26"/>
          <w:szCs w:val="26"/>
        </w:rPr>
      </w:pPr>
    </w:p>
    <w:p w:rsidR="007667E2" w:rsidRDefault="007667E2" w:rsidP="007667E2">
      <w:pPr>
        <w:ind w:left="1" w:hanging="3"/>
        <w:jc w:val="center"/>
        <w:rPr>
          <w:rFonts w:ascii="Arial" w:hAnsi="Arial" w:cs="Arial"/>
          <w:sz w:val="26"/>
          <w:szCs w:val="26"/>
        </w:rPr>
      </w:pPr>
    </w:p>
    <w:p w:rsidR="00CC6E8F" w:rsidRDefault="00CC6E8F" w:rsidP="007667E2">
      <w:pPr>
        <w:ind w:left="1" w:hanging="3"/>
        <w:jc w:val="center"/>
        <w:rPr>
          <w:rFonts w:ascii="Arial" w:hAnsi="Arial" w:cs="Arial"/>
          <w:sz w:val="26"/>
          <w:szCs w:val="26"/>
        </w:rPr>
      </w:pPr>
    </w:p>
    <w:p w:rsidR="007667E2" w:rsidRDefault="007667E2" w:rsidP="007667E2">
      <w:pPr>
        <w:ind w:left="1" w:hanging="3"/>
        <w:jc w:val="center"/>
        <w:rPr>
          <w:rFonts w:ascii="Arial" w:hAnsi="Arial" w:cs="Arial"/>
          <w:sz w:val="26"/>
          <w:szCs w:val="26"/>
        </w:rPr>
      </w:pPr>
      <w:r>
        <w:rPr>
          <w:rFonts w:ascii="Arial" w:hAnsi="Arial" w:cs="Arial"/>
          <w:sz w:val="26"/>
          <w:szCs w:val="26"/>
        </w:rPr>
        <w:t>MAGISTRADO ABRAHAM SANTIAGO SORIANO</w:t>
      </w:r>
    </w:p>
    <w:p w:rsidR="007667E2" w:rsidRDefault="007667E2" w:rsidP="007667E2">
      <w:pPr>
        <w:ind w:left="1" w:hanging="3"/>
        <w:jc w:val="center"/>
        <w:rPr>
          <w:rFonts w:ascii="Arial" w:hAnsi="Arial" w:cs="Arial"/>
          <w:sz w:val="26"/>
          <w:szCs w:val="26"/>
        </w:rPr>
      </w:pPr>
    </w:p>
    <w:p w:rsidR="007667E2" w:rsidRDefault="007667E2" w:rsidP="007667E2">
      <w:pPr>
        <w:ind w:left="1" w:hanging="3"/>
        <w:jc w:val="center"/>
        <w:rPr>
          <w:rFonts w:ascii="Arial" w:hAnsi="Arial" w:cs="Arial"/>
          <w:sz w:val="26"/>
          <w:szCs w:val="26"/>
        </w:rPr>
      </w:pPr>
    </w:p>
    <w:p w:rsidR="00CC6E8F" w:rsidRPr="00CC6E8F" w:rsidRDefault="00CC6E8F" w:rsidP="007667E2">
      <w:pPr>
        <w:ind w:left="1" w:hanging="3"/>
        <w:jc w:val="center"/>
        <w:rPr>
          <w:rFonts w:ascii="Arial" w:hAnsi="Arial" w:cs="Arial"/>
          <w:b/>
          <w:sz w:val="26"/>
          <w:szCs w:val="26"/>
        </w:rPr>
      </w:pPr>
    </w:p>
    <w:p w:rsidR="007667E2" w:rsidRPr="008B167B" w:rsidRDefault="007667E2" w:rsidP="007667E2">
      <w:pPr>
        <w:ind w:left="1" w:hanging="3"/>
        <w:jc w:val="center"/>
        <w:rPr>
          <w:rFonts w:ascii="Arial" w:hAnsi="Arial" w:cs="Arial"/>
          <w:sz w:val="26"/>
          <w:szCs w:val="26"/>
        </w:rPr>
      </w:pPr>
    </w:p>
    <w:p w:rsidR="007667E2" w:rsidRDefault="007667E2" w:rsidP="007667E2">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7667E2" w:rsidRDefault="007667E2" w:rsidP="007667E2">
      <w:pPr>
        <w:spacing w:after="0" w:line="360" w:lineRule="auto"/>
        <w:ind w:left="1" w:right="49" w:hanging="3"/>
        <w:jc w:val="both"/>
        <w:rPr>
          <w:rFonts w:ascii="Arial" w:hAnsi="Arial" w:cs="Arial"/>
          <w:sz w:val="26"/>
          <w:szCs w:val="26"/>
        </w:rPr>
      </w:pPr>
    </w:p>
    <w:p w:rsidR="007667E2" w:rsidRDefault="007667E2" w:rsidP="007667E2">
      <w:pPr>
        <w:tabs>
          <w:tab w:val="left" w:pos="1680"/>
          <w:tab w:val="center" w:pos="4277"/>
        </w:tabs>
        <w:spacing w:line="360" w:lineRule="auto"/>
        <w:ind w:left="1" w:hanging="3"/>
        <w:jc w:val="center"/>
        <w:rPr>
          <w:rFonts w:ascii="Arial" w:hAnsi="Arial" w:cs="Arial"/>
          <w:sz w:val="26"/>
          <w:szCs w:val="26"/>
        </w:rPr>
      </w:pPr>
    </w:p>
    <w:p w:rsidR="00CC6E8F" w:rsidRDefault="00CC6E8F" w:rsidP="007667E2">
      <w:pPr>
        <w:tabs>
          <w:tab w:val="left" w:pos="1680"/>
          <w:tab w:val="center" w:pos="4277"/>
        </w:tabs>
        <w:spacing w:line="360" w:lineRule="auto"/>
        <w:ind w:left="1" w:hanging="3"/>
        <w:jc w:val="center"/>
        <w:rPr>
          <w:rFonts w:ascii="Arial" w:hAnsi="Arial" w:cs="Arial"/>
          <w:sz w:val="26"/>
          <w:szCs w:val="26"/>
        </w:rPr>
      </w:pPr>
    </w:p>
    <w:p w:rsidR="007667E2" w:rsidRDefault="007667E2" w:rsidP="007667E2">
      <w:pPr>
        <w:tabs>
          <w:tab w:val="left" w:pos="1680"/>
          <w:tab w:val="center" w:pos="4277"/>
        </w:tabs>
        <w:spacing w:after="0" w:line="360" w:lineRule="auto"/>
        <w:ind w:left="1" w:hanging="3"/>
        <w:jc w:val="center"/>
        <w:rPr>
          <w:rFonts w:ascii="Arial" w:hAnsi="Arial" w:cs="Arial"/>
          <w:sz w:val="26"/>
          <w:szCs w:val="26"/>
        </w:rPr>
      </w:pPr>
      <w:r>
        <w:rPr>
          <w:rFonts w:ascii="Arial" w:hAnsi="Arial" w:cs="Arial"/>
          <w:sz w:val="26"/>
          <w:szCs w:val="26"/>
        </w:rPr>
        <w:t>LICENCIADA FELICITAS DÍAZ VÁZQUEZ</w:t>
      </w:r>
    </w:p>
    <w:p w:rsidR="007667E2" w:rsidRDefault="007667E2" w:rsidP="007667E2">
      <w:pPr>
        <w:pStyle w:val="Sinespaciado"/>
        <w:ind w:left="1" w:hanging="3"/>
        <w:jc w:val="center"/>
        <w:rPr>
          <w:sz w:val="26"/>
          <w:szCs w:val="26"/>
        </w:rPr>
      </w:pPr>
      <w:r>
        <w:rPr>
          <w:rFonts w:ascii="Arial" w:hAnsi="Arial" w:cs="Arial"/>
          <w:sz w:val="26"/>
          <w:szCs w:val="26"/>
        </w:rPr>
        <w:t>SECRETARIA GENERAL DE ACUERDOS</w:t>
      </w:r>
    </w:p>
    <w:p w:rsidR="007667E2" w:rsidRDefault="007667E2" w:rsidP="007667E2">
      <w:pPr>
        <w:spacing w:line="360" w:lineRule="auto"/>
        <w:ind w:right="69" w:firstLine="567"/>
        <w:jc w:val="both"/>
        <w:rPr>
          <w:sz w:val="26"/>
          <w:szCs w:val="26"/>
        </w:rPr>
      </w:pPr>
    </w:p>
    <w:p w:rsidR="00B90565" w:rsidRDefault="00B90565" w:rsidP="006D665C">
      <w:pPr>
        <w:spacing w:after="0" w:line="240" w:lineRule="auto"/>
        <w:jc w:val="center"/>
        <w:rPr>
          <w:sz w:val="26"/>
          <w:szCs w:val="26"/>
        </w:rPr>
      </w:pPr>
    </w:p>
    <w:sectPr w:rsidR="00B90565" w:rsidSect="00286C77">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11C" w:rsidRDefault="00AD311C">
      <w:pPr>
        <w:spacing w:after="0" w:line="240" w:lineRule="auto"/>
      </w:pPr>
      <w:r>
        <w:separator/>
      </w:r>
    </w:p>
  </w:endnote>
  <w:endnote w:type="continuationSeparator" w:id="0">
    <w:p w:rsidR="00AD311C" w:rsidRDefault="00AD3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11C" w:rsidRDefault="00AD311C">
      <w:pPr>
        <w:spacing w:after="0" w:line="240" w:lineRule="auto"/>
      </w:pPr>
      <w:r>
        <w:separator/>
      </w:r>
    </w:p>
  </w:footnote>
  <w:footnote w:type="continuationSeparator" w:id="0">
    <w:p w:rsidR="00AD311C" w:rsidRDefault="00AD31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0242CC" w:rsidRDefault="000242CC" w:rsidP="00D25099">
        <w:pPr>
          <w:pStyle w:val="Encabezado"/>
          <w:jc w:val="center"/>
        </w:pPr>
        <w:r>
          <w:fldChar w:fldCharType="begin"/>
        </w:r>
        <w:r>
          <w:instrText>PAGE   \* MERGEFORMAT</w:instrText>
        </w:r>
        <w:r>
          <w:fldChar w:fldCharType="separate"/>
        </w:r>
        <w:r w:rsidR="0009537E">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0242CC" w:rsidRDefault="000242CC" w:rsidP="00206B99">
        <w:pPr>
          <w:pStyle w:val="Encabezado"/>
          <w:jc w:val="center"/>
          <w:rPr>
            <w:noProof/>
          </w:rPr>
        </w:pPr>
        <w:r>
          <w:fldChar w:fldCharType="begin"/>
        </w:r>
        <w:r>
          <w:instrText xml:space="preserve"> PAGE   \* MERGEFORMAT </w:instrText>
        </w:r>
        <w:r>
          <w:fldChar w:fldCharType="separate"/>
        </w:r>
        <w:r w:rsidR="0009537E">
          <w:rPr>
            <w:noProof/>
          </w:rPr>
          <w:t>1</w:t>
        </w:r>
        <w:r>
          <w:rPr>
            <w:noProof/>
          </w:rPr>
          <w:fldChar w:fldCharType="end"/>
        </w:r>
      </w:p>
      <w:p w:rsidR="000242CC" w:rsidRDefault="00AD311C" w:rsidP="008C74CA">
        <w:pPr>
          <w:pStyle w:val="Encabezado"/>
          <w:jc w:val="center"/>
        </w:pPr>
      </w:p>
    </w:sdtContent>
  </w:sdt>
  <w:p w:rsidR="000242CC" w:rsidRDefault="000242CC" w:rsidP="00256B01">
    <w:pPr>
      <w:pStyle w:val="Encabezado"/>
      <w:jc w:val="center"/>
    </w:pPr>
  </w:p>
  <w:p w:rsidR="000242CC" w:rsidRDefault="000242CC" w:rsidP="00256B01">
    <w:pPr>
      <w:pStyle w:val="Encabezado"/>
      <w:jc w:val="center"/>
    </w:pPr>
    <w:r>
      <w:rPr>
        <w:noProof/>
        <w:lang w:val="es-MX" w:eastAsia="es-MX"/>
      </w:rPr>
      <w:drawing>
        <wp:anchor distT="0" distB="0" distL="114300" distR="114300" simplePos="0" relativeHeight="251661312" behindDoc="1" locked="0" layoutInCell="1" allowOverlap="1" wp14:anchorId="0393B5A8" wp14:editId="54ACA6D3">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3813914C" wp14:editId="61B9F57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7AE022A"/>
    <w:multiLevelType w:val="hybridMultilevel"/>
    <w:tmpl w:val="E7925620"/>
    <w:lvl w:ilvl="0" w:tplc="D054BA98">
      <w:numFmt w:val="bullet"/>
      <w:lvlText w:val="-"/>
      <w:lvlJc w:val="left"/>
      <w:pPr>
        <w:ind w:left="360" w:hanging="360"/>
      </w:pPr>
      <w:rPr>
        <w:rFonts w:ascii="Arial" w:eastAsiaTheme="minorHAnsi" w:hAnsi="Arial" w:cs="Arial" w:hint="default"/>
        <w:b/>
        <w:sz w:val="26"/>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10F1A25"/>
    <w:multiLevelType w:val="hybridMultilevel"/>
    <w:tmpl w:val="A6CA2550"/>
    <w:lvl w:ilvl="0" w:tplc="365A6FE2">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1"/>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3"/>
  </w:num>
  <w:num w:numId="8">
    <w:abstractNumId w:val="9"/>
  </w:num>
  <w:num w:numId="9">
    <w:abstractNumId w:val="6"/>
  </w:num>
  <w:num w:numId="10">
    <w:abstractNumId w:val="7"/>
  </w:num>
  <w:num w:numId="11">
    <w:abstractNumId w:val="8"/>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5CFE"/>
    <w:rsid w:val="0000725B"/>
    <w:rsid w:val="00011594"/>
    <w:rsid w:val="0001490C"/>
    <w:rsid w:val="000169A3"/>
    <w:rsid w:val="00017C09"/>
    <w:rsid w:val="00021DF1"/>
    <w:rsid w:val="0002236D"/>
    <w:rsid w:val="00024019"/>
    <w:rsid w:val="000242CC"/>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C1E"/>
    <w:rsid w:val="00057DB1"/>
    <w:rsid w:val="000612E4"/>
    <w:rsid w:val="000616B5"/>
    <w:rsid w:val="00061CE8"/>
    <w:rsid w:val="00067E31"/>
    <w:rsid w:val="00070777"/>
    <w:rsid w:val="00070FAA"/>
    <w:rsid w:val="000737BF"/>
    <w:rsid w:val="0007458B"/>
    <w:rsid w:val="000752E9"/>
    <w:rsid w:val="00076CEA"/>
    <w:rsid w:val="000803AB"/>
    <w:rsid w:val="00081361"/>
    <w:rsid w:val="00081FE8"/>
    <w:rsid w:val="000822AF"/>
    <w:rsid w:val="00083BEB"/>
    <w:rsid w:val="00085132"/>
    <w:rsid w:val="00085F69"/>
    <w:rsid w:val="00087DB2"/>
    <w:rsid w:val="000900E9"/>
    <w:rsid w:val="00090B95"/>
    <w:rsid w:val="00094546"/>
    <w:rsid w:val="0009537E"/>
    <w:rsid w:val="00095A98"/>
    <w:rsid w:val="0009618C"/>
    <w:rsid w:val="000961D2"/>
    <w:rsid w:val="000967C6"/>
    <w:rsid w:val="000A04F6"/>
    <w:rsid w:val="000A1494"/>
    <w:rsid w:val="000A2C18"/>
    <w:rsid w:val="000A4E40"/>
    <w:rsid w:val="000A612F"/>
    <w:rsid w:val="000A6360"/>
    <w:rsid w:val="000A6EC7"/>
    <w:rsid w:val="000A7BA9"/>
    <w:rsid w:val="000B0E70"/>
    <w:rsid w:val="000B1A06"/>
    <w:rsid w:val="000B2590"/>
    <w:rsid w:val="000B2654"/>
    <w:rsid w:val="000B3B02"/>
    <w:rsid w:val="000B3B3B"/>
    <w:rsid w:val="000B4122"/>
    <w:rsid w:val="000B4B51"/>
    <w:rsid w:val="000C1A75"/>
    <w:rsid w:val="000C1F7C"/>
    <w:rsid w:val="000C2197"/>
    <w:rsid w:val="000C313C"/>
    <w:rsid w:val="000C3DBF"/>
    <w:rsid w:val="000C7169"/>
    <w:rsid w:val="000D0E11"/>
    <w:rsid w:val="000D0E1D"/>
    <w:rsid w:val="000D1BD0"/>
    <w:rsid w:val="000D29A1"/>
    <w:rsid w:val="000D2FDE"/>
    <w:rsid w:val="000D41AB"/>
    <w:rsid w:val="000D595D"/>
    <w:rsid w:val="000E0051"/>
    <w:rsid w:val="000E0AB1"/>
    <w:rsid w:val="000E12D3"/>
    <w:rsid w:val="000E218B"/>
    <w:rsid w:val="000E2E24"/>
    <w:rsid w:val="000E322A"/>
    <w:rsid w:val="000E330F"/>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6F80"/>
    <w:rsid w:val="00127839"/>
    <w:rsid w:val="001278EA"/>
    <w:rsid w:val="00127D14"/>
    <w:rsid w:val="00127F4F"/>
    <w:rsid w:val="00130500"/>
    <w:rsid w:val="001308D4"/>
    <w:rsid w:val="00130B16"/>
    <w:rsid w:val="0013169A"/>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3CF8"/>
    <w:rsid w:val="00154584"/>
    <w:rsid w:val="00154C09"/>
    <w:rsid w:val="00154CD8"/>
    <w:rsid w:val="0015751B"/>
    <w:rsid w:val="00161C11"/>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379E"/>
    <w:rsid w:val="00193B3A"/>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B7504"/>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5AE3"/>
    <w:rsid w:val="001E631B"/>
    <w:rsid w:val="001E680E"/>
    <w:rsid w:val="001E6F05"/>
    <w:rsid w:val="001F0112"/>
    <w:rsid w:val="001F03C6"/>
    <w:rsid w:val="001F72DF"/>
    <w:rsid w:val="00200843"/>
    <w:rsid w:val="00200BE6"/>
    <w:rsid w:val="0020247E"/>
    <w:rsid w:val="00203FD3"/>
    <w:rsid w:val="00204ABB"/>
    <w:rsid w:val="00206222"/>
    <w:rsid w:val="002066E5"/>
    <w:rsid w:val="00206B99"/>
    <w:rsid w:val="00206EC2"/>
    <w:rsid w:val="002113FA"/>
    <w:rsid w:val="00211AEE"/>
    <w:rsid w:val="00211DEF"/>
    <w:rsid w:val="0021295E"/>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3003B"/>
    <w:rsid w:val="002310A8"/>
    <w:rsid w:val="0023173E"/>
    <w:rsid w:val="002327AF"/>
    <w:rsid w:val="00233034"/>
    <w:rsid w:val="00233214"/>
    <w:rsid w:val="0023434D"/>
    <w:rsid w:val="00236064"/>
    <w:rsid w:val="002366C4"/>
    <w:rsid w:val="002378DE"/>
    <w:rsid w:val="00242891"/>
    <w:rsid w:val="00243181"/>
    <w:rsid w:val="00243EDE"/>
    <w:rsid w:val="0024497C"/>
    <w:rsid w:val="00245BAC"/>
    <w:rsid w:val="00246862"/>
    <w:rsid w:val="00246915"/>
    <w:rsid w:val="00246F70"/>
    <w:rsid w:val="00247875"/>
    <w:rsid w:val="00247D11"/>
    <w:rsid w:val="00254ED2"/>
    <w:rsid w:val="00256B01"/>
    <w:rsid w:val="00260BA5"/>
    <w:rsid w:val="00261CC6"/>
    <w:rsid w:val="00262666"/>
    <w:rsid w:val="00263720"/>
    <w:rsid w:val="00263BD5"/>
    <w:rsid w:val="0026762A"/>
    <w:rsid w:val="00267A88"/>
    <w:rsid w:val="00267F4F"/>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63AA"/>
    <w:rsid w:val="00286C77"/>
    <w:rsid w:val="002870CA"/>
    <w:rsid w:val="002908C0"/>
    <w:rsid w:val="002912BD"/>
    <w:rsid w:val="00291333"/>
    <w:rsid w:val="0029171C"/>
    <w:rsid w:val="00292316"/>
    <w:rsid w:val="00292C7D"/>
    <w:rsid w:val="0029310D"/>
    <w:rsid w:val="00294919"/>
    <w:rsid w:val="0029542B"/>
    <w:rsid w:val="00296748"/>
    <w:rsid w:val="002A0B1C"/>
    <w:rsid w:val="002A28E5"/>
    <w:rsid w:val="002A2985"/>
    <w:rsid w:val="002A4088"/>
    <w:rsid w:val="002A411F"/>
    <w:rsid w:val="002A5510"/>
    <w:rsid w:val="002A6EF0"/>
    <w:rsid w:val="002A72DF"/>
    <w:rsid w:val="002A7DB1"/>
    <w:rsid w:val="002A7F7E"/>
    <w:rsid w:val="002B2AF4"/>
    <w:rsid w:val="002B3CD7"/>
    <w:rsid w:val="002B5C82"/>
    <w:rsid w:val="002B73F3"/>
    <w:rsid w:val="002B7422"/>
    <w:rsid w:val="002B79C4"/>
    <w:rsid w:val="002C01EA"/>
    <w:rsid w:val="002C0324"/>
    <w:rsid w:val="002C0C96"/>
    <w:rsid w:val="002C291C"/>
    <w:rsid w:val="002C6632"/>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2F7A96"/>
    <w:rsid w:val="00302511"/>
    <w:rsid w:val="00302C57"/>
    <w:rsid w:val="00303020"/>
    <w:rsid w:val="003032E2"/>
    <w:rsid w:val="00304999"/>
    <w:rsid w:val="003076B0"/>
    <w:rsid w:val="00307E06"/>
    <w:rsid w:val="00310EFD"/>
    <w:rsid w:val="00311143"/>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965"/>
    <w:rsid w:val="00335EF4"/>
    <w:rsid w:val="00337583"/>
    <w:rsid w:val="0033784A"/>
    <w:rsid w:val="0034180B"/>
    <w:rsid w:val="00342CE5"/>
    <w:rsid w:val="00345EE2"/>
    <w:rsid w:val="003462AA"/>
    <w:rsid w:val="003505C2"/>
    <w:rsid w:val="003515B0"/>
    <w:rsid w:val="00354A57"/>
    <w:rsid w:val="00355E72"/>
    <w:rsid w:val="0035772D"/>
    <w:rsid w:val="00360A0B"/>
    <w:rsid w:val="00362E0E"/>
    <w:rsid w:val="003633B9"/>
    <w:rsid w:val="003646B9"/>
    <w:rsid w:val="003708D3"/>
    <w:rsid w:val="00371AB7"/>
    <w:rsid w:val="003731F5"/>
    <w:rsid w:val="00375176"/>
    <w:rsid w:val="00376754"/>
    <w:rsid w:val="003779D8"/>
    <w:rsid w:val="00380776"/>
    <w:rsid w:val="00380BAC"/>
    <w:rsid w:val="003818BD"/>
    <w:rsid w:val="00381DC3"/>
    <w:rsid w:val="00382FD0"/>
    <w:rsid w:val="00383A19"/>
    <w:rsid w:val="00386D6B"/>
    <w:rsid w:val="003873E7"/>
    <w:rsid w:val="00387C97"/>
    <w:rsid w:val="00395802"/>
    <w:rsid w:val="00396451"/>
    <w:rsid w:val="003965ED"/>
    <w:rsid w:val="003A0ACC"/>
    <w:rsid w:val="003A1F55"/>
    <w:rsid w:val="003A3A38"/>
    <w:rsid w:val="003A3A87"/>
    <w:rsid w:val="003A7001"/>
    <w:rsid w:val="003A7094"/>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803"/>
    <w:rsid w:val="003D293A"/>
    <w:rsid w:val="003D3FF6"/>
    <w:rsid w:val="003D5E2A"/>
    <w:rsid w:val="003D6C41"/>
    <w:rsid w:val="003D707F"/>
    <w:rsid w:val="003D7F85"/>
    <w:rsid w:val="003E0B3C"/>
    <w:rsid w:val="003E0F2A"/>
    <w:rsid w:val="003E15CF"/>
    <w:rsid w:val="003E2B2E"/>
    <w:rsid w:val="003E2C06"/>
    <w:rsid w:val="003E3F98"/>
    <w:rsid w:val="003E4073"/>
    <w:rsid w:val="003E4484"/>
    <w:rsid w:val="003E50F8"/>
    <w:rsid w:val="003E52CC"/>
    <w:rsid w:val="003E5B1E"/>
    <w:rsid w:val="003E5FDE"/>
    <w:rsid w:val="003E7801"/>
    <w:rsid w:val="003E7C2E"/>
    <w:rsid w:val="003E7C91"/>
    <w:rsid w:val="003F09E7"/>
    <w:rsid w:val="003F47AD"/>
    <w:rsid w:val="003F5E8A"/>
    <w:rsid w:val="003F61B2"/>
    <w:rsid w:val="003F74A2"/>
    <w:rsid w:val="00400164"/>
    <w:rsid w:val="00404082"/>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4A6E"/>
    <w:rsid w:val="00427081"/>
    <w:rsid w:val="00433FAD"/>
    <w:rsid w:val="00435B66"/>
    <w:rsid w:val="004365BF"/>
    <w:rsid w:val="004407BC"/>
    <w:rsid w:val="00441D6B"/>
    <w:rsid w:val="004426E6"/>
    <w:rsid w:val="00444733"/>
    <w:rsid w:val="00447485"/>
    <w:rsid w:val="004503A6"/>
    <w:rsid w:val="00454494"/>
    <w:rsid w:val="004547D3"/>
    <w:rsid w:val="004567C7"/>
    <w:rsid w:val="00457CC7"/>
    <w:rsid w:val="004610B7"/>
    <w:rsid w:val="004633DC"/>
    <w:rsid w:val="004647A3"/>
    <w:rsid w:val="00467A8D"/>
    <w:rsid w:val="004715AF"/>
    <w:rsid w:val="00472E19"/>
    <w:rsid w:val="004733C3"/>
    <w:rsid w:val="00473487"/>
    <w:rsid w:val="004744F0"/>
    <w:rsid w:val="00474E30"/>
    <w:rsid w:val="004774DD"/>
    <w:rsid w:val="0047763B"/>
    <w:rsid w:val="00485388"/>
    <w:rsid w:val="004870D8"/>
    <w:rsid w:val="00491DA5"/>
    <w:rsid w:val="00493195"/>
    <w:rsid w:val="004961AD"/>
    <w:rsid w:val="004963BC"/>
    <w:rsid w:val="00496E71"/>
    <w:rsid w:val="00497AD8"/>
    <w:rsid w:val="00497E3B"/>
    <w:rsid w:val="004A1C58"/>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3B4"/>
    <w:rsid w:val="004C456C"/>
    <w:rsid w:val="004C489E"/>
    <w:rsid w:val="004C57A9"/>
    <w:rsid w:val="004D1094"/>
    <w:rsid w:val="004D2510"/>
    <w:rsid w:val="004D29EE"/>
    <w:rsid w:val="004D316A"/>
    <w:rsid w:val="004D34BF"/>
    <w:rsid w:val="004D3AC9"/>
    <w:rsid w:val="004D3ADD"/>
    <w:rsid w:val="004D5713"/>
    <w:rsid w:val="004D5934"/>
    <w:rsid w:val="004D6FEE"/>
    <w:rsid w:val="004D7564"/>
    <w:rsid w:val="004E154D"/>
    <w:rsid w:val="004E16A4"/>
    <w:rsid w:val="004E4D67"/>
    <w:rsid w:val="004E5474"/>
    <w:rsid w:val="004E56E0"/>
    <w:rsid w:val="004E59D2"/>
    <w:rsid w:val="004E5A4E"/>
    <w:rsid w:val="004E661E"/>
    <w:rsid w:val="004E6629"/>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07977"/>
    <w:rsid w:val="00510956"/>
    <w:rsid w:val="00510C9F"/>
    <w:rsid w:val="00510FE5"/>
    <w:rsid w:val="005115C3"/>
    <w:rsid w:val="00512FF2"/>
    <w:rsid w:val="0051428C"/>
    <w:rsid w:val="00515E05"/>
    <w:rsid w:val="00516F56"/>
    <w:rsid w:val="00517C59"/>
    <w:rsid w:val="00520000"/>
    <w:rsid w:val="0052374B"/>
    <w:rsid w:val="00526857"/>
    <w:rsid w:val="00526DC4"/>
    <w:rsid w:val="00527F08"/>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606A"/>
    <w:rsid w:val="00557727"/>
    <w:rsid w:val="005609AA"/>
    <w:rsid w:val="005623A5"/>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0C11"/>
    <w:rsid w:val="005913ED"/>
    <w:rsid w:val="005916D6"/>
    <w:rsid w:val="00593333"/>
    <w:rsid w:val="00594670"/>
    <w:rsid w:val="00595186"/>
    <w:rsid w:val="00597C5A"/>
    <w:rsid w:val="005A0A32"/>
    <w:rsid w:val="005A0D5F"/>
    <w:rsid w:val="005A1593"/>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EFA"/>
    <w:rsid w:val="005D3F0B"/>
    <w:rsid w:val="005D4300"/>
    <w:rsid w:val="005D430A"/>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5F7F3C"/>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4EA"/>
    <w:rsid w:val="00611746"/>
    <w:rsid w:val="00611DD6"/>
    <w:rsid w:val="0061281C"/>
    <w:rsid w:val="006150FB"/>
    <w:rsid w:val="00621035"/>
    <w:rsid w:val="00621070"/>
    <w:rsid w:val="006243E9"/>
    <w:rsid w:val="00630C62"/>
    <w:rsid w:val="00633FA0"/>
    <w:rsid w:val="006345EE"/>
    <w:rsid w:val="006361ED"/>
    <w:rsid w:val="006375C6"/>
    <w:rsid w:val="006418C8"/>
    <w:rsid w:val="00641ABB"/>
    <w:rsid w:val="00641C7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2DF0"/>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2BAC"/>
    <w:rsid w:val="006C2F23"/>
    <w:rsid w:val="006C31AF"/>
    <w:rsid w:val="006C3540"/>
    <w:rsid w:val="006D1203"/>
    <w:rsid w:val="006D173E"/>
    <w:rsid w:val="006D4142"/>
    <w:rsid w:val="006D4B71"/>
    <w:rsid w:val="006D51AB"/>
    <w:rsid w:val="006D61D1"/>
    <w:rsid w:val="006D665C"/>
    <w:rsid w:val="006D7AAA"/>
    <w:rsid w:val="006E04EF"/>
    <w:rsid w:val="006E19FC"/>
    <w:rsid w:val="006E1B16"/>
    <w:rsid w:val="006E2197"/>
    <w:rsid w:val="006E22F2"/>
    <w:rsid w:val="006E27BA"/>
    <w:rsid w:val="006E2F9F"/>
    <w:rsid w:val="006E43D3"/>
    <w:rsid w:val="006E44A9"/>
    <w:rsid w:val="006E6519"/>
    <w:rsid w:val="006E6C97"/>
    <w:rsid w:val="006F037C"/>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0568"/>
    <w:rsid w:val="00733866"/>
    <w:rsid w:val="007372AF"/>
    <w:rsid w:val="007372F0"/>
    <w:rsid w:val="007402AF"/>
    <w:rsid w:val="00742461"/>
    <w:rsid w:val="00742758"/>
    <w:rsid w:val="0074315B"/>
    <w:rsid w:val="007445DB"/>
    <w:rsid w:val="00745C96"/>
    <w:rsid w:val="00745F93"/>
    <w:rsid w:val="00746651"/>
    <w:rsid w:val="00747AB7"/>
    <w:rsid w:val="00750F50"/>
    <w:rsid w:val="00752052"/>
    <w:rsid w:val="0075229A"/>
    <w:rsid w:val="00752B02"/>
    <w:rsid w:val="00752EE6"/>
    <w:rsid w:val="00752F7E"/>
    <w:rsid w:val="00755251"/>
    <w:rsid w:val="007568F4"/>
    <w:rsid w:val="007569A2"/>
    <w:rsid w:val="0075724E"/>
    <w:rsid w:val="007573DC"/>
    <w:rsid w:val="0076494C"/>
    <w:rsid w:val="00766389"/>
    <w:rsid w:val="007667E2"/>
    <w:rsid w:val="0077356E"/>
    <w:rsid w:val="007737E8"/>
    <w:rsid w:val="00773DC9"/>
    <w:rsid w:val="007758EE"/>
    <w:rsid w:val="00776E5E"/>
    <w:rsid w:val="0077739D"/>
    <w:rsid w:val="007806D4"/>
    <w:rsid w:val="0078132A"/>
    <w:rsid w:val="00781D7A"/>
    <w:rsid w:val="00782019"/>
    <w:rsid w:val="0078202A"/>
    <w:rsid w:val="00785325"/>
    <w:rsid w:val="00785730"/>
    <w:rsid w:val="00787152"/>
    <w:rsid w:val="00790C1A"/>
    <w:rsid w:val="00790E52"/>
    <w:rsid w:val="00792E46"/>
    <w:rsid w:val="007931B7"/>
    <w:rsid w:val="007936F6"/>
    <w:rsid w:val="00793C97"/>
    <w:rsid w:val="00794B18"/>
    <w:rsid w:val="00795CE3"/>
    <w:rsid w:val="007A0DD5"/>
    <w:rsid w:val="007A1ABA"/>
    <w:rsid w:val="007A25A8"/>
    <w:rsid w:val="007A2B3C"/>
    <w:rsid w:val="007A2EA4"/>
    <w:rsid w:val="007A3ECB"/>
    <w:rsid w:val="007A452B"/>
    <w:rsid w:val="007A4CC0"/>
    <w:rsid w:val="007B0E0D"/>
    <w:rsid w:val="007B29E4"/>
    <w:rsid w:val="007B448D"/>
    <w:rsid w:val="007B5135"/>
    <w:rsid w:val="007B6958"/>
    <w:rsid w:val="007B6A33"/>
    <w:rsid w:val="007C0D88"/>
    <w:rsid w:val="007C4872"/>
    <w:rsid w:val="007C4D7C"/>
    <w:rsid w:val="007C4FC7"/>
    <w:rsid w:val="007C5134"/>
    <w:rsid w:val="007C63E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46F"/>
    <w:rsid w:val="007E6F05"/>
    <w:rsid w:val="007E7DD4"/>
    <w:rsid w:val="007F065E"/>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04F8"/>
    <w:rsid w:val="008128DF"/>
    <w:rsid w:val="00815878"/>
    <w:rsid w:val="00816BA3"/>
    <w:rsid w:val="0082010D"/>
    <w:rsid w:val="00821C04"/>
    <w:rsid w:val="00823C9B"/>
    <w:rsid w:val="00825243"/>
    <w:rsid w:val="0083002A"/>
    <w:rsid w:val="00830884"/>
    <w:rsid w:val="00831537"/>
    <w:rsid w:val="00832757"/>
    <w:rsid w:val="00832BFA"/>
    <w:rsid w:val="00832FE5"/>
    <w:rsid w:val="00835698"/>
    <w:rsid w:val="0084114B"/>
    <w:rsid w:val="00841573"/>
    <w:rsid w:val="00841CA9"/>
    <w:rsid w:val="00842ED4"/>
    <w:rsid w:val="00845EA4"/>
    <w:rsid w:val="00847A1D"/>
    <w:rsid w:val="00847F39"/>
    <w:rsid w:val="00851022"/>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3D9D"/>
    <w:rsid w:val="00874C23"/>
    <w:rsid w:val="00874D05"/>
    <w:rsid w:val="00875A5D"/>
    <w:rsid w:val="00875CD2"/>
    <w:rsid w:val="00877284"/>
    <w:rsid w:val="00881FFB"/>
    <w:rsid w:val="00883E64"/>
    <w:rsid w:val="0088403D"/>
    <w:rsid w:val="008850E5"/>
    <w:rsid w:val="00885C97"/>
    <w:rsid w:val="00885CDE"/>
    <w:rsid w:val="0088762D"/>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4030"/>
    <w:rsid w:val="008C508D"/>
    <w:rsid w:val="008C74CA"/>
    <w:rsid w:val="008C7757"/>
    <w:rsid w:val="008D04B8"/>
    <w:rsid w:val="008D1236"/>
    <w:rsid w:val="008D3397"/>
    <w:rsid w:val="008D38EC"/>
    <w:rsid w:val="008D6A69"/>
    <w:rsid w:val="008E041A"/>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57F"/>
    <w:rsid w:val="009049BE"/>
    <w:rsid w:val="009057CB"/>
    <w:rsid w:val="009073DD"/>
    <w:rsid w:val="00907C0F"/>
    <w:rsid w:val="00907FE3"/>
    <w:rsid w:val="00910228"/>
    <w:rsid w:val="009111EA"/>
    <w:rsid w:val="0091170B"/>
    <w:rsid w:val="00912837"/>
    <w:rsid w:val="0091304F"/>
    <w:rsid w:val="009133A9"/>
    <w:rsid w:val="009159DA"/>
    <w:rsid w:val="00920D15"/>
    <w:rsid w:val="009210A6"/>
    <w:rsid w:val="009233B3"/>
    <w:rsid w:val="00926FCD"/>
    <w:rsid w:val="00927607"/>
    <w:rsid w:val="0093049B"/>
    <w:rsid w:val="00930FEF"/>
    <w:rsid w:val="00931E3D"/>
    <w:rsid w:val="00933C2D"/>
    <w:rsid w:val="00935CBA"/>
    <w:rsid w:val="0094005B"/>
    <w:rsid w:val="0094041C"/>
    <w:rsid w:val="00943709"/>
    <w:rsid w:val="00943B62"/>
    <w:rsid w:val="00943E1F"/>
    <w:rsid w:val="009443A6"/>
    <w:rsid w:val="00944D2E"/>
    <w:rsid w:val="0094607A"/>
    <w:rsid w:val="00947785"/>
    <w:rsid w:val="00950AC5"/>
    <w:rsid w:val="009541EB"/>
    <w:rsid w:val="00956CD1"/>
    <w:rsid w:val="00962084"/>
    <w:rsid w:val="009623FA"/>
    <w:rsid w:val="00962A6C"/>
    <w:rsid w:val="00963968"/>
    <w:rsid w:val="00964069"/>
    <w:rsid w:val="00964969"/>
    <w:rsid w:val="00964A87"/>
    <w:rsid w:val="00965794"/>
    <w:rsid w:val="00965870"/>
    <w:rsid w:val="00966A79"/>
    <w:rsid w:val="00966D62"/>
    <w:rsid w:val="00970BC4"/>
    <w:rsid w:val="0097228A"/>
    <w:rsid w:val="00973D8D"/>
    <w:rsid w:val="00974D4D"/>
    <w:rsid w:val="009752F6"/>
    <w:rsid w:val="009758DB"/>
    <w:rsid w:val="009768B5"/>
    <w:rsid w:val="0097728D"/>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A7DC8"/>
    <w:rsid w:val="009B1106"/>
    <w:rsid w:val="009B1EAF"/>
    <w:rsid w:val="009B2AF6"/>
    <w:rsid w:val="009B38C8"/>
    <w:rsid w:val="009B3FAA"/>
    <w:rsid w:val="009B4DEF"/>
    <w:rsid w:val="009C1397"/>
    <w:rsid w:val="009C2394"/>
    <w:rsid w:val="009C4221"/>
    <w:rsid w:val="009D0710"/>
    <w:rsid w:val="009D1ED8"/>
    <w:rsid w:val="009D4A0A"/>
    <w:rsid w:val="009D56DE"/>
    <w:rsid w:val="009D6659"/>
    <w:rsid w:val="009D7058"/>
    <w:rsid w:val="009D70CC"/>
    <w:rsid w:val="009E0336"/>
    <w:rsid w:val="009E10EC"/>
    <w:rsid w:val="009E3A9A"/>
    <w:rsid w:val="009E42B9"/>
    <w:rsid w:val="009E5841"/>
    <w:rsid w:val="009F50FA"/>
    <w:rsid w:val="009F7441"/>
    <w:rsid w:val="00A022CF"/>
    <w:rsid w:val="00A022D9"/>
    <w:rsid w:val="00A033BB"/>
    <w:rsid w:val="00A0357E"/>
    <w:rsid w:val="00A045F4"/>
    <w:rsid w:val="00A05B4F"/>
    <w:rsid w:val="00A063DF"/>
    <w:rsid w:val="00A10387"/>
    <w:rsid w:val="00A14A52"/>
    <w:rsid w:val="00A21B13"/>
    <w:rsid w:val="00A23A1B"/>
    <w:rsid w:val="00A2508C"/>
    <w:rsid w:val="00A2572E"/>
    <w:rsid w:val="00A25FC0"/>
    <w:rsid w:val="00A262B6"/>
    <w:rsid w:val="00A26D41"/>
    <w:rsid w:val="00A27138"/>
    <w:rsid w:val="00A30E90"/>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72C8"/>
    <w:rsid w:val="00A57F60"/>
    <w:rsid w:val="00A61A6E"/>
    <w:rsid w:val="00A65B8D"/>
    <w:rsid w:val="00A67424"/>
    <w:rsid w:val="00A703CE"/>
    <w:rsid w:val="00A70575"/>
    <w:rsid w:val="00A7188F"/>
    <w:rsid w:val="00A71896"/>
    <w:rsid w:val="00A7216C"/>
    <w:rsid w:val="00A73079"/>
    <w:rsid w:val="00A7309B"/>
    <w:rsid w:val="00A7622C"/>
    <w:rsid w:val="00A77949"/>
    <w:rsid w:val="00A8007D"/>
    <w:rsid w:val="00A80B43"/>
    <w:rsid w:val="00A8244C"/>
    <w:rsid w:val="00A83333"/>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4675"/>
    <w:rsid w:val="00AA512C"/>
    <w:rsid w:val="00AB00F1"/>
    <w:rsid w:val="00AB0764"/>
    <w:rsid w:val="00AB10A6"/>
    <w:rsid w:val="00AB11D3"/>
    <w:rsid w:val="00AB19C6"/>
    <w:rsid w:val="00AB1E66"/>
    <w:rsid w:val="00AB1E7B"/>
    <w:rsid w:val="00AB4741"/>
    <w:rsid w:val="00AB628D"/>
    <w:rsid w:val="00AB641E"/>
    <w:rsid w:val="00AB6F46"/>
    <w:rsid w:val="00AC1530"/>
    <w:rsid w:val="00AC1D64"/>
    <w:rsid w:val="00AC2BA3"/>
    <w:rsid w:val="00AD1E25"/>
    <w:rsid w:val="00AD311C"/>
    <w:rsid w:val="00AD38ED"/>
    <w:rsid w:val="00AD4282"/>
    <w:rsid w:val="00AD4671"/>
    <w:rsid w:val="00AD480A"/>
    <w:rsid w:val="00AD77FD"/>
    <w:rsid w:val="00AD7D17"/>
    <w:rsid w:val="00AE1A7A"/>
    <w:rsid w:val="00AE4894"/>
    <w:rsid w:val="00AE5AC8"/>
    <w:rsid w:val="00AE7265"/>
    <w:rsid w:val="00AF107D"/>
    <w:rsid w:val="00AF1ED3"/>
    <w:rsid w:val="00AF30AF"/>
    <w:rsid w:val="00AF3A91"/>
    <w:rsid w:val="00AF6667"/>
    <w:rsid w:val="00AF6B54"/>
    <w:rsid w:val="00AF6F6A"/>
    <w:rsid w:val="00AF75DD"/>
    <w:rsid w:val="00AF7C5B"/>
    <w:rsid w:val="00B02093"/>
    <w:rsid w:val="00B049EC"/>
    <w:rsid w:val="00B04DD6"/>
    <w:rsid w:val="00B062C1"/>
    <w:rsid w:val="00B078A6"/>
    <w:rsid w:val="00B10264"/>
    <w:rsid w:val="00B10FF6"/>
    <w:rsid w:val="00B1153A"/>
    <w:rsid w:val="00B1212B"/>
    <w:rsid w:val="00B12265"/>
    <w:rsid w:val="00B14213"/>
    <w:rsid w:val="00B15800"/>
    <w:rsid w:val="00B173E2"/>
    <w:rsid w:val="00B177F2"/>
    <w:rsid w:val="00B216FE"/>
    <w:rsid w:val="00B219F8"/>
    <w:rsid w:val="00B244A4"/>
    <w:rsid w:val="00B24D8F"/>
    <w:rsid w:val="00B26CCB"/>
    <w:rsid w:val="00B305FF"/>
    <w:rsid w:val="00B31114"/>
    <w:rsid w:val="00B3125A"/>
    <w:rsid w:val="00B31B5C"/>
    <w:rsid w:val="00B33E66"/>
    <w:rsid w:val="00B34D98"/>
    <w:rsid w:val="00B35442"/>
    <w:rsid w:val="00B35503"/>
    <w:rsid w:val="00B37C1A"/>
    <w:rsid w:val="00B37E5F"/>
    <w:rsid w:val="00B40233"/>
    <w:rsid w:val="00B408F8"/>
    <w:rsid w:val="00B40B24"/>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8C1"/>
    <w:rsid w:val="00B70EC1"/>
    <w:rsid w:val="00B7103E"/>
    <w:rsid w:val="00B710BA"/>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565"/>
    <w:rsid w:val="00B90D57"/>
    <w:rsid w:val="00B90ED9"/>
    <w:rsid w:val="00B91207"/>
    <w:rsid w:val="00B94DC9"/>
    <w:rsid w:val="00B95F1A"/>
    <w:rsid w:val="00BA05BF"/>
    <w:rsid w:val="00BA0DB3"/>
    <w:rsid w:val="00BA0E31"/>
    <w:rsid w:val="00BA1726"/>
    <w:rsid w:val="00BA212A"/>
    <w:rsid w:val="00BA2D8E"/>
    <w:rsid w:val="00BA2FEE"/>
    <w:rsid w:val="00BA42E0"/>
    <w:rsid w:val="00BA6F5F"/>
    <w:rsid w:val="00BB1D5F"/>
    <w:rsid w:val="00BB1EC2"/>
    <w:rsid w:val="00BB2686"/>
    <w:rsid w:val="00BB38FE"/>
    <w:rsid w:val="00BB62D7"/>
    <w:rsid w:val="00BB7BCF"/>
    <w:rsid w:val="00BC05E2"/>
    <w:rsid w:val="00BC0C9A"/>
    <w:rsid w:val="00BC2BF5"/>
    <w:rsid w:val="00BC3F2F"/>
    <w:rsid w:val="00BC6D43"/>
    <w:rsid w:val="00BC7BD0"/>
    <w:rsid w:val="00BD08FE"/>
    <w:rsid w:val="00BD12B6"/>
    <w:rsid w:val="00BD249F"/>
    <w:rsid w:val="00BD4175"/>
    <w:rsid w:val="00BD5CAE"/>
    <w:rsid w:val="00BD6A9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1A2F"/>
    <w:rsid w:val="00C02A64"/>
    <w:rsid w:val="00C02B83"/>
    <w:rsid w:val="00C06278"/>
    <w:rsid w:val="00C06502"/>
    <w:rsid w:val="00C06661"/>
    <w:rsid w:val="00C078F2"/>
    <w:rsid w:val="00C11344"/>
    <w:rsid w:val="00C11B8E"/>
    <w:rsid w:val="00C123FE"/>
    <w:rsid w:val="00C1297D"/>
    <w:rsid w:val="00C14017"/>
    <w:rsid w:val="00C148AE"/>
    <w:rsid w:val="00C14B07"/>
    <w:rsid w:val="00C1506F"/>
    <w:rsid w:val="00C22D01"/>
    <w:rsid w:val="00C22D64"/>
    <w:rsid w:val="00C259D9"/>
    <w:rsid w:val="00C25ED1"/>
    <w:rsid w:val="00C27CF3"/>
    <w:rsid w:val="00C31741"/>
    <w:rsid w:val="00C31CFE"/>
    <w:rsid w:val="00C329D1"/>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66D8A"/>
    <w:rsid w:val="00C70AD4"/>
    <w:rsid w:val="00C725E6"/>
    <w:rsid w:val="00C72D55"/>
    <w:rsid w:val="00C732C5"/>
    <w:rsid w:val="00C734EC"/>
    <w:rsid w:val="00C741BF"/>
    <w:rsid w:val="00C747C2"/>
    <w:rsid w:val="00C80261"/>
    <w:rsid w:val="00C807D6"/>
    <w:rsid w:val="00C80FE1"/>
    <w:rsid w:val="00C8246A"/>
    <w:rsid w:val="00C8282A"/>
    <w:rsid w:val="00C830CA"/>
    <w:rsid w:val="00C83120"/>
    <w:rsid w:val="00C8387E"/>
    <w:rsid w:val="00C83BAB"/>
    <w:rsid w:val="00C84197"/>
    <w:rsid w:val="00C84663"/>
    <w:rsid w:val="00C86633"/>
    <w:rsid w:val="00C87C3D"/>
    <w:rsid w:val="00C904A0"/>
    <w:rsid w:val="00C9115E"/>
    <w:rsid w:val="00C9151F"/>
    <w:rsid w:val="00C9167C"/>
    <w:rsid w:val="00C926A1"/>
    <w:rsid w:val="00C9405A"/>
    <w:rsid w:val="00C94220"/>
    <w:rsid w:val="00C947A2"/>
    <w:rsid w:val="00C94AA0"/>
    <w:rsid w:val="00C95207"/>
    <w:rsid w:val="00C95E62"/>
    <w:rsid w:val="00C962CF"/>
    <w:rsid w:val="00CA1B76"/>
    <w:rsid w:val="00CA1EBE"/>
    <w:rsid w:val="00CA4E8C"/>
    <w:rsid w:val="00CA6573"/>
    <w:rsid w:val="00CA7887"/>
    <w:rsid w:val="00CA7C72"/>
    <w:rsid w:val="00CB27A4"/>
    <w:rsid w:val="00CB621B"/>
    <w:rsid w:val="00CB65EC"/>
    <w:rsid w:val="00CB6DCD"/>
    <w:rsid w:val="00CB6E8A"/>
    <w:rsid w:val="00CB7070"/>
    <w:rsid w:val="00CC18F6"/>
    <w:rsid w:val="00CC1919"/>
    <w:rsid w:val="00CC1DB1"/>
    <w:rsid w:val="00CC6E8F"/>
    <w:rsid w:val="00CC7CEF"/>
    <w:rsid w:val="00CD0468"/>
    <w:rsid w:val="00CD1491"/>
    <w:rsid w:val="00CD3C69"/>
    <w:rsid w:val="00CD64DE"/>
    <w:rsid w:val="00CD6EC0"/>
    <w:rsid w:val="00CE2D84"/>
    <w:rsid w:val="00CE4666"/>
    <w:rsid w:val="00CE4E40"/>
    <w:rsid w:val="00CE50AD"/>
    <w:rsid w:val="00CE5195"/>
    <w:rsid w:val="00CE51E4"/>
    <w:rsid w:val="00CE54EC"/>
    <w:rsid w:val="00CF0579"/>
    <w:rsid w:val="00CF0C50"/>
    <w:rsid w:val="00CF10FC"/>
    <w:rsid w:val="00CF1E45"/>
    <w:rsid w:val="00CF34B7"/>
    <w:rsid w:val="00CF5631"/>
    <w:rsid w:val="00CF5EDE"/>
    <w:rsid w:val="00CF6971"/>
    <w:rsid w:val="00CF7993"/>
    <w:rsid w:val="00CF7DA4"/>
    <w:rsid w:val="00D00AC1"/>
    <w:rsid w:val="00D00BF9"/>
    <w:rsid w:val="00D014AF"/>
    <w:rsid w:val="00D03926"/>
    <w:rsid w:val="00D03B93"/>
    <w:rsid w:val="00D055B7"/>
    <w:rsid w:val="00D12214"/>
    <w:rsid w:val="00D12D3B"/>
    <w:rsid w:val="00D13225"/>
    <w:rsid w:val="00D143F7"/>
    <w:rsid w:val="00D1615A"/>
    <w:rsid w:val="00D16225"/>
    <w:rsid w:val="00D16547"/>
    <w:rsid w:val="00D2010F"/>
    <w:rsid w:val="00D20368"/>
    <w:rsid w:val="00D21FC7"/>
    <w:rsid w:val="00D22035"/>
    <w:rsid w:val="00D224E2"/>
    <w:rsid w:val="00D24260"/>
    <w:rsid w:val="00D2489A"/>
    <w:rsid w:val="00D2490D"/>
    <w:rsid w:val="00D24BE6"/>
    <w:rsid w:val="00D25099"/>
    <w:rsid w:val="00D256B3"/>
    <w:rsid w:val="00D27330"/>
    <w:rsid w:val="00D309C0"/>
    <w:rsid w:val="00D31E36"/>
    <w:rsid w:val="00D31EC2"/>
    <w:rsid w:val="00D33C66"/>
    <w:rsid w:val="00D3460F"/>
    <w:rsid w:val="00D34875"/>
    <w:rsid w:val="00D34A5A"/>
    <w:rsid w:val="00D35654"/>
    <w:rsid w:val="00D35A50"/>
    <w:rsid w:val="00D35BF1"/>
    <w:rsid w:val="00D360F8"/>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413B"/>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4E15"/>
    <w:rsid w:val="00DA560D"/>
    <w:rsid w:val="00DA590A"/>
    <w:rsid w:val="00DA72FF"/>
    <w:rsid w:val="00DB03CE"/>
    <w:rsid w:val="00DB0766"/>
    <w:rsid w:val="00DB1E4C"/>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5DE"/>
    <w:rsid w:val="00DD4CC6"/>
    <w:rsid w:val="00DD4E98"/>
    <w:rsid w:val="00DD58A6"/>
    <w:rsid w:val="00DD58B8"/>
    <w:rsid w:val="00DD664B"/>
    <w:rsid w:val="00DE06FD"/>
    <w:rsid w:val="00DE2129"/>
    <w:rsid w:val="00DE28BF"/>
    <w:rsid w:val="00DE2C51"/>
    <w:rsid w:val="00DE44E9"/>
    <w:rsid w:val="00DE5048"/>
    <w:rsid w:val="00DE6690"/>
    <w:rsid w:val="00DE7637"/>
    <w:rsid w:val="00DF09B8"/>
    <w:rsid w:val="00DF15EE"/>
    <w:rsid w:val="00DF2313"/>
    <w:rsid w:val="00DF53EA"/>
    <w:rsid w:val="00DF61CB"/>
    <w:rsid w:val="00DF6474"/>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626E"/>
    <w:rsid w:val="00E26B8D"/>
    <w:rsid w:val="00E3007E"/>
    <w:rsid w:val="00E31D43"/>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0F90"/>
    <w:rsid w:val="00E61AB6"/>
    <w:rsid w:val="00E61CDE"/>
    <w:rsid w:val="00E65459"/>
    <w:rsid w:val="00E66951"/>
    <w:rsid w:val="00E67D3C"/>
    <w:rsid w:val="00E7006D"/>
    <w:rsid w:val="00E705F5"/>
    <w:rsid w:val="00E7154B"/>
    <w:rsid w:val="00E74076"/>
    <w:rsid w:val="00E75BB5"/>
    <w:rsid w:val="00E7677F"/>
    <w:rsid w:val="00E77490"/>
    <w:rsid w:val="00E808D6"/>
    <w:rsid w:val="00E80E37"/>
    <w:rsid w:val="00E8107F"/>
    <w:rsid w:val="00E8196A"/>
    <w:rsid w:val="00E82D30"/>
    <w:rsid w:val="00E83450"/>
    <w:rsid w:val="00E8389D"/>
    <w:rsid w:val="00E86739"/>
    <w:rsid w:val="00E905D5"/>
    <w:rsid w:val="00E90CF8"/>
    <w:rsid w:val="00E90E54"/>
    <w:rsid w:val="00E91FF2"/>
    <w:rsid w:val="00E94929"/>
    <w:rsid w:val="00E94FF3"/>
    <w:rsid w:val="00E9514D"/>
    <w:rsid w:val="00E95C66"/>
    <w:rsid w:val="00E95F4C"/>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B5993"/>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76DE"/>
    <w:rsid w:val="00F00642"/>
    <w:rsid w:val="00F0156D"/>
    <w:rsid w:val="00F02DE0"/>
    <w:rsid w:val="00F0430C"/>
    <w:rsid w:val="00F053FC"/>
    <w:rsid w:val="00F059C8"/>
    <w:rsid w:val="00F06CB3"/>
    <w:rsid w:val="00F079CC"/>
    <w:rsid w:val="00F07A83"/>
    <w:rsid w:val="00F07F37"/>
    <w:rsid w:val="00F07FC2"/>
    <w:rsid w:val="00F123A4"/>
    <w:rsid w:val="00F13DD5"/>
    <w:rsid w:val="00F1519C"/>
    <w:rsid w:val="00F154C1"/>
    <w:rsid w:val="00F16359"/>
    <w:rsid w:val="00F21698"/>
    <w:rsid w:val="00F24A07"/>
    <w:rsid w:val="00F24D3D"/>
    <w:rsid w:val="00F2514D"/>
    <w:rsid w:val="00F25B8D"/>
    <w:rsid w:val="00F279D1"/>
    <w:rsid w:val="00F27F68"/>
    <w:rsid w:val="00F321E1"/>
    <w:rsid w:val="00F3568E"/>
    <w:rsid w:val="00F35DBE"/>
    <w:rsid w:val="00F36D77"/>
    <w:rsid w:val="00F3702E"/>
    <w:rsid w:val="00F37880"/>
    <w:rsid w:val="00F37F94"/>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4E98"/>
    <w:rsid w:val="00F668B1"/>
    <w:rsid w:val="00F72E7B"/>
    <w:rsid w:val="00F762D5"/>
    <w:rsid w:val="00F76381"/>
    <w:rsid w:val="00F7668F"/>
    <w:rsid w:val="00F81765"/>
    <w:rsid w:val="00F81926"/>
    <w:rsid w:val="00F82010"/>
    <w:rsid w:val="00F82312"/>
    <w:rsid w:val="00F83C99"/>
    <w:rsid w:val="00F841EA"/>
    <w:rsid w:val="00F8426B"/>
    <w:rsid w:val="00F85615"/>
    <w:rsid w:val="00F8568D"/>
    <w:rsid w:val="00F8623A"/>
    <w:rsid w:val="00F8652F"/>
    <w:rsid w:val="00F90B7E"/>
    <w:rsid w:val="00F90CCF"/>
    <w:rsid w:val="00F90D08"/>
    <w:rsid w:val="00F91AF1"/>
    <w:rsid w:val="00F92334"/>
    <w:rsid w:val="00F93506"/>
    <w:rsid w:val="00F95634"/>
    <w:rsid w:val="00F972BF"/>
    <w:rsid w:val="00FA0211"/>
    <w:rsid w:val="00FA0F1F"/>
    <w:rsid w:val="00FA17DB"/>
    <w:rsid w:val="00FA26F7"/>
    <w:rsid w:val="00FA3C84"/>
    <w:rsid w:val="00FA4E53"/>
    <w:rsid w:val="00FA4F21"/>
    <w:rsid w:val="00FB0E2A"/>
    <w:rsid w:val="00FB14A7"/>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07"/>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73487"/>
  </w:style>
  <w:style w:type="paragraph" w:customStyle="1" w:styleId="corte4fondo">
    <w:name w:val="corte4 fondo"/>
    <w:basedOn w:val="Normal"/>
    <w:link w:val="corte4fondoCar"/>
    <w:qFormat/>
    <w:rsid w:val="007667E2"/>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7667E2"/>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08377601">
      <w:bodyDiv w:val="1"/>
      <w:marLeft w:val="0"/>
      <w:marRight w:val="0"/>
      <w:marTop w:val="0"/>
      <w:marBottom w:val="0"/>
      <w:divBdr>
        <w:top w:val="none" w:sz="0" w:space="0" w:color="auto"/>
        <w:left w:val="none" w:sz="0" w:space="0" w:color="auto"/>
        <w:bottom w:val="none" w:sz="0" w:space="0" w:color="auto"/>
        <w:right w:val="none" w:sz="0" w:space="0" w:color="auto"/>
      </w:divBdr>
      <w:divsChild>
        <w:div w:id="1383478136">
          <w:marLeft w:val="0"/>
          <w:marRight w:val="0"/>
          <w:marTop w:val="0"/>
          <w:marBottom w:val="0"/>
          <w:divBdr>
            <w:top w:val="none" w:sz="0" w:space="0" w:color="auto"/>
            <w:left w:val="none" w:sz="0" w:space="0" w:color="auto"/>
            <w:bottom w:val="none" w:sz="0" w:space="0" w:color="auto"/>
            <w:right w:val="none" w:sz="0" w:space="0" w:color="auto"/>
          </w:divBdr>
        </w:div>
        <w:div w:id="266696427">
          <w:marLeft w:val="0"/>
          <w:marRight w:val="0"/>
          <w:marTop w:val="0"/>
          <w:marBottom w:val="0"/>
          <w:divBdr>
            <w:top w:val="none" w:sz="0" w:space="0" w:color="auto"/>
            <w:left w:val="none" w:sz="0" w:space="0" w:color="auto"/>
            <w:bottom w:val="none" w:sz="0" w:space="0" w:color="auto"/>
            <w:right w:val="none" w:sz="0" w:space="0" w:color="auto"/>
          </w:divBdr>
        </w:div>
      </w:divsChild>
    </w:div>
    <w:div w:id="1502811744">
      <w:bodyDiv w:val="1"/>
      <w:marLeft w:val="0"/>
      <w:marRight w:val="0"/>
      <w:marTop w:val="0"/>
      <w:marBottom w:val="0"/>
      <w:divBdr>
        <w:top w:val="none" w:sz="0" w:space="0" w:color="auto"/>
        <w:left w:val="none" w:sz="0" w:space="0" w:color="auto"/>
        <w:bottom w:val="none" w:sz="0" w:space="0" w:color="auto"/>
        <w:right w:val="none" w:sz="0" w:space="0" w:color="auto"/>
      </w:divBdr>
      <w:divsChild>
        <w:div w:id="816797961">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F8D0B-7039-4452-90CD-4EF332246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3435</Words>
  <Characters>18895</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2020-01-22T21:44:00Z</cp:lastPrinted>
  <dcterms:created xsi:type="dcterms:W3CDTF">2020-09-21T19:49:00Z</dcterms:created>
  <dcterms:modified xsi:type="dcterms:W3CDTF">2020-09-21T19:49:00Z</dcterms:modified>
</cp:coreProperties>
</file>