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FC211" w14:textId="77777777" w:rsidR="00724869" w:rsidRDefault="00596D72">
      <w:pPr>
        <w:tabs>
          <w:tab w:val="left" w:pos="2127"/>
        </w:tabs>
        <w:spacing w:after="120" w:line="240" w:lineRule="auto"/>
        <w:ind w:left="3119"/>
        <w:rPr>
          <w:rFonts w:ascii="Century Gothic" w:eastAsia="Century Gothic" w:hAnsi="Century Gothic" w:cs="Century Gothic"/>
          <w:sz w:val="24"/>
          <w:szCs w:val="24"/>
        </w:rPr>
      </w:pPr>
      <w:bookmarkStart w:id="0" w:name="_heading=h.gjdgxs" w:colFirst="0" w:colLast="0"/>
      <w:bookmarkEnd w:id="0"/>
      <w:r>
        <w:rPr>
          <w:rFonts w:ascii="Century Gothic" w:eastAsia="Century Gothic" w:hAnsi="Century Gothic" w:cs="Century Gothic"/>
          <w:b/>
          <w:sz w:val="24"/>
          <w:szCs w:val="24"/>
        </w:rPr>
        <w:t>RECURSO DE REVISIÓN: 0240/2023</w:t>
      </w:r>
    </w:p>
    <w:p w14:paraId="1D24E82F" w14:textId="77777777" w:rsidR="00724869" w:rsidRDefault="00596D72">
      <w:pPr>
        <w:spacing w:after="120" w:line="240" w:lineRule="auto"/>
        <w:ind w:left="311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EXPEDIENTE: 0023/2022 DE LA SALA ESPECIALIZADA EN MATERIA DE RESPONSABILIDADES ADMINISTRATIVAS Y COMBATE A LA CORRUPCIÓN DEL TRIBUNAL DE JUSTICIA ADMINISTRATIVA Y COMBATE A LA CORRUPCIÓN DEL ESTADO DE OAXACA</w:t>
      </w:r>
    </w:p>
    <w:p w14:paraId="2BEC1D08" w14:textId="77777777" w:rsidR="00724869" w:rsidRDefault="00596D72">
      <w:pPr>
        <w:spacing w:after="120" w:line="240" w:lineRule="auto"/>
        <w:ind w:left="311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RECURRENTE: DIRECTOR JURÍDICO DE LA SECRETARÍA DE HONESTIDAD, TRANSPARENCIA Y FUNCIÓN PÚBLICA DEL PODER EJECUTIVO DEL ESTADO</w:t>
      </w:r>
    </w:p>
    <w:p w14:paraId="1C227A19" w14:textId="77777777" w:rsidR="00724869" w:rsidRDefault="00596D72">
      <w:pPr>
        <w:spacing w:after="120" w:line="240" w:lineRule="auto"/>
        <w:ind w:left="3119"/>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PONENTE: MAGISTRADA CRUZ ITZEL ESPINOSA ROJAS</w:t>
      </w:r>
    </w:p>
    <w:p w14:paraId="71B2E1C7" w14:textId="77777777" w:rsidR="00724869" w:rsidRDefault="00724869">
      <w:pPr>
        <w:spacing w:after="120" w:line="240" w:lineRule="auto"/>
        <w:ind w:left="2124"/>
        <w:jc w:val="both"/>
        <w:rPr>
          <w:rFonts w:ascii="Century Gothic" w:eastAsia="Century Gothic" w:hAnsi="Century Gothic" w:cs="Century Gothic"/>
          <w:b/>
          <w:sz w:val="8"/>
          <w:szCs w:val="8"/>
        </w:rPr>
      </w:pPr>
    </w:p>
    <w:p w14:paraId="768C812E" w14:textId="77777777" w:rsidR="00724869" w:rsidRDefault="00596D72">
      <w:pPr>
        <w:spacing w:line="360" w:lineRule="auto"/>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OAXACA DE JUÁREZ, OAXACA, A SIETE DE SEPTIEMBRE DE DOS MIL VEINTITRÉS. - - - - - - - - - - - - - - - - - - - - - - - - - - - - - - - - - - - - - - - - - - </w:t>
      </w:r>
    </w:p>
    <w:p w14:paraId="0744C583" w14:textId="3B0D9225" w:rsidR="00724869" w:rsidRDefault="00596D72">
      <w:pPr>
        <w:spacing w:before="240" w:line="360" w:lineRule="auto"/>
        <w:ind w:firstLine="708"/>
        <w:jc w:val="both"/>
        <w:rPr>
          <w:rFonts w:ascii="Century Gothic" w:eastAsia="Century Gothic" w:hAnsi="Century Gothic" w:cs="Century Gothic"/>
          <w:sz w:val="24"/>
          <w:szCs w:val="24"/>
        </w:rPr>
      </w:pPr>
      <w:bookmarkStart w:id="1" w:name="_heading=h.30j0zll" w:colFirst="0" w:colLast="0"/>
      <w:bookmarkEnd w:id="1"/>
      <w:r>
        <w:rPr>
          <w:rFonts w:ascii="Century Gothic" w:eastAsia="Century Gothic" w:hAnsi="Century Gothic" w:cs="Century Gothic"/>
          <w:sz w:val="24"/>
          <w:szCs w:val="24"/>
        </w:rPr>
        <w:t>1.</w:t>
      </w:r>
      <w:r>
        <w:rPr>
          <w:rFonts w:ascii="Century Gothic" w:eastAsia="Century Gothic" w:hAnsi="Century Gothic" w:cs="Century Gothic"/>
          <w:b/>
          <w:sz w:val="24"/>
          <w:szCs w:val="24"/>
        </w:rPr>
        <w:t xml:space="preserve"> ÚNICO. Remisión del recurso</w:t>
      </w:r>
      <w:r>
        <w:rPr>
          <w:rFonts w:ascii="Century Gothic" w:eastAsia="Century Gothic" w:hAnsi="Century Gothic" w:cs="Century Gothic"/>
          <w:sz w:val="24"/>
          <w:szCs w:val="24"/>
        </w:rPr>
        <w:t xml:space="preserve">. Por recibido el cuaderno de revisión </w:t>
      </w:r>
      <w:r>
        <w:rPr>
          <w:rFonts w:ascii="Century Gothic" w:eastAsia="Century Gothic" w:hAnsi="Century Gothic" w:cs="Century Gothic"/>
          <w:b/>
          <w:sz w:val="24"/>
          <w:szCs w:val="24"/>
        </w:rPr>
        <w:t>0240/2023</w:t>
      </w:r>
      <w:r>
        <w:rPr>
          <w:rFonts w:ascii="Century Gothic" w:eastAsia="Century Gothic" w:hAnsi="Century Gothic" w:cs="Century Gothic"/>
          <w:sz w:val="24"/>
          <w:szCs w:val="24"/>
        </w:rPr>
        <w:t xml:space="preserve">, que remite la Secretaría General de Acuerdos, con motivo del recurso de revisión interpuesto por </w:t>
      </w:r>
      <w:r>
        <w:rPr>
          <w:rFonts w:ascii="Century Gothic" w:eastAsia="Century Gothic" w:hAnsi="Century Gothic" w:cs="Century Gothic"/>
          <w:b/>
          <w:sz w:val="24"/>
          <w:szCs w:val="24"/>
        </w:rPr>
        <w:t>Diego Javier Carreño López Director Jurídico de la Secretaría de Honestidad, Transparencia y Función Pública del Poder Ejecutivo del Estado de Oaxaca (antes Secretaría de Contraloría y Transparencia Gubernamental del Poder Ejecutivo del Estado de Oaxaca)</w:t>
      </w:r>
      <w:r>
        <w:rPr>
          <w:rFonts w:ascii="Century Gothic" w:eastAsia="Century Gothic" w:hAnsi="Century Gothic" w:cs="Century Gothic"/>
          <w:sz w:val="24"/>
          <w:szCs w:val="24"/>
        </w:rPr>
        <w:t xml:space="preserve">, en contra del auto de veinticuatro de marzo de dos mil veintitrés dictada por la Sala Especializada en Materia de Responsabilidades Administrativas y Combate a la Corrupción en el expediente 0023/2022, relativo al juicio de nulidad promovido por </w:t>
      </w:r>
      <w:r w:rsidR="00290667">
        <w:rPr>
          <w:rFonts w:ascii="Century Gothic" w:eastAsia="Century Gothic" w:hAnsi="Century Gothic" w:cs="Century Gothic"/>
          <w:color w:val="000000"/>
          <w:sz w:val="24"/>
          <w:szCs w:val="24"/>
        </w:rPr>
        <w:t xml:space="preserve">********** </w:t>
      </w:r>
      <w:r>
        <w:rPr>
          <w:rFonts w:ascii="Century Gothic" w:eastAsia="Century Gothic" w:hAnsi="Century Gothic" w:cs="Century Gothic"/>
          <w:sz w:val="24"/>
          <w:szCs w:val="24"/>
        </w:rPr>
        <w:t xml:space="preserve">en contra de la </w:t>
      </w:r>
      <w:r>
        <w:rPr>
          <w:rFonts w:ascii="Century Gothic" w:eastAsia="Century Gothic" w:hAnsi="Century Gothic" w:cs="Century Gothic"/>
          <w:b/>
          <w:sz w:val="24"/>
          <w:szCs w:val="24"/>
        </w:rPr>
        <w:t>Subsecretaría de Responsabilidades Administrativas y Anticorrupción</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de la Secretaría de Honestidad, y otras autoridades</w:t>
      </w:r>
      <w:r>
        <w:rPr>
          <w:rFonts w:ascii="Century Gothic" w:eastAsia="Century Gothic" w:hAnsi="Century Gothic" w:cs="Century Gothic"/>
          <w:sz w:val="24"/>
          <w:szCs w:val="24"/>
        </w:rPr>
        <w:t xml:space="preserve">; por lo que con fundamento en los artículos 236 y 238 de la Ley de Procedimiento y Justicia Administrativa para el Estado de Oaxaca y 24, fracciones I y III de la Ley Orgánica del Tribunal de Justicia Administrativa del Estado de Oaxaca, se procede a dictar resolución en los siguientes términos: - - - - - - - - - - - - - - - - - - - - - - </w:t>
      </w:r>
    </w:p>
    <w:p w14:paraId="7459F98B" w14:textId="77777777" w:rsidR="00724869" w:rsidRDefault="00596D72">
      <w:pPr>
        <w:tabs>
          <w:tab w:val="center" w:pos="4418"/>
          <w:tab w:val="left" w:pos="6330"/>
        </w:tabs>
        <w:spacing w:line="360" w:lineRule="auto"/>
        <w:jc w:val="center"/>
        <w:rPr>
          <w:rFonts w:ascii="Century Gothic" w:eastAsia="Century Gothic" w:hAnsi="Century Gothic" w:cs="Century Gothic"/>
          <w:b/>
        </w:rPr>
      </w:pPr>
      <w:r>
        <w:rPr>
          <w:rFonts w:ascii="Century Gothic" w:eastAsia="Century Gothic" w:hAnsi="Century Gothic" w:cs="Century Gothic"/>
          <w:b/>
        </w:rPr>
        <w:t>GLOSARIO</w:t>
      </w:r>
    </w:p>
    <w:tbl>
      <w:tblPr>
        <w:tblStyle w:val="a0"/>
        <w:tblW w:w="82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005"/>
      </w:tblGrid>
      <w:tr w:rsidR="00724869" w14:paraId="1D363665" w14:textId="77777777">
        <w:tc>
          <w:tcPr>
            <w:tcW w:w="3256" w:type="dxa"/>
          </w:tcPr>
          <w:p w14:paraId="3AC74A39" w14:textId="77777777" w:rsidR="00724869" w:rsidRDefault="00596D72">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Federal:</w:t>
            </w:r>
          </w:p>
        </w:tc>
        <w:tc>
          <w:tcPr>
            <w:tcW w:w="5005" w:type="dxa"/>
          </w:tcPr>
          <w:p w14:paraId="0A7748F3" w14:textId="77777777" w:rsidR="00724869" w:rsidRDefault="00596D72">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 los Estados Unidos Mexicanos.</w:t>
            </w:r>
          </w:p>
        </w:tc>
      </w:tr>
      <w:tr w:rsidR="00724869" w14:paraId="34B226CE" w14:textId="77777777">
        <w:tc>
          <w:tcPr>
            <w:tcW w:w="3256" w:type="dxa"/>
          </w:tcPr>
          <w:p w14:paraId="43D1894C" w14:textId="77777777" w:rsidR="00724869" w:rsidRDefault="00596D72">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Constitución Local:</w:t>
            </w:r>
          </w:p>
        </w:tc>
        <w:tc>
          <w:tcPr>
            <w:tcW w:w="5005" w:type="dxa"/>
          </w:tcPr>
          <w:p w14:paraId="588D02D2" w14:textId="77777777" w:rsidR="00724869" w:rsidRDefault="00596D72">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Constitución Política del Estado Libre y Soberano de Oaxaca.</w:t>
            </w:r>
          </w:p>
        </w:tc>
      </w:tr>
      <w:tr w:rsidR="00724869" w14:paraId="1873C86F" w14:textId="77777777">
        <w:tc>
          <w:tcPr>
            <w:tcW w:w="3256" w:type="dxa"/>
          </w:tcPr>
          <w:p w14:paraId="3187719F" w14:textId="77777777" w:rsidR="00724869" w:rsidRDefault="00596D72">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Ley de Procedimiento:</w:t>
            </w:r>
          </w:p>
        </w:tc>
        <w:tc>
          <w:tcPr>
            <w:tcW w:w="5005" w:type="dxa"/>
          </w:tcPr>
          <w:p w14:paraId="341EB0DC" w14:textId="77777777" w:rsidR="00724869" w:rsidRDefault="00596D72">
            <w:pPr>
              <w:tabs>
                <w:tab w:val="center" w:pos="4418"/>
                <w:tab w:val="left" w:pos="6330"/>
              </w:tabs>
              <w:jc w:val="center"/>
              <w:rPr>
                <w:rFonts w:ascii="Century Gothic" w:eastAsia="Century Gothic" w:hAnsi="Century Gothic" w:cs="Century Gothic"/>
              </w:rPr>
            </w:pPr>
            <w:r>
              <w:rPr>
                <w:rFonts w:ascii="Century Gothic" w:eastAsia="Century Gothic" w:hAnsi="Century Gothic" w:cs="Century Gothic"/>
              </w:rPr>
              <w:t>Ley de Procedimiento y Justicia Administrativa para el Estado de Oaxaca.</w:t>
            </w:r>
          </w:p>
        </w:tc>
      </w:tr>
      <w:tr w:rsidR="00724869" w14:paraId="3D113E75" w14:textId="77777777">
        <w:tc>
          <w:tcPr>
            <w:tcW w:w="3256" w:type="dxa"/>
          </w:tcPr>
          <w:p w14:paraId="2CDCFC01" w14:textId="77777777" w:rsidR="00724869" w:rsidRDefault="00596D72">
            <w:pPr>
              <w:tabs>
                <w:tab w:val="center" w:pos="4418"/>
                <w:tab w:val="left" w:pos="6330"/>
              </w:tabs>
              <w:jc w:val="center"/>
              <w:rPr>
                <w:rFonts w:ascii="Century Gothic" w:eastAsia="Century Gothic" w:hAnsi="Century Gothic" w:cs="Century Gothic"/>
                <w:b/>
                <w:i/>
              </w:rPr>
            </w:pPr>
            <w:r>
              <w:rPr>
                <w:rFonts w:ascii="Century Gothic" w:eastAsia="Century Gothic" w:hAnsi="Century Gothic" w:cs="Century Gothic"/>
                <w:b/>
                <w:i/>
              </w:rPr>
              <w:t>Secretaría de Honestidad:</w:t>
            </w:r>
          </w:p>
        </w:tc>
        <w:tc>
          <w:tcPr>
            <w:tcW w:w="5005" w:type="dxa"/>
          </w:tcPr>
          <w:p w14:paraId="34BC7640" w14:textId="77777777" w:rsidR="00724869" w:rsidRDefault="00596D72">
            <w:pPr>
              <w:tabs>
                <w:tab w:val="center" w:pos="4418"/>
                <w:tab w:val="left" w:pos="6330"/>
              </w:tabs>
              <w:jc w:val="center"/>
              <w:rPr>
                <w:rFonts w:ascii="Century Gothic" w:eastAsia="Century Gothic" w:hAnsi="Century Gothic" w:cs="Century Gothic"/>
                <w:b/>
              </w:rPr>
            </w:pPr>
            <w:r>
              <w:rPr>
                <w:rFonts w:ascii="Century Gothic" w:eastAsia="Century Gothic" w:hAnsi="Century Gothic" w:cs="Century Gothic"/>
              </w:rPr>
              <w:t>Secretaría de Honestidad, Transparencia y Función Pública del Poder Ejecutivo del Estado de Oaxaca</w:t>
            </w:r>
          </w:p>
        </w:tc>
      </w:tr>
    </w:tbl>
    <w:p w14:paraId="5995D3BD" w14:textId="77777777" w:rsidR="00724869" w:rsidRDefault="00724869">
      <w:pPr>
        <w:spacing w:line="360" w:lineRule="auto"/>
        <w:jc w:val="center"/>
        <w:rPr>
          <w:rFonts w:ascii="Century Gothic" w:eastAsia="Century Gothic" w:hAnsi="Century Gothic" w:cs="Century Gothic"/>
          <w:b/>
          <w:sz w:val="24"/>
          <w:szCs w:val="24"/>
        </w:rPr>
      </w:pPr>
    </w:p>
    <w:p w14:paraId="63E8CD34" w14:textId="77777777" w:rsidR="00724869" w:rsidRDefault="00596D72">
      <w:pPr>
        <w:spacing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lastRenderedPageBreak/>
        <w:t>R E S U L T A N D O</w:t>
      </w:r>
    </w:p>
    <w:p w14:paraId="75153208" w14:textId="77777777" w:rsidR="00724869" w:rsidRDefault="00596D72">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sz w:val="24"/>
          <w:szCs w:val="24"/>
        </w:rPr>
        <w:t xml:space="preserve">2. </w:t>
      </w:r>
      <w:r>
        <w:rPr>
          <w:rFonts w:ascii="Century Gothic" w:eastAsia="Century Gothic" w:hAnsi="Century Gothic" w:cs="Century Gothic"/>
          <w:b/>
          <w:sz w:val="24"/>
          <w:szCs w:val="24"/>
        </w:rPr>
        <w:t>PRIMERO. Antecedentes</w:t>
      </w:r>
      <w:r>
        <w:rPr>
          <w:rFonts w:ascii="Century Gothic" w:eastAsia="Century Gothic" w:hAnsi="Century Gothic" w:cs="Century Gothic"/>
          <w:sz w:val="24"/>
          <w:szCs w:val="24"/>
        </w:rPr>
        <w:t>. - - - - - - - - - - - - - - - - - - - - - - - - - - - - - -</w:t>
      </w:r>
    </w:p>
    <w:p w14:paraId="492D5D8F" w14:textId="637B1BF0" w:rsidR="00724869" w:rsidRDefault="00596D72">
      <w:pPr>
        <w:numPr>
          <w:ilvl w:val="0"/>
          <w:numId w:val="1"/>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El veintisiete de octubre de dos mil veintidós, la ciudadana</w:t>
      </w:r>
      <w:r w:rsidR="00290667">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 presenta ante este Tribunal escrito solicitando juicio de nulidad.</w:t>
      </w:r>
    </w:p>
    <w:p w14:paraId="6C6B0C24" w14:textId="77777777" w:rsidR="00724869" w:rsidRDefault="00596D72">
      <w:pPr>
        <w:numPr>
          <w:ilvl w:val="0"/>
          <w:numId w:val="1"/>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Por acuerdo de veinte de enero de dos mil veintitrés, no admite las pruebas documentales consistentes en las copias del expediente 115/11/PA-B/2022, y del expediente DQDI-A/1306/10/2019; asimismo, desecha por improcedente la demanda de nulidad de las resoluciones  y actos de los incisos b) c) d) f) y g) descritos en el apartado IV, citados en la demanda presentada por la actora; sólo admite el trámite del incidente de nulidad en contra de la resolución de cinco de septiembre de dos mil veintidós dictada en el recurso de revocación  05/RR/2022 y admite las pruebas consistentes en: </w:t>
      </w:r>
      <w:r>
        <w:rPr>
          <w:rFonts w:ascii="Century Gothic" w:eastAsia="Century Gothic" w:hAnsi="Century Gothic" w:cs="Century Gothic"/>
          <w:b/>
          <w:color w:val="000000"/>
          <w:sz w:val="24"/>
          <w:szCs w:val="24"/>
        </w:rPr>
        <w:t>1)</w:t>
      </w:r>
      <w:r>
        <w:rPr>
          <w:rFonts w:ascii="Century Gothic" w:eastAsia="Century Gothic" w:hAnsi="Century Gothic" w:cs="Century Gothic"/>
          <w:color w:val="000000"/>
          <w:sz w:val="24"/>
          <w:szCs w:val="24"/>
        </w:rPr>
        <w:t xml:space="preserve"> copia certificada de la resolución de cinco de septiembre de dos mil veintidós dictada en el recurso de revocación 05/RR/2022, </w:t>
      </w:r>
      <w:r>
        <w:rPr>
          <w:rFonts w:ascii="Century Gothic" w:eastAsia="Century Gothic" w:hAnsi="Century Gothic" w:cs="Century Gothic"/>
          <w:b/>
          <w:color w:val="000000"/>
          <w:sz w:val="24"/>
          <w:szCs w:val="24"/>
        </w:rPr>
        <w:t>2)</w:t>
      </w:r>
      <w:r>
        <w:rPr>
          <w:rFonts w:ascii="Century Gothic" w:eastAsia="Century Gothic" w:hAnsi="Century Gothic" w:cs="Century Gothic"/>
          <w:color w:val="000000"/>
          <w:sz w:val="24"/>
          <w:szCs w:val="24"/>
        </w:rPr>
        <w:t xml:space="preserve"> cédula de notificación personal de catorce de septiembre de dos mil veintidós, </w:t>
      </w:r>
      <w:r>
        <w:rPr>
          <w:rFonts w:ascii="Century Gothic" w:eastAsia="Century Gothic" w:hAnsi="Century Gothic" w:cs="Century Gothic"/>
          <w:b/>
          <w:color w:val="000000"/>
          <w:sz w:val="24"/>
          <w:szCs w:val="24"/>
        </w:rPr>
        <w:t>3)</w:t>
      </w:r>
      <w:r>
        <w:rPr>
          <w:rFonts w:ascii="Century Gothic" w:eastAsia="Century Gothic" w:hAnsi="Century Gothic" w:cs="Century Gothic"/>
          <w:color w:val="000000"/>
          <w:sz w:val="24"/>
          <w:szCs w:val="24"/>
        </w:rPr>
        <w:t xml:space="preserve"> copia simple de la resolución de dieciocho de junio de dos mil veintiuno, </w:t>
      </w:r>
      <w:r>
        <w:rPr>
          <w:rFonts w:ascii="Century Gothic" w:eastAsia="Century Gothic" w:hAnsi="Century Gothic" w:cs="Century Gothic"/>
          <w:b/>
          <w:color w:val="000000"/>
          <w:sz w:val="24"/>
          <w:szCs w:val="24"/>
        </w:rPr>
        <w:t>4)</w:t>
      </w:r>
      <w:r>
        <w:rPr>
          <w:rFonts w:ascii="Century Gothic" w:eastAsia="Century Gothic" w:hAnsi="Century Gothic" w:cs="Century Gothic"/>
          <w:color w:val="000000"/>
          <w:sz w:val="24"/>
          <w:szCs w:val="24"/>
        </w:rPr>
        <w:t xml:space="preserve"> instrumental de actuaciones; por último, le corre traslado a las autoridades demandadas y ordena formar el cuaderno de suspensión.</w:t>
      </w:r>
    </w:p>
    <w:p w14:paraId="61BDAF12" w14:textId="77777777" w:rsidR="00724869" w:rsidRDefault="00596D72">
      <w:pPr>
        <w:numPr>
          <w:ilvl w:val="0"/>
          <w:numId w:val="1"/>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El </w:t>
      </w:r>
      <w:proofErr w:type="gramStart"/>
      <w:r>
        <w:rPr>
          <w:rFonts w:ascii="Century Gothic" w:eastAsia="Century Gothic" w:hAnsi="Century Gothic" w:cs="Century Gothic"/>
          <w:color w:val="000000"/>
          <w:sz w:val="24"/>
          <w:szCs w:val="24"/>
        </w:rPr>
        <w:t>Director</w:t>
      </w:r>
      <w:proofErr w:type="gramEnd"/>
      <w:r>
        <w:rPr>
          <w:rFonts w:ascii="Century Gothic" w:eastAsia="Century Gothic" w:hAnsi="Century Gothic" w:cs="Century Gothic"/>
          <w:color w:val="000000"/>
          <w:sz w:val="24"/>
          <w:szCs w:val="24"/>
        </w:rPr>
        <w:t xml:space="preserve"> Jurídico de la Secretaría de Honestidad</w:t>
      </w:r>
      <w:r>
        <w:rPr>
          <w:rFonts w:ascii="Century Gothic" w:eastAsia="Century Gothic" w:hAnsi="Century Gothic" w:cs="Century Gothic"/>
          <w:color w:val="000000"/>
          <w:sz w:val="24"/>
          <w:szCs w:val="24"/>
          <w:vertAlign w:val="superscript"/>
        </w:rPr>
        <w:footnoteReference w:id="1"/>
      </w:r>
      <w:r>
        <w:rPr>
          <w:rFonts w:ascii="Century Gothic" w:eastAsia="Century Gothic" w:hAnsi="Century Gothic" w:cs="Century Gothic"/>
          <w:color w:val="000000"/>
          <w:sz w:val="24"/>
          <w:szCs w:val="24"/>
        </w:rPr>
        <w:t xml:space="preserve"> presentó el trece de febrero de dos mil veintitrés oficio ante la Oficialía de Partes, contestando la demanda de nulidad.</w:t>
      </w:r>
    </w:p>
    <w:p w14:paraId="44F23841" w14:textId="77777777" w:rsidR="00724869" w:rsidRDefault="00596D72">
      <w:pPr>
        <w:numPr>
          <w:ilvl w:val="0"/>
          <w:numId w:val="1"/>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Por acuerdo de veinticuatro de marzo de dos mil veintitrés, se le tuvo al Director Jurídico de la Secretaría de Honestidad</w:t>
      </w:r>
      <w:r>
        <w:rPr>
          <w:rFonts w:ascii="Century Gothic" w:eastAsia="Century Gothic" w:hAnsi="Century Gothic" w:cs="Century Gothic"/>
          <w:color w:val="000000"/>
          <w:sz w:val="24"/>
          <w:szCs w:val="24"/>
          <w:vertAlign w:val="superscript"/>
        </w:rPr>
        <w:footnoteReference w:id="2"/>
      </w:r>
      <w:r>
        <w:rPr>
          <w:rFonts w:ascii="Century Gothic" w:eastAsia="Century Gothic" w:hAnsi="Century Gothic" w:cs="Century Gothic"/>
          <w:color w:val="000000"/>
          <w:sz w:val="24"/>
          <w:szCs w:val="24"/>
        </w:rPr>
        <w:t xml:space="preserve">  justificando su personalidad, compareciendo en representación de las otras autoridades demandadas, señalando domicilio para recibir notificaciones, contestando la demanda de nulidad, admitiéndole las pruebas ofrecidas por su parte y ordenando correrle traslado a su contraparte; asimismo determinó que al advertirse que se encontraba reservada la admisión de dos pruebas ofrecidas por la actora, hasta en tanto la autoridad demandada exhibiera expediente administrativo, por ese motivo admitieron a su favor las pruebas consistentes en a) las constancias que integran el expediente 115/11/PA-B/2022,</w:t>
      </w:r>
      <w:r>
        <w:rPr>
          <w:color w:val="000000"/>
        </w:rPr>
        <w:t xml:space="preserve"> </w:t>
      </w:r>
      <w:r>
        <w:rPr>
          <w:rFonts w:ascii="Century Gothic" w:eastAsia="Century Gothic" w:hAnsi="Century Gothic" w:cs="Century Gothic"/>
          <w:color w:val="000000"/>
          <w:sz w:val="24"/>
          <w:szCs w:val="24"/>
        </w:rPr>
        <w:t xml:space="preserve">de la Dirección de Responsabilidades Administrativas y Situación Patrimonial, de la Secretaría de Honestidad, y b) las constancias que integran el </w:t>
      </w:r>
      <w:r>
        <w:rPr>
          <w:rFonts w:ascii="Century Gothic" w:eastAsia="Century Gothic" w:hAnsi="Century Gothic" w:cs="Century Gothic"/>
          <w:color w:val="000000"/>
          <w:sz w:val="24"/>
          <w:szCs w:val="24"/>
        </w:rPr>
        <w:lastRenderedPageBreak/>
        <w:t>expediente DQDI-A/1306/10/2019 de la Dirección de Quejas, Denuncias e Investigación de la citada Secretaría.</w:t>
      </w:r>
    </w:p>
    <w:p w14:paraId="1B64F2FA" w14:textId="77777777" w:rsidR="00724869" w:rsidRDefault="00596D72">
      <w:pPr>
        <w:numPr>
          <w:ilvl w:val="0"/>
          <w:numId w:val="1"/>
        </w:numPr>
        <w:pBdr>
          <w:top w:val="nil"/>
          <w:left w:val="nil"/>
          <w:bottom w:val="nil"/>
          <w:right w:val="nil"/>
          <w:between w:val="nil"/>
        </w:pBdr>
        <w:spacing w:after="120" w:line="360" w:lineRule="auto"/>
        <w:ind w:left="0" w:hanging="357"/>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Inconforme con el auto de veinticuatro de marzo de dos mil veintitrés, el </w:t>
      </w:r>
      <w:proofErr w:type="gramStart"/>
      <w:r>
        <w:rPr>
          <w:rFonts w:ascii="Century Gothic" w:eastAsia="Century Gothic" w:hAnsi="Century Gothic" w:cs="Century Gothic"/>
          <w:b/>
          <w:color w:val="000000"/>
          <w:sz w:val="24"/>
          <w:szCs w:val="24"/>
        </w:rPr>
        <w:t>Director</w:t>
      </w:r>
      <w:proofErr w:type="gramEnd"/>
      <w:r>
        <w:rPr>
          <w:rFonts w:ascii="Century Gothic" w:eastAsia="Century Gothic" w:hAnsi="Century Gothic" w:cs="Century Gothic"/>
          <w:b/>
          <w:color w:val="000000"/>
          <w:sz w:val="24"/>
          <w:szCs w:val="24"/>
        </w:rPr>
        <w:t xml:space="preserve"> Jurídico de la Secretaría de Honestidad</w:t>
      </w:r>
      <w:r>
        <w:rPr>
          <w:rFonts w:ascii="Century Gothic" w:eastAsia="Century Gothic" w:hAnsi="Century Gothic" w:cs="Century Gothic"/>
          <w:color w:val="000000"/>
          <w:sz w:val="24"/>
          <w:szCs w:val="24"/>
        </w:rPr>
        <w:t>, interpuso recurso de revisión, por escrito el cual se le tuvo por recibido el doce de abril de dos mil veintitrés.</w:t>
      </w:r>
    </w:p>
    <w:p w14:paraId="0ACA20BD" w14:textId="77777777" w:rsidR="00724869" w:rsidRDefault="00724869">
      <w:p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p>
    <w:p w14:paraId="0756A3D1" w14:textId="77777777" w:rsidR="00724869" w:rsidRDefault="00596D72">
      <w:pPr>
        <w:spacing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Determinación recurrida. </w:t>
      </w:r>
    </w:p>
    <w:p w14:paraId="21D74266" w14:textId="77777777" w:rsidR="00724869" w:rsidRDefault="00596D72">
      <w:pPr>
        <w:spacing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3. Inconforme con la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parte relativa del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acuerdo de</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veinticuatro de marzo de dos mil veintitrés, dictada por la Sala Especializada en el expediente 0023/2022, relativo al juicio de nulidad, el </w:t>
      </w:r>
      <w:r>
        <w:rPr>
          <w:rFonts w:ascii="Century Gothic" w:eastAsia="Century Gothic" w:hAnsi="Century Gothic" w:cs="Century Gothic"/>
          <w:b/>
          <w:sz w:val="24"/>
          <w:szCs w:val="24"/>
        </w:rPr>
        <w:t>Director Jurídico de la Secretaría de Honestidad</w:t>
      </w:r>
      <w:r>
        <w:rPr>
          <w:rFonts w:ascii="Century Gothic" w:eastAsia="Century Gothic" w:hAnsi="Century Gothic" w:cs="Century Gothic"/>
          <w:sz w:val="24"/>
          <w:szCs w:val="24"/>
        </w:rPr>
        <w:t xml:space="preserve">, interpone recurso de revisión respecto a la </w:t>
      </w:r>
      <w:r>
        <w:rPr>
          <w:rFonts w:ascii="Century Gothic" w:eastAsia="Century Gothic" w:hAnsi="Century Gothic" w:cs="Century Gothic"/>
          <w:b/>
          <w:sz w:val="24"/>
          <w:szCs w:val="24"/>
        </w:rPr>
        <w:t xml:space="preserve">admisión </w:t>
      </w:r>
      <w:r>
        <w:rPr>
          <w:rFonts w:ascii="Century Gothic" w:eastAsia="Century Gothic" w:hAnsi="Century Gothic" w:cs="Century Gothic"/>
          <w:sz w:val="24"/>
          <w:szCs w:val="24"/>
        </w:rPr>
        <w:t>de las pruebas ofrecidas por la parte actora consistentes en las constancias que integran el expediente 115/11/PA-B/2022 de la Dirección de Responsabilidades Administrativas y Situación Patrimonial,</w:t>
      </w:r>
      <w:r>
        <w:t xml:space="preserve"> </w:t>
      </w:r>
      <w:r>
        <w:rPr>
          <w:rFonts w:ascii="Century Gothic" w:eastAsia="Century Gothic" w:hAnsi="Century Gothic" w:cs="Century Gothic"/>
          <w:sz w:val="24"/>
          <w:szCs w:val="24"/>
        </w:rPr>
        <w:t>y las constancias que integran el expediente DQDI-A/1306/10/2019 de la Dirección de Quejas, Denuncias e Investigación, siendo que éstas y habían sido desechadas en un anterior acuerdo.</w:t>
      </w:r>
      <w:r>
        <w:rPr>
          <w:rFonts w:ascii="Century Gothic" w:eastAsia="Century Gothic" w:hAnsi="Century Gothic" w:cs="Century Gothic"/>
          <w:i/>
          <w:sz w:val="24"/>
          <w:szCs w:val="24"/>
        </w:rPr>
        <w:t xml:space="preserve"> </w:t>
      </w:r>
    </w:p>
    <w:p w14:paraId="5A1B02BE" w14:textId="77777777" w:rsidR="00724869" w:rsidRDefault="00596D72">
      <w:pPr>
        <w:spacing w:before="240" w:line="360" w:lineRule="auto"/>
        <w:ind w:left="851" w:right="616"/>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C O N S I D E R A N D O</w:t>
      </w:r>
    </w:p>
    <w:p w14:paraId="59451BFF" w14:textId="77777777" w:rsidR="00724869" w:rsidRDefault="00596D72">
      <w:pPr>
        <w:spacing w:before="240" w:line="360" w:lineRule="auto"/>
        <w:ind w:firstLine="708"/>
        <w:jc w:val="both"/>
        <w:rPr>
          <w:rFonts w:ascii="Century Gothic" w:eastAsia="Century Gothic" w:hAnsi="Century Gothic" w:cs="Century Gothic"/>
          <w:b/>
          <w:sz w:val="24"/>
          <w:szCs w:val="24"/>
        </w:rPr>
      </w:pPr>
      <w:bookmarkStart w:id="2" w:name="_heading=h.1fob9te" w:colFirst="0" w:colLast="0"/>
      <w:bookmarkEnd w:id="2"/>
      <w:r>
        <w:rPr>
          <w:rFonts w:ascii="Century Gothic" w:eastAsia="Century Gothic" w:hAnsi="Century Gothic" w:cs="Century Gothic"/>
          <w:b/>
          <w:sz w:val="24"/>
          <w:szCs w:val="24"/>
        </w:rPr>
        <w:t xml:space="preserve">PRIMERO. Jurisdicción y Competencia. </w:t>
      </w:r>
    </w:p>
    <w:p w14:paraId="4B4FF1D5" w14:textId="77777777" w:rsidR="00724869" w:rsidRDefault="00596D72">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4. El</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Tribunal de Justicia Administrativa y Combate a la Corrupción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ejerce jurisdicción y esta Sala Superior es competente para conocer del presente asunto, conforme a lo dispuesto por los artículos 114 </w:t>
      </w:r>
      <w:proofErr w:type="spellStart"/>
      <w:r>
        <w:rPr>
          <w:rFonts w:ascii="Century Gothic" w:eastAsia="Century Gothic" w:hAnsi="Century Gothic" w:cs="Century Gothic"/>
          <w:sz w:val="24"/>
          <w:szCs w:val="24"/>
        </w:rPr>
        <w:t>Quáter</w:t>
      </w:r>
      <w:proofErr w:type="spellEnd"/>
      <w:r>
        <w:rPr>
          <w:rFonts w:ascii="Century Gothic" w:eastAsia="Century Gothic" w:hAnsi="Century Gothic" w:cs="Century Gothic"/>
          <w:sz w:val="24"/>
          <w:szCs w:val="24"/>
          <w:vertAlign w:val="superscript"/>
        </w:rPr>
        <w:footnoteReference w:id="3"/>
      </w:r>
      <w:r>
        <w:rPr>
          <w:rFonts w:ascii="Century Gothic" w:eastAsia="Century Gothic" w:hAnsi="Century Gothic" w:cs="Century Gothic"/>
          <w:sz w:val="24"/>
          <w:szCs w:val="24"/>
        </w:rPr>
        <w:t xml:space="preserve"> de la Constitución Política del Estado Libre y Soberano de Oaxaca; 1, 2, 4, fracción VIII, 23, 24, fracciones I y III, 25, fracción I y 27 de la Ley Orgánica del Tribunal de Justicia Administrativa del Estado de Oaxaca, vigente; 120, 125, 127, 129,130, fracción l, 131, 201, 236 fracción VIII y 238 de la Ley de Procedimiento y Justicia Administrativa para el Estado de Oaxaca, </w:t>
      </w:r>
      <w:r>
        <w:rPr>
          <w:rFonts w:ascii="Century Gothic" w:eastAsia="Century Gothic" w:hAnsi="Century Gothic" w:cs="Century Gothic"/>
          <w:sz w:val="24"/>
          <w:szCs w:val="24"/>
        </w:rPr>
        <w:lastRenderedPageBreak/>
        <w:t xml:space="preserve">dado que se trata de un recurso de revisión interpuesto en contra del acuerdo de veinticuatro de marzo de dos mil veintitrés, dictada por la entonces Sala Especializada en Materia de Responsabilidades Administrativas y Combate a la Corrupción en el juicio de nulidad </w:t>
      </w:r>
      <w:r>
        <w:rPr>
          <w:rFonts w:ascii="Century Gothic" w:eastAsia="Century Gothic" w:hAnsi="Century Gothic" w:cs="Century Gothic"/>
          <w:b/>
          <w:sz w:val="24"/>
          <w:szCs w:val="24"/>
        </w:rPr>
        <w:t>0023/2022.</w:t>
      </w:r>
      <w:r>
        <w:rPr>
          <w:rFonts w:ascii="Century Gothic" w:eastAsia="Century Gothic" w:hAnsi="Century Gothic" w:cs="Century Gothic"/>
          <w:sz w:val="24"/>
          <w:szCs w:val="24"/>
        </w:rPr>
        <w:t>- - - - - - - - - - - - - - - - - - - - - - - - - - - - - - - - - - - - - - - - - - - - - - - -</w:t>
      </w:r>
    </w:p>
    <w:p w14:paraId="54FD5D4E" w14:textId="77777777" w:rsidR="00724869" w:rsidRDefault="00596D72">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SEGUNDO. Requisitos de procedencia. </w:t>
      </w:r>
    </w:p>
    <w:p w14:paraId="16F16CE1" w14:textId="77777777" w:rsidR="00724869" w:rsidRDefault="00596D72">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5. Se tienen por satisfechos los requisitos de procedencia previstos en los artículos 236, 237 de la Ley de Procedimiento y Justicia Administrativa para el Estado de Oaxaca.</w:t>
      </w:r>
    </w:p>
    <w:p w14:paraId="46EAAAA9" w14:textId="77777777" w:rsidR="00724869" w:rsidRDefault="00596D72">
      <w:pPr>
        <w:numPr>
          <w:ilvl w:val="0"/>
          <w:numId w:val="2"/>
        </w:numPr>
        <w:pBdr>
          <w:top w:val="nil"/>
          <w:left w:val="nil"/>
          <w:bottom w:val="nil"/>
          <w:right w:val="nil"/>
          <w:between w:val="nil"/>
        </w:pBdr>
        <w:spacing w:before="240"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Forma. </w:t>
      </w:r>
      <w:r>
        <w:rPr>
          <w:rFonts w:ascii="Century Gothic" w:eastAsia="Century Gothic" w:hAnsi="Century Gothic" w:cs="Century Gothic"/>
          <w:color w:val="000000"/>
          <w:sz w:val="24"/>
          <w:szCs w:val="24"/>
        </w:rPr>
        <w:t>Se observa que el</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recurso se efectuó conforme a los lineamientos que exige el artículo 236 de la Ley de Procedimiento y Justicia Administrativa para el Estado de Oaxaca, ya que se presentó por escrito, con la expresión de agravios ante la Sala que dictó el acuerdo que se impugna.</w:t>
      </w:r>
    </w:p>
    <w:p w14:paraId="33A1F4B4" w14:textId="77777777" w:rsidR="00724869" w:rsidRDefault="00724869">
      <w:pPr>
        <w:pBdr>
          <w:top w:val="nil"/>
          <w:left w:val="nil"/>
          <w:bottom w:val="nil"/>
          <w:right w:val="nil"/>
          <w:between w:val="nil"/>
        </w:pBdr>
        <w:spacing w:after="0" w:line="360" w:lineRule="auto"/>
        <w:ind w:left="1428"/>
        <w:jc w:val="both"/>
        <w:rPr>
          <w:rFonts w:ascii="Century Gothic" w:eastAsia="Century Gothic" w:hAnsi="Century Gothic" w:cs="Century Gothic"/>
          <w:color w:val="000000"/>
          <w:sz w:val="24"/>
          <w:szCs w:val="24"/>
        </w:rPr>
      </w:pPr>
    </w:p>
    <w:p w14:paraId="67357907" w14:textId="77777777" w:rsidR="00724869" w:rsidRDefault="00596D72">
      <w:pPr>
        <w:numPr>
          <w:ilvl w:val="0"/>
          <w:numId w:val="2"/>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Oportunidad. </w:t>
      </w:r>
      <w:r>
        <w:rPr>
          <w:rFonts w:ascii="Century Gothic" w:eastAsia="Century Gothic" w:hAnsi="Century Gothic" w:cs="Century Gothic"/>
          <w:color w:val="000000"/>
          <w:sz w:val="24"/>
          <w:szCs w:val="24"/>
        </w:rPr>
        <w:t>Se cumple tal requisito, toda vez que el acto impugnado fue notificado al recurrente, el martes veintiocho de marzo de dos mil veintitrés, en tanto el correspondiente recurso se interpuso el día doce de abril de dos mil veintitrés, siendo éste dentro del plazo de cinco días previsto en el artículo 237 de la Ley de Procedimiento y Justicia Administrativa para el Estado de Oaxaca, en virtud que el miércoles veintinueve del mes en cita surtió efectos y empezando a correr el conteo a partir del día jueves treinta y viernes treinta y uno de marzo, lunes diez, martes once y miércoles doce de abril, todos del dos mil veintitrés (sin ser contados los días uno, dos, ocho y nueve de abril por ser sábado y domingo, asimismo del tres al siete de abril con motivo de semana santa, al ser considerados inhábiles por acuerdo general de este Tribunal).</w:t>
      </w:r>
    </w:p>
    <w:p w14:paraId="0970E101" w14:textId="77777777" w:rsidR="00724869" w:rsidRDefault="00724869">
      <w:pPr>
        <w:pBdr>
          <w:top w:val="nil"/>
          <w:left w:val="nil"/>
          <w:bottom w:val="nil"/>
          <w:right w:val="nil"/>
          <w:between w:val="nil"/>
        </w:pBdr>
        <w:spacing w:after="0" w:line="360" w:lineRule="auto"/>
        <w:ind w:left="1428"/>
        <w:jc w:val="both"/>
        <w:rPr>
          <w:rFonts w:ascii="Century Gothic" w:eastAsia="Century Gothic" w:hAnsi="Century Gothic" w:cs="Century Gothic"/>
          <w:color w:val="000000"/>
          <w:sz w:val="24"/>
          <w:szCs w:val="24"/>
        </w:rPr>
      </w:pPr>
    </w:p>
    <w:p w14:paraId="4A74A693" w14:textId="77777777" w:rsidR="00724869" w:rsidRDefault="00596D72">
      <w:pPr>
        <w:numPr>
          <w:ilvl w:val="0"/>
          <w:numId w:val="2"/>
        </w:numPr>
        <w:pBdr>
          <w:top w:val="nil"/>
          <w:left w:val="nil"/>
          <w:bottom w:val="nil"/>
          <w:right w:val="nil"/>
          <w:between w:val="nil"/>
        </w:pBdr>
        <w:spacing w:after="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Legitimación. </w:t>
      </w:r>
      <w:r>
        <w:rPr>
          <w:rFonts w:ascii="Century Gothic" w:eastAsia="Century Gothic" w:hAnsi="Century Gothic" w:cs="Century Gothic"/>
          <w:color w:val="000000"/>
          <w:sz w:val="24"/>
          <w:szCs w:val="24"/>
        </w:rPr>
        <w:t xml:space="preserve">El presente recurso fue interpuesto por parte legítima. Ello, porque de conformidad con señalado en el artículo 236, segundo párrafo, de la Ley de Procedimiento y Justicia Administrativa para el Estado de Oaxaca, el </w:t>
      </w:r>
      <w:r>
        <w:rPr>
          <w:rFonts w:ascii="Century Gothic" w:eastAsia="Century Gothic" w:hAnsi="Century Gothic" w:cs="Century Gothic"/>
          <w:color w:val="000000"/>
          <w:sz w:val="24"/>
          <w:szCs w:val="24"/>
        </w:rPr>
        <w:lastRenderedPageBreak/>
        <w:t>recurso de revisión en que se actúa, puede ser impugnado por las partes.</w:t>
      </w:r>
    </w:p>
    <w:p w14:paraId="78272C9E" w14:textId="77777777" w:rsidR="00724869" w:rsidRDefault="00596D72">
      <w:pPr>
        <w:numPr>
          <w:ilvl w:val="0"/>
          <w:numId w:val="2"/>
        </w:numPr>
        <w:pBdr>
          <w:top w:val="nil"/>
          <w:left w:val="nil"/>
          <w:bottom w:val="nil"/>
          <w:right w:val="nil"/>
          <w:between w:val="nil"/>
        </w:pBd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 xml:space="preserve">Idoneidad. </w:t>
      </w:r>
      <w:r>
        <w:rPr>
          <w:rFonts w:ascii="Century Gothic" w:eastAsia="Century Gothic" w:hAnsi="Century Gothic" w:cs="Century Gothic"/>
          <w:color w:val="000000"/>
          <w:sz w:val="24"/>
          <w:szCs w:val="24"/>
        </w:rPr>
        <w:t>Ahora, por lo que hace a este requisito, éste se cumple, en virtud que la determinación de la Sala Unitaria de primera Instancia que fue recurrida es contra un acuerdo en el que contraviene lo ya determinado en un anterior acuerdo, siendo que la determinación impugnada cometida contradice lo actuado en el procedimiento del juicio, ya que se perdería la claridad al justiciable sobre el criterio jurídico que ha de aplicarse al momento de resolverse, lo cual trasciende el sentido de la sentencia; por ende, se encuentra dentro de ese catálogo que enlista el numeral 236 fracción VIII, de la Ley de Procedimiento y Justicia Administrativa para el Estado de Oaxaca, por lo cual procede el recurso de revisión.</w:t>
      </w:r>
    </w:p>
    <w:p w14:paraId="11E793BA" w14:textId="77777777" w:rsidR="00724869" w:rsidRDefault="00596D72">
      <w:pPr>
        <w:spacing w:before="240" w:line="360" w:lineRule="auto"/>
        <w:ind w:firstLine="708"/>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TERCERO. Agravios.</w:t>
      </w:r>
    </w:p>
    <w:p w14:paraId="7C1AF074" w14:textId="77777777" w:rsidR="00724869" w:rsidRDefault="00596D72">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t>6. De las pretensiones hechas valer por la autoridad recurrente en el oficio respectivo de agravios y por parte de la actora en su escrito de contestación, debe decírseles que su transcripción queda al prudente arbitrio, por lo que, tomando en consideración las características especiales del caso, no hay necesidad de verterlos en su literalidad, además de que no se vulnera la disposición, expresa que imponga tal obligación, ni se transgrede derecho alguno, ya que se estudiarán y se les da respuesta a cada uno de ellos. Sirve de apoyo a lo anterior, la Jurisprudencia 2a./J. 58/2010 de número de registro 164618 emitida por la Segunda Sala de la Suprema Corte de Justicia de la Nación, publicada en el Semanario Judicial de la Federación y su Gaceta, en la Novena Época, Tomo XXXI, mayo de 2010, página 830, materia común, de rubro y texto siguientes:</w:t>
      </w:r>
    </w:p>
    <w:p w14:paraId="30878096" w14:textId="77777777" w:rsidR="00724869" w:rsidRDefault="00596D72">
      <w:pPr>
        <w:spacing w:after="0"/>
        <w:ind w:left="993" w:right="474"/>
        <w:jc w:val="both"/>
        <w:rPr>
          <w:rFonts w:ascii="Century Gothic" w:eastAsia="Century Gothic" w:hAnsi="Century Gothic" w:cs="Century Gothic"/>
          <w:b/>
          <w:i/>
        </w:rPr>
      </w:pPr>
      <w:r>
        <w:rPr>
          <w:rFonts w:ascii="Century Gothic" w:eastAsia="Century Gothic" w:hAnsi="Century Gothic" w:cs="Century Gothic"/>
          <w:b/>
        </w:rPr>
        <w:t>“</w:t>
      </w:r>
      <w:r>
        <w:rPr>
          <w:rFonts w:ascii="Century Gothic" w:eastAsia="Century Gothic" w:hAnsi="Century Gothic" w:cs="Century Gothic"/>
          <w:b/>
          <w:i/>
        </w:rPr>
        <w:t>CONCEPTOS DE VIOLACIÓN O AGRAVIOS. PARA CUMPLIR CON LOS PRINCIPIOS DE CONGRUENCIA Y EXHAUSTIVIDAD EN LAS SENTENCIAS DE AMPARO ES INNECESARIA SU TRANSCRIPCIÓN”.</w:t>
      </w:r>
      <w:r>
        <w:rPr>
          <w:rFonts w:ascii="Century Gothic" w:eastAsia="Century Gothic" w:hAnsi="Century Gothic" w:cs="Century Gothic"/>
          <w:b/>
          <w:i/>
          <w:vertAlign w:val="superscript"/>
        </w:rPr>
        <w:footnoteReference w:id="4"/>
      </w:r>
    </w:p>
    <w:p w14:paraId="595CCA71" w14:textId="77777777" w:rsidR="00724869" w:rsidRDefault="00596D72">
      <w:pPr>
        <w:numPr>
          <w:ilvl w:val="0"/>
          <w:numId w:val="3"/>
        </w:numPr>
        <w:pBdr>
          <w:top w:val="nil"/>
          <w:left w:val="nil"/>
          <w:bottom w:val="nil"/>
          <w:right w:val="nil"/>
          <w:between w:val="nil"/>
        </w:pBdr>
        <w:spacing w:before="240" w:after="0" w:line="360" w:lineRule="auto"/>
        <w:jc w:val="both"/>
        <w:rPr>
          <w:rFonts w:ascii="Century Gothic" w:eastAsia="Century Gothic" w:hAnsi="Century Gothic" w:cs="Century Gothic"/>
          <w:color w:val="000000"/>
          <w:sz w:val="24"/>
          <w:szCs w:val="24"/>
        </w:rPr>
      </w:pPr>
      <w:bookmarkStart w:id="5" w:name="_heading=h.3znysh7" w:colFirst="0" w:colLast="0"/>
      <w:bookmarkEnd w:id="5"/>
      <w:r>
        <w:rPr>
          <w:rFonts w:ascii="Century Gothic" w:eastAsia="Century Gothic" w:hAnsi="Century Gothic" w:cs="Century Gothic"/>
          <w:color w:val="000000"/>
          <w:sz w:val="24"/>
          <w:szCs w:val="24"/>
        </w:rPr>
        <w:lastRenderedPageBreak/>
        <w:t>Ahora bien, de lo expuesto por la autoridad recurrente en su único</w:t>
      </w:r>
      <w:r>
        <w:rPr>
          <w:rFonts w:ascii="Century Gothic" w:eastAsia="Century Gothic" w:hAnsi="Century Gothic" w:cs="Century Gothic"/>
          <w:b/>
          <w:color w:val="000000"/>
          <w:sz w:val="24"/>
          <w:szCs w:val="24"/>
        </w:rPr>
        <w:t xml:space="preserve"> agravio, </w:t>
      </w:r>
      <w:r>
        <w:rPr>
          <w:rFonts w:ascii="Century Gothic" w:eastAsia="Century Gothic" w:hAnsi="Century Gothic" w:cs="Century Gothic"/>
          <w:color w:val="000000"/>
          <w:sz w:val="24"/>
          <w:szCs w:val="24"/>
        </w:rPr>
        <w:t>se debe decir que en esencia señala lo siguiente</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 - - - - - - - - - - - - - - - - - - - - - - - - - - - - - - - - - - - - - - - -</w:t>
      </w:r>
    </w:p>
    <w:p w14:paraId="57CF239F" w14:textId="23E72F99" w:rsidR="00724869" w:rsidRDefault="00596D72">
      <w:pPr>
        <w:numPr>
          <w:ilvl w:val="0"/>
          <w:numId w:val="4"/>
        </w:numPr>
        <w:pBdr>
          <w:top w:val="nil"/>
          <w:left w:val="nil"/>
          <w:bottom w:val="nil"/>
          <w:right w:val="nil"/>
          <w:between w:val="nil"/>
        </w:pBdr>
        <w:spacing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Manifiesta que el acuerdo de veinticuatro de marzo de dos mil veintitrés, que emitió el Magistrado titular de la Sala Especializada carece de sustento jurídico, en virtud que</w:t>
      </w:r>
      <w:r>
        <w:rPr>
          <w:rFonts w:ascii="Century Gothic" w:eastAsia="Century Gothic" w:hAnsi="Century Gothic" w:cs="Century Gothic"/>
          <w:b/>
          <w:color w:val="000000"/>
          <w:sz w:val="24"/>
          <w:szCs w:val="24"/>
        </w:rPr>
        <w:t xml:space="preserve"> </w:t>
      </w:r>
      <w:r>
        <w:rPr>
          <w:rFonts w:ascii="Century Gothic" w:eastAsia="Century Gothic" w:hAnsi="Century Gothic" w:cs="Century Gothic"/>
          <w:color w:val="000000"/>
          <w:sz w:val="24"/>
          <w:szCs w:val="24"/>
        </w:rPr>
        <w:t xml:space="preserve">admitió a favor de la actora </w:t>
      </w:r>
      <w:r w:rsidR="00290667">
        <w:rPr>
          <w:rFonts w:ascii="Century Gothic" w:eastAsia="Century Gothic" w:hAnsi="Century Gothic" w:cs="Century Gothic"/>
          <w:color w:val="000000"/>
          <w:sz w:val="24"/>
          <w:szCs w:val="24"/>
        </w:rPr>
        <w:t xml:space="preserve">********** </w:t>
      </w:r>
      <w:r>
        <w:rPr>
          <w:rFonts w:ascii="Century Gothic" w:eastAsia="Century Gothic" w:hAnsi="Century Gothic" w:cs="Century Gothic"/>
          <w:color w:val="000000"/>
          <w:sz w:val="24"/>
          <w:szCs w:val="24"/>
        </w:rPr>
        <w:t>las pruebas consistentes en a) las constancias que integran el expediente 115/11/PA-B/2022,</w:t>
      </w:r>
      <w:r>
        <w:rPr>
          <w:color w:val="000000"/>
        </w:rPr>
        <w:t xml:space="preserve"> </w:t>
      </w:r>
      <w:r>
        <w:rPr>
          <w:rFonts w:ascii="Century Gothic" w:eastAsia="Century Gothic" w:hAnsi="Century Gothic" w:cs="Century Gothic"/>
          <w:color w:val="000000"/>
          <w:sz w:val="24"/>
          <w:szCs w:val="24"/>
        </w:rPr>
        <w:t xml:space="preserve">de la Dirección de Responsabilidades Administrativas y Situación Patrimonial, de la Secretaría de Honestidad, Transparencia y Función Pública del Poder Ejecutivo del Estado de Oaxaca y b) las constancias que integran el expediente DQDI-A/1306/10/2019 de la Dirección de Quejas, Denuncias e Investigación de la citada </w:t>
      </w:r>
      <w:r>
        <w:rPr>
          <w:rFonts w:ascii="Century Gothic" w:eastAsia="Century Gothic" w:hAnsi="Century Gothic" w:cs="Century Gothic"/>
          <w:sz w:val="24"/>
          <w:szCs w:val="24"/>
        </w:rPr>
        <w:t>secretaría</w:t>
      </w:r>
      <w:r>
        <w:rPr>
          <w:rFonts w:ascii="Century Gothic" w:eastAsia="Century Gothic" w:hAnsi="Century Gothic" w:cs="Century Gothic"/>
          <w:color w:val="000000"/>
          <w:sz w:val="24"/>
          <w:szCs w:val="24"/>
        </w:rPr>
        <w:t>; sin embargo, en acuerdo diverso de veinte de enero de dos mil veintitrés, se determinó que estas mismas pruebas ya habían sido declaradas como no admitidas por no cumplir con el requerimiento que se le hizo la actora, por lo tanto, existe contradicción en las determinaciones dictadas por el Magistrado de primera instancia y debe ser revocada el acuerdo que contiene esta parte contradictoria al contravenir lo establecido en el artículo 189 de la Ley de Procedimiento y Justicia Administrativa para el Estado de Oaxaca.</w:t>
      </w:r>
    </w:p>
    <w:p w14:paraId="40966B0B" w14:textId="68C0BE8F" w:rsidR="00724869" w:rsidRDefault="00596D72">
      <w:pPr>
        <w:spacing w:before="240" w:line="360" w:lineRule="auto"/>
        <w:ind w:firstLine="567"/>
        <w:jc w:val="both"/>
        <w:rPr>
          <w:rFonts w:ascii="Century Gothic" w:eastAsia="Century Gothic" w:hAnsi="Century Gothic" w:cs="Century Gothic"/>
          <w:sz w:val="24"/>
          <w:szCs w:val="24"/>
        </w:rPr>
      </w:pPr>
      <w:r>
        <w:rPr>
          <w:rFonts w:ascii="Century Gothic" w:eastAsia="Century Gothic" w:hAnsi="Century Gothic" w:cs="Century Gothic"/>
          <w:b/>
          <w:sz w:val="24"/>
          <w:szCs w:val="24"/>
        </w:rPr>
        <w:t>B)</w:t>
      </w:r>
      <w:r>
        <w:rPr>
          <w:rFonts w:ascii="Century Gothic" w:eastAsia="Century Gothic" w:hAnsi="Century Gothic" w:cs="Century Gothic"/>
          <w:sz w:val="24"/>
          <w:szCs w:val="24"/>
        </w:rPr>
        <w:t xml:space="preserve"> Por lo que respecta a la contestación de agravios por parte de la ciudadana </w:t>
      </w:r>
      <w:r w:rsidR="00290667">
        <w:rPr>
          <w:rFonts w:ascii="Century Gothic" w:eastAsia="Century Gothic" w:hAnsi="Century Gothic" w:cs="Century Gothic"/>
          <w:color w:val="000000"/>
          <w:sz w:val="24"/>
          <w:szCs w:val="24"/>
        </w:rPr>
        <w:t xml:space="preserve">********** </w:t>
      </w:r>
      <w:r>
        <w:rPr>
          <w:rFonts w:ascii="Century Gothic" w:eastAsia="Century Gothic" w:hAnsi="Century Gothic" w:cs="Century Gothic"/>
          <w:sz w:val="24"/>
          <w:szCs w:val="24"/>
        </w:rPr>
        <w:t>en esencia argumenta lo siguiente</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 - - - - - - - - - - - - - - - - - - - - - - - - - - - - - - - - - - - - - - - - - - - - - - </w:t>
      </w:r>
    </w:p>
    <w:p w14:paraId="65956E7E" w14:textId="77777777" w:rsidR="00724869" w:rsidRDefault="00596D72">
      <w:pPr>
        <w:numPr>
          <w:ilvl w:val="0"/>
          <w:numId w:val="4"/>
        </w:numPr>
        <w:pBdr>
          <w:top w:val="nil"/>
          <w:left w:val="nil"/>
          <w:bottom w:val="nil"/>
          <w:right w:val="nil"/>
          <w:between w:val="nil"/>
        </w:pBdr>
        <w:spacing w:before="240" w:line="360" w:lineRule="auto"/>
        <w:jc w:val="both"/>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Dice que se debe desestimar y desechar de plano lo señalado por la responsable en su oficio número SHTFP/SRAA/DJ/374/2023 de treinta de marzo de dos mil veintitrés, por el que el </w:t>
      </w:r>
      <w:proofErr w:type="gramStart"/>
      <w:r>
        <w:rPr>
          <w:rFonts w:ascii="Century Gothic" w:eastAsia="Century Gothic" w:hAnsi="Century Gothic" w:cs="Century Gothic"/>
          <w:color w:val="000000"/>
          <w:sz w:val="24"/>
          <w:szCs w:val="24"/>
        </w:rPr>
        <w:t>Director</w:t>
      </w:r>
      <w:proofErr w:type="gramEnd"/>
      <w:r>
        <w:rPr>
          <w:rFonts w:ascii="Century Gothic" w:eastAsia="Century Gothic" w:hAnsi="Century Gothic" w:cs="Century Gothic"/>
          <w:color w:val="000000"/>
          <w:sz w:val="24"/>
          <w:szCs w:val="24"/>
        </w:rPr>
        <w:t xml:space="preserve"> Jurídico de la </w:t>
      </w:r>
      <w:r>
        <w:rPr>
          <w:rFonts w:ascii="Century Gothic" w:eastAsia="Century Gothic" w:hAnsi="Century Gothic" w:cs="Century Gothic"/>
          <w:sz w:val="24"/>
          <w:szCs w:val="24"/>
        </w:rPr>
        <w:t>Secretaría</w:t>
      </w:r>
      <w:r>
        <w:rPr>
          <w:rFonts w:ascii="Century Gothic" w:eastAsia="Century Gothic" w:hAnsi="Century Gothic" w:cs="Century Gothic"/>
          <w:color w:val="000000"/>
          <w:sz w:val="24"/>
          <w:szCs w:val="24"/>
        </w:rPr>
        <w:t xml:space="preserve"> de la Contraloría y Transparencia Gubernamental del Poder Ejecutivo del Estado de Oaxaca, no tiene competencia para interponer el recurso de revisión y formula agravios. - -</w:t>
      </w:r>
    </w:p>
    <w:p w14:paraId="30BCCE63"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CUARTO. Estudio de los agravios</w:t>
      </w:r>
      <w:r>
        <w:rPr>
          <w:rFonts w:ascii="Century Gothic" w:eastAsia="Century Gothic" w:hAnsi="Century Gothic" w:cs="Century Gothic"/>
          <w:sz w:val="24"/>
          <w:szCs w:val="24"/>
        </w:rPr>
        <w:t>.</w:t>
      </w:r>
    </w:p>
    <w:p w14:paraId="5646740B" w14:textId="319CBEDB"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7.</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Por razón de método, los agravios y contestación de los mismos, primero se dará contestación al recurrente, para posteriormente a la ciudadana</w:t>
      </w:r>
      <w:r w:rsidR="00290667">
        <w:rPr>
          <w:rFonts w:ascii="Century Gothic" w:eastAsia="Century Gothic" w:hAnsi="Century Gothic" w:cs="Century Gothic"/>
          <w:sz w:val="24"/>
          <w:szCs w:val="24"/>
        </w:rPr>
        <w:t xml:space="preserve"> </w:t>
      </w:r>
      <w:r w:rsidR="00290667">
        <w:rPr>
          <w:rFonts w:ascii="Century Gothic" w:eastAsia="Century Gothic" w:hAnsi="Century Gothic" w:cs="Century Gothic"/>
          <w:color w:val="000000"/>
          <w:sz w:val="24"/>
          <w:szCs w:val="24"/>
        </w:rPr>
        <w:t>**********</w:t>
      </w:r>
      <w:r>
        <w:rPr>
          <w:rFonts w:ascii="Century Gothic" w:eastAsia="Century Gothic" w:hAnsi="Century Gothic" w:cs="Century Gothic"/>
          <w:sz w:val="24"/>
          <w:szCs w:val="24"/>
        </w:rPr>
        <w:t xml:space="preserve">, sin que ello irrogue perjuicio a la parte actora, ya que este Colegiado se ocupará de todos los motivos de disenso, esto es, que no omita estudiar alguno, y al analizar éstos se resolverá sobre el fondo señalado de los mismos. - - - - - - - - - - - - - - - - - - - - - - - - - - - - - - - - - - - - - - - - - - - - - - - - - - </w:t>
      </w:r>
    </w:p>
    <w:p w14:paraId="67DEC028" w14:textId="77777777" w:rsidR="00724869" w:rsidRDefault="00596D72">
      <w:pPr>
        <w:spacing w:before="240" w:line="360" w:lineRule="auto"/>
        <w:ind w:right="49" w:firstLine="567"/>
        <w:jc w:val="both"/>
        <w:rPr>
          <w:rFonts w:ascii="Century Gothic" w:eastAsia="Century Gothic" w:hAnsi="Century Gothic" w:cs="Century Gothic"/>
          <w:b/>
          <w:sz w:val="24"/>
          <w:szCs w:val="24"/>
        </w:rPr>
      </w:pPr>
      <w:r>
        <w:rPr>
          <w:rFonts w:ascii="Century Gothic" w:eastAsia="Century Gothic" w:hAnsi="Century Gothic" w:cs="Century Gothic"/>
          <w:b/>
          <w:sz w:val="24"/>
          <w:szCs w:val="24"/>
        </w:rPr>
        <w:t>A) Autoridad recurrente</w:t>
      </w:r>
    </w:p>
    <w:p w14:paraId="677EA987"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8. De los argumentos previamente sintetizados en su agravio y del análisis de los acuerdos de veinte de enero del dos mil veintitrés y veinticuatro de marzo del dos mil veintitrés emitidos por la Sala Especializada en Materia de Responsabilidades Administrativas y Combate a la Corrupción en el expediente en estudio, se puede llegar a la conclusión que el agravio hecho valer </w:t>
      </w:r>
      <w:r>
        <w:rPr>
          <w:rFonts w:ascii="Century Gothic" w:eastAsia="Century Gothic" w:hAnsi="Century Gothic" w:cs="Century Gothic"/>
          <w:b/>
          <w:sz w:val="24"/>
          <w:szCs w:val="24"/>
        </w:rPr>
        <w:t>es fundado</w:t>
      </w:r>
      <w:r>
        <w:rPr>
          <w:rFonts w:ascii="Century Gothic" w:eastAsia="Century Gothic" w:hAnsi="Century Gothic" w:cs="Century Gothic"/>
          <w:sz w:val="24"/>
          <w:szCs w:val="24"/>
        </w:rPr>
        <w:t xml:space="preserve"> en virtud que, efectivamente existe contradicción en las determinaciones en cita del expediente en estudio, que fueron dictadas por el mismo Magistrado de primera instancia. - - - - - - - - - - - - - - - - - - - - - - - - - - - - - - - - - - - - - - - - </w:t>
      </w:r>
    </w:p>
    <w:p w14:paraId="013A8892"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9. Para efectuar una correcta</w:t>
      </w:r>
      <w:r>
        <w:rPr>
          <w:rFonts w:ascii="Arial" w:eastAsia="Arial" w:hAnsi="Arial" w:cs="Arial"/>
          <w:sz w:val="24"/>
          <w:szCs w:val="24"/>
        </w:rPr>
        <w:t xml:space="preserve"> </w:t>
      </w:r>
      <w:r>
        <w:rPr>
          <w:rFonts w:ascii="Century Gothic" w:eastAsia="Century Gothic" w:hAnsi="Century Gothic" w:cs="Century Gothic"/>
          <w:sz w:val="24"/>
          <w:szCs w:val="24"/>
        </w:rPr>
        <w:t xml:space="preserve">motivación, es necesario la visualización de la parte específica de los acuerdos en mención, para proceder a estudio del contenido de cada uno, únicamente respecto de las pretensiones por las que se adolece el recurrente en la presente revisión: - - - - - - - - - - - - - - - - - - - - - - - - - - - - - - - - - - - - - - - - - - - - - - - - - - </w:t>
      </w:r>
    </w:p>
    <w:p w14:paraId="3D960B6D" w14:textId="77777777" w:rsidR="00724869" w:rsidRDefault="00596D72">
      <w:pPr>
        <w:numPr>
          <w:ilvl w:val="0"/>
          <w:numId w:val="4"/>
        </w:numPr>
        <w:pBdr>
          <w:top w:val="nil"/>
          <w:left w:val="nil"/>
          <w:bottom w:val="nil"/>
          <w:right w:val="nil"/>
          <w:between w:val="nil"/>
        </w:pBdr>
        <w:spacing w:before="240" w:after="0" w:line="360" w:lineRule="auto"/>
        <w:ind w:left="1134" w:hanging="283"/>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Acuerdo de veinte de enero de dos mil veintitrés</w:t>
      </w:r>
    </w:p>
    <w:p w14:paraId="40412BE4" w14:textId="4FB88E94" w:rsidR="00724869" w:rsidRDefault="00596D72">
      <w:pPr>
        <w:spacing w:before="240" w:after="0" w:line="360" w:lineRule="auto"/>
        <w:ind w:left="851"/>
        <w:jc w:val="both"/>
        <w:rPr>
          <w:rFonts w:ascii="Century Gothic" w:eastAsia="Century Gothic" w:hAnsi="Century Gothic" w:cs="Century Gothic"/>
          <w:i/>
          <w:sz w:val="24"/>
          <w:szCs w:val="24"/>
        </w:rPr>
      </w:pPr>
      <w:r>
        <w:rPr>
          <w:rFonts w:ascii="Century Gothic" w:eastAsia="Century Gothic" w:hAnsi="Century Gothic" w:cs="Century Gothic"/>
          <w:sz w:val="24"/>
          <w:szCs w:val="24"/>
        </w:rPr>
        <w:t>“</w:t>
      </w:r>
      <w:r>
        <w:rPr>
          <w:rFonts w:ascii="Century Gothic" w:eastAsia="Century Gothic" w:hAnsi="Century Gothic" w:cs="Century Gothic"/>
          <w:i/>
          <w:sz w:val="24"/>
          <w:szCs w:val="24"/>
        </w:rPr>
        <w:t>Fue recibido en la Oficiala de Partes Común de este Tribunal, el cinco de enero del año en curso, el escrito de</w:t>
      </w:r>
      <w:r w:rsidR="00290667">
        <w:rPr>
          <w:rFonts w:ascii="Century Gothic" w:eastAsia="Century Gothic" w:hAnsi="Century Gothic" w:cs="Century Gothic"/>
          <w:i/>
          <w:sz w:val="24"/>
          <w:szCs w:val="24"/>
        </w:rPr>
        <w:t xml:space="preserve"> </w:t>
      </w:r>
      <w:r w:rsidR="00290667">
        <w:rPr>
          <w:rFonts w:ascii="Century Gothic" w:eastAsia="Century Gothic" w:hAnsi="Century Gothic" w:cs="Century Gothic"/>
          <w:color w:val="000000"/>
          <w:sz w:val="24"/>
          <w:szCs w:val="24"/>
        </w:rPr>
        <w:t>**********</w:t>
      </w:r>
      <w:r>
        <w:rPr>
          <w:rFonts w:ascii="Century Gothic" w:eastAsia="Century Gothic" w:hAnsi="Century Gothic" w:cs="Century Gothic"/>
          <w:i/>
          <w:sz w:val="24"/>
          <w:szCs w:val="24"/>
        </w:rPr>
        <w:t>, por medio del cual se le tiene cumpliendo parcialmente con el requerimiento que se le hizo en el acuerdo que antecede, esto es así, en virtud de que</w:t>
      </w:r>
      <w:r w:rsidR="00290667">
        <w:rPr>
          <w:rFonts w:ascii="Century Gothic" w:eastAsia="Century Gothic" w:hAnsi="Century Gothic" w:cs="Century Gothic"/>
          <w:i/>
          <w:sz w:val="24"/>
          <w:szCs w:val="24"/>
        </w:rPr>
        <w:t xml:space="preserve"> </w:t>
      </w:r>
      <w:r w:rsidR="00290667">
        <w:rPr>
          <w:rFonts w:ascii="Century Gothic" w:eastAsia="Century Gothic" w:hAnsi="Century Gothic" w:cs="Century Gothic"/>
          <w:color w:val="000000"/>
          <w:sz w:val="24"/>
          <w:szCs w:val="24"/>
        </w:rPr>
        <w:t>**********</w:t>
      </w:r>
      <w:r>
        <w:rPr>
          <w:rFonts w:ascii="Century Gothic" w:eastAsia="Century Gothic" w:hAnsi="Century Gothic" w:cs="Century Gothic"/>
          <w:i/>
          <w:sz w:val="24"/>
          <w:szCs w:val="24"/>
        </w:rPr>
        <w:t xml:space="preserve">, </w:t>
      </w:r>
      <w:r>
        <w:rPr>
          <w:rFonts w:ascii="Century Gothic" w:eastAsia="Century Gothic" w:hAnsi="Century Gothic" w:cs="Century Gothic"/>
          <w:b/>
          <w:i/>
          <w:sz w:val="24"/>
          <w:szCs w:val="24"/>
        </w:rPr>
        <w:t>no exhibió</w:t>
      </w:r>
      <w:r>
        <w:rPr>
          <w:rFonts w:ascii="Century Gothic" w:eastAsia="Century Gothic" w:hAnsi="Century Gothic" w:cs="Century Gothic"/>
          <w:i/>
          <w:sz w:val="24"/>
          <w:szCs w:val="24"/>
        </w:rPr>
        <w:t xml:space="preserve"> copias simples o certificadas del expediente </w:t>
      </w:r>
      <w:r>
        <w:rPr>
          <w:rFonts w:ascii="Century Gothic" w:eastAsia="Century Gothic" w:hAnsi="Century Gothic" w:cs="Century Gothic"/>
          <w:b/>
          <w:i/>
          <w:sz w:val="24"/>
          <w:szCs w:val="24"/>
        </w:rPr>
        <w:t>115/11/PA- B/2022</w:t>
      </w:r>
      <w:r>
        <w:rPr>
          <w:rFonts w:ascii="Century Gothic" w:eastAsia="Century Gothic" w:hAnsi="Century Gothic" w:cs="Century Gothic"/>
          <w:i/>
          <w:sz w:val="24"/>
          <w:szCs w:val="24"/>
        </w:rPr>
        <w:t xml:space="preserve">, y del expediente </w:t>
      </w:r>
      <w:r>
        <w:rPr>
          <w:rFonts w:ascii="Century Gothic" w:eastAsia="Century Gothic" w:hAnsi="Century Gothic" w:cs="Century Gothic"/>
          <w:b/>
          <w:i/>
          <w:sz w:val="24"/>
          <w:szCs w:val="24"/>
        </w:rPr>
        <w:t>DQDI-A/1306/10/2019</w:t>
      </w:r>
      <w:r>
        <w:rPr>
          <w:rFonts w:ascii="Century Gothic" w:eastAsia="Century Gothic" w:hAnsi="Century Gothic" w:cs="Century Gothic"/>
          <w:i/>
          <w:sz w:val="24"/>
          <w:szCs w:val="24"/>
        </w:rPr>
        <w:t xml:space="preserve">, ni tampoco justifico haber solicitado copias simples o certificadas ante la autoridad que lo tiene bajo su resguardo, esto en términos del artículo 191 de la Ley de Procedimiento y Justicia Administrativa para el Estado de Oaxaca, motivo por el cual, se le hace efectivo el </w:t>
      </w:r>
      <w:r>
        <w:rPr>
          <w:rFonts w:ascii="Century Gothic" w:eastAsia="Century Gothic" w:hAnsi="Century Gothic" w:cs="Century Gothic"/>
          <w:i/>
          <w:sz w:val="24"/>
          <w:szCs w:val="24"/>
        </w:rPr>
        <w:lastRenderedPageBreak/>
        <w:t xml:space="preserve">apercibimiento decretado mediante acuerdo de veintiocho de octubre de dos mil veintidós, como consecuencia de ello, </w:t>
      </w:r>
      <w:r>
        <w:rPr>
          <w:rFonts w:ascii="Century Gothic" w:eastAsia="Century Gothic" w:hAnsi="Century Gothic" w:cs="Century Gothic"/>
          <w:b/>
          <w:i/>
          <w:sz w:val="24"/>
          <w:szCs w:val="24"/>
        </w:rPr>
        <w:t>no se admiten las pruebas documentales citadas</w:t>
      </w:r>
      <w:r>
        <w:rPr>
          <w:rFonts w:ascii="Century Gothic" w:eastAsia="Century Gothic" w:hAnsi="Century Gothic" w:cs="Century Gothic"/>
          <w:i/>
          <w:sz w:val="24"/>
          <w:szCs w:val="24"/>
        </w:rPr>
        <w:t>, tomando en consideración que el juicio de nulidad es de estricto derecho, razón por la cual no hay suplencia de la queja tratándose de las pruebas que las partes ofrezcan de su parte, lo anterior con fundamento en los artículos 188 y 189 de la Ley de Procedimiento y Justicia Administrativa para el Estado de Oaxaca”(</w:t>
      </w:r>
      <w:r>
        <w:rPr>
          <w:rFonts w:ascii="Century Gothic" w:eastAsia="Century Gothic" w:hAnsi="Century Gothic" w:cs="Century Gothic"/>
          <w:i/>
          <w:sz w:val="20"/>
          <w:szCs w:val="20"/>
        </w:rPr>
        <w:t>primer párrafo de la foja 147</w:t>
      </w:r>
      <w:r>
        <w:rPr>
          <w:rFonts w:ascii="Century Gothic" w:eastAsia="Century Gothic" w:hAnsi="Century Gothic" w:cs="Century Gothic"/>
          <w:i/>
          <w:sz w:val="24"/>
          <w:szCs w:val="24"/>
        </w:rPr>
        <w:t>).</w:t>
      </w:r>
    </w:p>
    <w:p w14:paraId="1F3DA039" w14:textId="77777777" w:rsidR="00724869" w:rsidRDefault="00596D72">
      <w:pPr>
        <w:numPr>
          <w:ilvl w:val="0"/>
          <w:numId w:val="4"/>
        </w:numPr>
        <w:pBdr>
          <w:top w:val="nil"/>
          <w:left w:val="nil"/>
          <w:bottom w:val="nil"/>
          <w:right w:val="nil"/>
          <w:between w:val="nil"/>
        </w:pBdr>
        <w:spacing w:before="240" w:after="0" w:line="360" w:lineRule="auto"/>
        <w:ind w:left="1134" w:hanging="283"/>
        <w:jc w:val="both"/>
        <w:rPr>
          <w:rFonts w:ascii="Century Gothic" w:eastAsia="Century Gothic" w:hAnsi="Century Gothic" w:cs="Century Gothic"/>
          <w:color w:val="000000"/>
          <w:sz w:val="24"/>
          <w:szCs w:val="24"/>
        </w:rPr>
      </w:pPr>
      <w:r>
        <w:rPr>
          <w:rFonts w:ascii="Century Gothic" w:eastAsia="Century Gothic" w:hAnsi="Century Gothic" w:cs="Century Gothic"/>
          <w:b/>
          <w:color w:val="000000"/>
          <w:sz w:val="24"/>
          <w:szCs w:val="24"/>
        </w:rPr>
        <w:t>Acuerdo de veinticuatro de marzo de dos mil veintitrés</w:t>
      </w:r>
    </w:p>
    <w:p w14:paraId="1A386EBF" w14:textId="4296EAAB" w:rsidR="00724869" w:rsidRDefault="00596D72">
      <w:pPr>
        <w:spacing w:before="240" w:after="0" w:line="360" w:lineRule="auto"/>
        <w:ind w:left="851"/>
        <w:jc w:val="both"/>
        <w:rPr>
          <w:rFonts w:ascii="Century Gothic" w:eastAsia="Century Gothic" w:hAnsi="Century Gothic" w:cs="Century Gothic"/>
          <w:i/>
          <w:sz w:val="24"/>
          <w:szCs w:val="24"/>
        </w:rPr>
      </w:pPr>
      <w:bookmarkStart w:id="6" w:name="_heading=h.2et92p0" w:colFirst="0" w:colLast="0"/>
      <w:bookmarkEnd w:id="6"/>
      <w:r>
        <w:rPr>
          <w:rFonts w:ascii="Century Gothic" w:eastAsia="Century Gothic" w:hAnsi="Century Gothic" w:cs="Century Gothic"/>
          <w:sz w:val="24"/>
          <w:szCs w:val="24"/>
        </w:rPr>
        <w:t>“</w:t>
      </w:r>
      <w:r>
        <w:rPr>
          <w:rFonts w:ascii="Century Gothic" w:eastAsia="Century Gothic" w:hAnsi="Century Gothic" w:cs="Century Gothic"/>
          <w:i/>
          <w:sz w:val="24"/>
          <w:szCs w:val="24"/>
        </w:rPr>
        <w:t xml:space="preserve">Visto el estado procesal que guarda el presente juicio, del que se puede advertir </w:t>
      </w:r>
      <w:r>
        <w:rPr>
          <w:rFonts w:ascii="Century Gothic" w:eastAsia="Century Gothic" w:hAnsi="Century Gothic" w:cs="Century Gothic"/>
          <w:b/>
          <w:i/>
          <w:sz w:val="24"/>
          <w:szCs w:val="24"/>
        </w:rPr>
        <w:t>que se reservó la admisión</w:t>
      </w:r>
      <w:r>
        <w:rPr>
          <w:rFonts w:ascii="Century Gothic" w:eastAsia="Century Gothic" w:hAnsi="Century Gothic" w:cs="Century Gothic"/>
          <w:i/>
          <w:sz w:val="24"/>
          <w:szCs w:val="24"/>
        </w:rPr>
        <w:t xml:space="preserve"> de dos pruebas ofrecidas por</w:t>
      </w:r>
      <w:r w:rsidR="00290667">
        <w:rPr>
          <w:rFonts w:ascii="Century Gothic" w:eastAsia="Century Gothic" w:hAnsi="Century Gothic" w:cs="Century Gothic"/>
          <w:i/>
          <w:sz w:val="24"/>
          <w:szCs w:val="24"/>
        </w:rPr>
        <w:t xml:space="preserve"> </w:t>
      </w:r>
      <w:r w:rsidR="00290667">
        <w:rPr>
          <w:rFonts w:ascii="Century Gothic" w:eastAsia="Century Gothic" w:hAnsi="Century Gothic" w:cs="Century Gothic"/>
          <w:color w:val="000000"/>
          <w:sz w:val="24"/>
          <w:szCs w:val="24"/>
        </w:rPr>
        <w:t>**********</w:t>
      </w:r>
      <w:r>
        <w:rPr>
          <w:rFonts w:ascii="Century Gothic" w:eastAsia="Century Gothic" w:hAnsi="Century Gothic" w:cs="Century Gothic"/>
          <w:i/>
          <w:sz w:val="24"/>
          <w:szCs w:val="24"/>
        </w:rPr>
        <w:t xml:space="preserve">, hasta en tanto la autoridad demandada exhibiera expediente administrativo 115/11/PA.B/2022, por tal motivo, </w:t>
      </w:r>
      <w:r>
        <w:rPr>
          <w:rFonts w:ascii="Century Gothic" w:eastAsia="Century Gothic" w:hAnsi="Century Gothic" w:cs="Century Gothic"/>
          <w:b/>
          <w:i/>
          <w:sz w:val="24"/>
          <w:szCs w:val="24"/>
        </w:rPr>
        <w:t>se admite</w:t>
      </w:r>
      <w:r>
        <w:rPr>
          <w:rFonts w:ascii="Century Gothic" w:eastAsia="Century Gothic" w:hAnsi="Century Gothic" w:cs="Century Gothic"/>
          <w:i/>
          <w:sz w:val="24"/>
          <w:szCs w:val="24"/>
        </w:rPr>
        <w:t xml:space="preserve"> las pruebas ofrecidas por la parte actora consistentes en: </w:t>
      </w:r>
      <w:r>
        <w:rPr>
          <w:rFonts w:ascii="Century Gothic" w:eastAsia="Century Gothic" w:hAnsi="Century Gothic" w:cs="Century Gothic"/>
          <w:b/>
          <w:i/>
          <w:sz w:val="24"/>
          <w:szCs w:val="24"/>
        </w:rPr>
        <w:t>a)</w:t>
      </w:r>
      <w:r>
        <w:rPr>
          <w:rFonts w:ascii="Century Gothic" w:eastAsia="Century Gothic" w:hAnsi="Century Gothic" w:cs="Century Gothic"/>
          <w:i/>
          <w:sz w:val="24"/>
          <w:szCs w:val="24"/>
        </w:rPr>
        <w:t xml:space="preserve"> Las constancias que integran el expediente 115/11/PA-B/2022 del índice de la Dirección de Responsabilidades Administrativas y Situación Patrimonial, de la Secretaría de Honestidad, Transparencia y Función Pública del Poder Ejecutivo del Estado de Oaxaca; </w:t>
      </w:r>
      <w:r>
        <w:rPr>
          <w:rFonts w:ascii="Century Gothic" w:eastAsia="Century Gothic" w:hAnsi="Century Gothic" w:cs="Century Gothic"/>
          <w:b/>
          <w:i/>
          <w:sz w:val="24"/>
          <w:szCs w:val="24"/>
        </w:rPr>
        <w:t>b)</w:t>
      </w:r>
      <w:r>
        <w:rPr>
          <w:rFonts w:ascii="Century Gothic" w:eastAsia="Century Gothic" w:hAnsi="Century Gothic" w:cs="Century Gothic"/>
          <w:i/>
          <w:sz w:val="24"/>
          <w:szCs w:val="24"/>
        </w:rPr>
        <w:t xml:space="preserve"> Las constancias que integran el expediente DQDI-A/1306/10/2019 de la Dirección de Quejas, Denuncias e Investigación de la citada secretaria</w:t>
      </w:r>
      <w:r>
        <w:rPr>
          <w:rFonts w:ascii="Century Gothic" w:eastAsia="Century Gothic" w:hAnsi="Century Gothic" w:cs="Century Gothic"/>
          <w:sz w:val="24"/>
          <w:szCs w:val="24"/>
        </w:rPr>
        <w:t xml:space="preserve">” </w:t>
      </w:r>
      <w:r>
        <w:rPr>
          <w:rFonts w:ascii="Century Gothic" w:eastAsia="Century Gothic" w:hAnsi="Century Gothic" w:cs="Century Gothic"/>
          <w:i/>
          <w:sz w:val="24"/>
          <w:szCs w:val="24"/>
        </w:rPr>
        <w:t>(</w:t>
      </w:r>
      <w:r>
        <w:rPr>
          <w:rFonts w:ascii="Century Gothic" w:eastAsia="Century Gothic" w:hAnsi="Century Gothic" w:cs="Century Gothic"/>
          <w:i/>
          <w:sz w:val="20"/>
          <w:szCs w:val="20"/>
        </w:rPr>
        <w:t>sexto párrafo de la foja 177</w:t>
      </w:r>
      <w:r>
        <w:rPr>
          <w:rFonts w:ascii="Century Gothic" w:eastAsia="Century Gothic" w:hAnsi="Century Gothic" w:cs="Century Gothic"/>
          <w:i/>
          <w:sz w:val="24"/>
          <w:szCs w:val="24"/>
        </w:rPr>
        <w:t>).</w:t>
      </w:r>
    </w:p>
    <w:p w14:paraId="01FD462B" w14:textId="77777777" w:rsidR="00724869" w:rsidRDefault="00596D72">
      <w:pPr>
        <w:spacing w:before="240" w:after="0" w:line="360" w:lineRule="auto"/>
        <w:jc w:val="both"/>
        <w:rPr>
          <w:rFonts w:ascii="Century Gothic" w:eastAsia="Century Gothic" w:hAnsi="Century Gothic" w:cs="Century Gothic"/>
          <w:i/>
          <w:sz w:val="24"/>
          <w:szCs w:val="24"/>
        </w:rPr>
      </w:pPr>
      <w:r>
        <w:rPr>
          <w:rFonts w:ascii="Century Gothic" w:eastAsia="Century Gothic" w:hAnsi="Century Gothic" w:cs="Century Gothic"/>
          <w:i/>
          <w:sz w:val="24"/>
          <w:szCs w:val="24"/>
        </w:rPr>
        <w:tab/>
      </w:r>
      <w:r>
        <w:rPr>
          <w:rFonts w:ascii="Century Gothic" w:eastAsia="Century Gothic" w:hAnsi="Century Gothic" w:cs="Century Gothic"/>
          <w:sz w:val="24"/>
          <w:szCs w:val="24"/>
        </w:rPr>
        <w:t>10.</w:t>
      </w:r>
      <w:r>
        <w:rPr>
          <w:rFonts w:ascii="Century Gothic" w:eastAsia="Century Gothic" w:hAnsi="Century Gothic" w:cs="Century Gothic"/>
          <w:i/>
          <w:sz w:val="24"/>
          <w:szCs w:val="24"/>
        </w:rPr>
        <w:t xml:space="preserve"> </w:t>
      </w:r>
      <w:r>
        <w:rPr>
          <w:rFonts w:ascii="Century Gothic" w:eastAsia="Century Gothic" w:hAnsi="Century Gothic" w:cs="Century Gothic"/>
          <w:sz w:val="24"/>
          <w:szCs w:val="24"/>
        </w:rPr>
        <w:t xml:space="preserve">De la lectura de las transcripciones, se tiene que efectivamente el titular de la Sala Especializada en Materia de Responsabilidades en su actuación jurisdiccional plantea un argumento en un fundamento de derecho y posteriormente, en otro acuerdo, propone algo que se contrapone con lo antedicho por él mismo, lo cual evidencia una notoria contradicción, ya que al momento de resolver sobre la admisión de dos pruebas que ofreció la actora, en el acuerdo dictado el </w:t>
      </w:r>
      <w:r>
        <w:rPr>
          <w:rFonts w:ascii="Century Gothic" w:eastAsia="Century Gothic" w:hAnsi="Century Gothic" w:cs="Century Gothic"/>
          <w:b/>
          <w:sz w:val="24"/>
          <w:szCs w:val="24"/>
          <w:u w:val="single"/>
        </w:rPr>
        <w:t>veinte de enero de dos mil veintitrés</w:t>
      </w:r>
      <w:r>
        <w:rPr>
          <w:rFonts w:ascii="Century Gothic" w:eastAsia="Century Gothic" w:hAnsi="Century Gothic" w:cs="Century Gothic"/>
          <w:b/>
          <w:sz w:val="24"/>
          <w:szCs w:val="24"/>
        </w:rPr>
        <w:t xml:space="preserve">, no le admiten </w:t>
      </w:r>
      <w:r>
        <w:rPr>
          <w:rFonts w:ascii="Century Gothic" w:eastAsia="Century Gothic" w:hAnsi="Century Gothic" w:cs="Century Gothic"/>
          <w:sz w:val="24"/>
          <w:szCs w:val="24"/>
        </w:rPr>
        <w:t xml:space="preserve">las copias del </w:t>
      </w:r>
      <w:r>
        <w:rPr>
          <w:rFonts w:ascii="Century Gothic" w:eastAsia="Century Gothic" w:hAnsi="Century Gothic" w:cs="Century Gothic"/>
          <w:sz w:val="24"/>
          <w:szCs w:val="24"/>
          <w:u w:val="single"/>
        </w:rPr>
        <w:t>expediente 115/11/PA-B/2022</w:t>
      </w:r>
      <w:r>
        <w:rPr>
          <w:rFonts w:ascii="Century Gothic" w:eastAsia="Century Gothic" w:hAnsi="Century Gothic" w:cs="Century Gothic"/>
          <w:sz w:val="24"/>
          <w:szCs w:val="24"/>
        </w:rPr>
        <w:t xml:space="preserve">, y el </w:t>
      </w:r>
      <w:r>
        <w:rPr>
          <w:rFonts w:ascii="Century Gothic" w:eastAsia="Century Gothic" w:hAnsi="Century Gothic" w:cs="Century Gothic"/>
          <w:sz w:val="24"/>
          <w:szCs w:val="24"/>
          <w:u w:val="single"/>
        </w:rPr>
        <w:t>expediente DQDI-A/1306/10/2019</w:t>
      </w:r>
      <w:r>
        <w:rPr>
          <w:rFonts w:ascii="Century Gothic" w:eastAsia="Century Gothic" w:hAnsi="Century Gothic" w:cs="Century Gothic"/>
          <w:sz w:val="24"/>
          <w:szCs w:val="24"/>
        </w:rPr>
        <w:t xml:space="preserve">; y posteriormente en diverso acuerdo de </w:t>
      </w:r>
      <w:r>
        <w:rPr>
          <w:rFonts w:ascii="Century Gothic" w:eastAsia="Century Gothic" w:hAnsi="Century Gothic" w:cs="Century Gothic"/>
          <w:b/>
          <w:sz w:val="24"/>
          <w:szCs w:val="24"/>
          <w:u w:val="single"/>
        </w:rPr>
        <w:t>veinticuatro de marzo de dos mil veintitrés</w:t>
      </w:r>
      <w:r>
        <w:rPr>
          <w:rFonts w:ascii="Century Gothic" w:eastAsia="Century Gothic" w:hAnsi="Century Gothic" w:cs="Century Gothic"/>
          <w:sz w:val="24"/>
          <w:szCs w:val="24"/>
        </w:rPr>
        <w:t xml:space="preserve">, </w:t>
      </w:r>
      <w:r>
        <w:rPr>
          <w:rFonts w:ascii="Century Gothic" w:eastAsia="Century Gothic" w:hAnsi="Century Gothic" w:cs="Century Gothic"/>
          <w:b/>
          <w:sz w:val="24"/>
          <w:szCs w:val="24"/>
        </w:rPr>
        <w:t>admite a favor de la actora</w:t>
      </w:r>
      <w:r>
        <w:rPr>
          <w:rFonts w:ascii="Century Gothic" w:eastAsia="Century Gothic" w:hAnsi="Century Gothic" w:cs="Century Gothic"/>
          <w:sz w:val="24"/>
          <w:szCs w:val="24"/>
        </w:rPr>
        <w:t xml:space="preserve"> </w:t>
      </w:r>
      <w:r>
        <w:rPr>
          <w:rFonts w:ascii="Century Gothic" w:eastAsia="Century Gothic" w:hAnsi="Century Gothic" w:cs="Century Gothic"/>
          <w:sz w:val="24"/>
          <w:szCs w:val="24"/>
          <w:u w:val="single"/>
        </w:rPr>
        <w:t>el expediente 115/11/PA-B/2022</w:t>
      </w:r>
      <w:r>
        <w:rPr>
          <w:rFonts w:ascii="Century Gothic" w:eastAsia="Century Gothic" w:hAnsi="Century Gothic" w:cs="Century Gothic"/>
          <w:sz w:val="24"/>
          <w:szCs w:val="24"/>
        </w:rPr>
        <w:t>,</w:t>
      </w:r>
      <w:r>
        <w:t xml:space="preserve"> </w:t>
      </w:r>
      <w:r>
        <w:rPr>
          <w:rFonts w:ascii="Century Gothic" w:eastAsia="Century Gothic" w:hAnsi="Century Gothic" w:cs="Century Gothic"/>
          <w:sz w:val="24"/>
          <w:szCs w:val="24"/>
        </w:rPr>
        <w:t xml:space="preserve">y las constancias que integran el </w:t>
      </w:r>
      <w:r>
        <w:rPr>
          <w:rFonts w:ascii="Century Gothic" w:eastAsia="Century Gothic" w:hAnsi="Century Gothic" w:cs="Century Gothic"/>
          <w:sz w:val="24"/>
          <w:szCs w:val="24"/>
          <w:u w:val="single"/>
        </w:rPr>
        <w:t>expediente DQDI-A/1306/10/2019</w:t>
      </w:r>
      <w:r>
        <w:rPr>
          <w:rFonts w:ascii="Century Gothic" w:eastAsia="Century Gothic" w:hAnsi="Century Gothic" w:cs="Century Gothic"/>
          <w:sz w:val="24"/>
          <w:szCs w:val="24"/>
        </w:rPr>
        <w:t xml:space="preserve">; es decir, las pruebas que en un acuerdo anterior le habían sido desechadas a la actora, en otro </w:t>
      </w:r>
      <w:r>
        <w:rPr>
          <w:rFonts w:ascii="Century Gothic" w:eastAsia="Century Gothic" w:hAnsi="Century Gothic" w:cs="Century Gothic"/>
          <w:sz w:val="24"/>
          <w:szCs w:val="24"/>
        </w:rPr>
        <w:lastRenderedPageBreak/>
        <w:t>posterior le fueron admitidas; sin que existiera una precisión de circunstancias, razones   particulares o causas inmediatas que se hayan tenido en   consideración  para  efectuar el cambio de su primer criterio.</w:t>
      </w:r>
    </w:p>
    <w:p w14:paraId="6C799C9C"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 Lo cual, genera </w:t>
      </w:r>
      <w:r>
        <w:rPr>
          <w:rFonts w:ascii="Century Gothic" w:eastAsia="Century Gothic" w:hAnsi="Century Gothic" w:cs="Century Gothic"/>
          <w:color w:val="212529"/>
          <w:sz w:val="24"/>
          <w:szCs w:val="24"/>
          <w:highlight w:val="white"/>
        </w:rPr>
        <w:t>a las partes y en específico al recurrente, una situación de incertidumbre e indefensión por no saber a qué atenerse en cuanto a que determinación es la idónea, ya que los contenidos y sus consecuencias jurídicas son diversas.</w:t>
      </w:r>
      <w:r>
        <w:rPr>
          <w:rFonts w:ascii="Century Gothic" w:eastAsia="Century Gothic" w:hAnsi="Century Gothic" w:cs="Century Gothic"/>
          <w:sz w:val="24"/>
          <w:szCs w:val="24"/>
        </w:rPr>
        <w:t xml:space="preserve"> - - - - - - - - - - - - - - - - - - - - - - - -</w:t>
      </w:r>
    </w:p>
    <w:p w14:paraId="107A0756"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12. Los órganos jurisdiccionales tienen por disposición de la ley la prerrogativa de resolver los asuntos brindando seguridad jurídica a los justiciables, por lo tanto, esta Sala Superior a efecto de otorgar la garantía de una tutela judicial efectiva y salvaguardar el derecho fundamental, le resulta procedente </w:t>
      </w:r>
      <w:r>
        <w:rPr>
          <w:rFonts w:ascii="Century Gothic" w:eastAsia="Century Gothic" w:hAnsi="Century Gothic" w:cs="Century Gothic"/>
          <w:b/>
          <w:sz w:val="24"/>
          <w:szCs w:val="24"/>
        </w:rPr>
        <w:t xml:space="preserve">revocar únicamente el párrafo sexto del acuerdo de veinticuatro de marzo de dos mil veintitrés. </w:t>
      </w:r>
      <w:r>
        <w:rPr>
          <w:rFonts w:ascii="Century Gothic" w:eastAsia="Century Gothic" w:hAnsi="Century Gothic" w:cs="Century Gothic"/>
          <w:sz w:val="24"/>
          <w:szCs w:val="24"/>
        </w:rPr>
        <w:t>- - - - -</w:t>
      </w:r>
    </w:p>
    <w:p w14:paraId="34781F9F" w14:textId="75B7BDEB"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B) </w:t>
      </w:r>
      <w:r>
        <w:rPr>
          <w:rFonts w:ascii="Century Gothic" w:eastAsia="Century Gothic" w:hAnsi="Century Gothic" w:cs="Century Gothic"/>
          <w:sz w:val="24"/>
          <w:szCs w:val="24"/>
        </w:rPr>
        <w:t>Contestación de</w:t>
      </w:r>
      <w:r w:rsidR="00290667">
        <w:rPr>
          <w:rFonts w:ascii="Century Gothic" w:eastAsia="Century Gothic" w:hAnsi="Century Gothic" w:cs="Century Gothic"/>
          <w:b/>
          <w:sz w:val="24"/>
          <w:szCs w:val="24"/>
        </w:rPr>
        <w:t xml:space="preserve"> </w:t>
      </w:r>
      <w:r w:rsidR="00290667">
        <w:rPr>
          <w:rFonts w:ascii="Century Gothic" w:eastAsia="Century Gothic" w:hAnsi="Century Gothic" w:cs="Century Gothic"/>
          <w:color w:val="000000"/>
          <w:sz w:val="24"/>
          <w:szCs w:val="24"/>
        </w:rPr>
        <w:t>**********</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de los argumentos previamente sintetizados en su contestación y del análisis de los acuerdos de veinte de enero de dos mil veintitrés, debe decírsele que la pretensión a la que hace referencia no tiene nada que ver con el agravio planteado por el recurrente, ya que expone que el Director Jurídico de la Secretaría de la Contraloría y Transparencia Gubernamental del Poder Ejecutivo del Estado de Oaxaca, no tiene competencia para interponer el recurso de revisión, siendo que si no estaba conforme con esta circunstancia, debió hacer valer su inconformidad por medio del recurso que la ley le otorga en el tiempo procesal oportuno y no así por medio de la contestación de agravios. Por ende, este agravio se considera inoperante, y no puede ser materia de análisis, ya que sus planteamientos no tienen relación con el contenido toral de lo recurrido y que dio inicio a la presente determinación. - - - - - - - - - - - - - - - - - - - - - - - - - - - - - - - - - - - - - - - - - - - -</w:t>
      </w:r>
    </w:p>
    <w:p w14:paraId="7F61E522"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QUINTO. Efectos. </w:t>
      </w:r>
      <w:r>
        <w:rPr>
          <w:rFonts w:ascii="Century Gothic" w:eastAsia="Century Gothic" w:hAnsi="Century Gothic" w:cs="Century Gothic"/>
          <w:sz w:val="24"/>
          <w:szCs w:val="24"/>
        </w:rPr>
        <w:t>- - - - - - - - - - - - - - - - - - - - - - - - - - - - - - - - - - - - - -</w:t>
      </w:r>
    </w:p>
    <w:p w14:paraId="69A04967"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13. En ese contexto, a efecto de otorgar la garantía de una tutela judicial efectiva y salvaguardar el derecho fundamental, resulta procedente </w:t>
      </w:r>
      <w:r>
        <w:rPr>
          <w:rFonts w:ascii="Century Gothic" w:eastAsia="Century Gothic" w:hAnsi="Century Gothic" w:cs="Century Gothic"/>
          <w:b/>
          <w:sz w:val="24"/>
          <w:szCs w:val="24"/>
          <w:u w:val="single"/>
        </w:rPr>
        <w:t>revocar únicamente el párrafo sexto del acuerdo de veinticuatro de marzo de dos mil veintitrés</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que al texto se lee:</w:t>
      </w:r>
    </w:p>
    <w:p w14:paraId="452CDE97" w14:textId="29A15E8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14. “</w:t>
      </w:r>
      <w:r>
        <w:rPr>
          <w:rFonts w:ascii="Century Gothic" w:eastAsia="Century Gothic" w:hAnsi="Century Gothic" w:cs="Century Gothic"/>
          <w:i/>
          <w:sz w:val="24"/>
          <w:szCs w:val="24"/>
        </w:rPr>
        <w:t xml:space="preserve">Visto el estado procesal que guarda el presente juicio, del que se puede advertir </w:t>
      </w:r>
      <w:r>
        <w:rPr>
          <w:rFonts w:ascii="Century Gothic" w:eastAsia="Century Gothic" w:hAnsi="Century Gothic" w:cs="Century Gothic"/>
          <w:b/>
          <w:i/>
          <w:sz w:val="24"/>
          <w:szCs w:val="24"/>
        </w:rPr>
        <w:t>que se reservó la admisión</w:t>
      </w:r>
      <w:r>
        <w:rPr>
          <w:rFonts w:ascii="Century Gothic" w:eastAsia="Century Gothic" w:hAnsi="Century Gothic" w:cs="Century Gothic"/>
          <w:i/>
          <w:sz w:val="24"/>
          <w:szCs w:val="24"/>
        </w:rPr>
        <w:t xml:space="preserve"> de dos pruebas </w:t>
      </w:r>
      <w:r>
        <w:rPr>
          <w:rFonts w:ascii="Century Gothic" w:eastAsia="Century Gothic" w:hAnsi="Century Gothic" w:cs="Century Gothic"/>
          <w:i/>
          <w:sz w:val="24"/>
          <w:szCs w:val="24"/>
        </w:rPr>
        <w:lastRenderedPageBreak/>
        <w:t>ofrecidas por</w:t>
      </w:r>
      <w:r w:rsidR="00290667">
        <w:rPr>
          <w:rFonts w:ascii="Century Gothic" w:eastAsia="Century Gothic" w:hAnsi="Century Gothic" w:cs="Century Gothic"/>
          <w:i/>
          <w:sz w:val="24"/>
          <w:szCs w:val="24"/>
        </w:rPr>
        <w:t xml:space="preserve"> </w:t>
      </w:r>
      <w:r w:rsidR="00290667">
        <w:rPr>
          <w:rFonts w:ascii="Century Gothic" w:eastAsia="Century Gothic" w:hAnsi="Century Gothic" w:cs="Century Gothic"/>
          <w:color w:val="000000"/>
          <w:sz w:val="24"/>
          <w:szCs w:val="24"/>
        </w:rPr>
        <w:t>**********</w:t>
      </w:r>
      <w:r>
        <w:rPr>
          <w:rFonts w:ascii="Century Gothic" w:eastAsia="Century Gothic" w:hAnsi="Century Gothic" w:cs="Century Gothic"/>
          <w:i/>
          <w:sz w:val="24"/>
          <w:szCs w:val="24"/>
        </w:rPr>
        <w:t xml:space="preserve">, hasta en tanto la autoridad demandada exhibiera expediente administrativo 115/11/PA.B/2022, por tal motivo, </w:t>
      </w:r>
      <w:r>
        <w:rPr>
          <w:rFonts w:ascii="Century Gothic" w:eastAsia="Century Gothic" w:hAnsi="Century Gothic" w:cs="Century Gothic"/>
          <w:b/>
          <w:i/>
          <w:sz w:val="24"/>
          <w:szCs w:val="24"/>
        </w:rPr>
        <w:t>se admite</w:t>
      </w:r>
      <w:r>
        <w:rPr>
          <w:rFonts w:ascii="Century Gothic" w:eastAsia="Century Gothic" w:hAnsi="Century Gothic" w:cs="Century Gothic"/>
          <w:i/>
          <w:sz w:val="24"/>
          <w:szCs w:val="24"/>
        </w:rPr>
        <w:t xml:space="preserve"> las pruebas ofrecidas por la parte actora consistentes en: </w:t>
      </w:r>
      <w:r>
        <w:rPr>
          <w:rFonts w:ascii="Century Gothic" w:eastAsia="Century Gothic" w:hAnsi="Century Gothic" w:cs="Century Gothic"/>
          <w:b/>
          <w:i/>
          <w:sz w:val="24"/>
          <w:szCs w:val="24"/>
        </w:rPr>
        <w:t>a)</w:t>
      </w:r>
      <w:r>
        <w:rPr>
          <w:rFonts w:ascii="Century Gothic" w:eastAsia="Century Gothic" w:hAnsi="Century Gothic" w:cs="Century Gothic"/>
          <w:i/>
          <w:sz w:val="24"/>
          <w:szCs w:val="24"/>
        </w:rPr>
        <w:t xml:space="preserve"> Las constancias que integran el expediente 115/11/PA-B/2022 del índice de la Dirección de Responsabilidades Administrativas y Situación Patrimonial, de la Secretaría de Honestidad, Transparencia y Función Pública del Poder Ejecutivo del Estado de Oaxaca; </w:t>
      </w:r>
      <w:r>
        <w:rPr>
          <w:rFonts w:ascii="Century Gothic" w:eastAsia="Century Gothic" w:hAnsi="Century Gothic" w:cs="Century Gothic"/>
          <w:b/>
          <w:i/>
          <w:sz w:val="24"/>
          <w:szCs w:val="24"/>
        </w:rPr>
        <w:t>b)</w:t>
      </w:r>
      <w:r>
        <w:rPr>
          <w:rFonts w:ascii="Century Gothic" w:eastAsia="Century Gothic" w:hAnsi="Century Gothic" w:cs="Century Gothic"/>
          <w:i/>
          <w:sz w:val="24"/>
          <w:szCs w:val="24"/>
        </w:rPr>
        <w:t xml:space="preserve"> Las constancias que integran el expediente DQDI-A/1306/10/2019 de la Dirección de Quejas, Denuncias e Investigación de la citada secretaría</w:t>
      </w:r>
      <w:r>
        <w:rPr>
          <w:rFonts w:ascii="Century Gothic" w:eastAsia="Century Gothic" w:hAnsi="Century Gothic" w:cs="Century Gothic"/>
          <w:sz w:val="24"/>
          <w:szCs w:val="24"/>
        </w:rPr>
        <w:t>”</w:t>
      </w:r>
    </w:p>
    <w:p w14:paraId="65642F74"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15.</w:t>
      </w:r>
      <w:r>
        <w:rPr>
          <w:rFonts w:ascii="Century Gothic" w:eastAsia="Century Gothic" w:hAnsi="Century Gothic" w:cs="Century Gothic"/>
          <w:b/>
          <w:sz w:val="24"/>
          <w:szCs w:val="24"/>
        </w:rPr>
        <w:t xml:space="preserve"> </w:t>
      </w:r>
      <w:r>
        <w:rPr>
          <w:rFonts w:ascii="Century Gothic" w:eastAsia="Century Gothic" w:hAnsi="Century Gothic" w:cs="Century Gothic"/>
          <w:b/>
          <w:sz w:val="24"/>
          <w:szCs w:val="24"/>
          <w:u w:val="single"/>
        </w:rPr>
        <w:t>Precisando que, del acuerdo de veinticuatro de marzo de dos mil veintitrés, en todo lo demás se deja intocado</w:t>
      </w:r>
      <w:r>
        <w:rPr>
          <w:rFonts w:ascii="Century Gothic" w:eastAsia="Century Gothic" w:hAnsi="Century Gothic" w:cs="Century Gothic"/>
          <w:sz w:val="24"/>
          <w:szCs w:val="24"/>
        </w:rPr>
        <w:t xml:space="preserve">. - - - - - - - - - - - - - - - - - </w:t>
      </w:r>
    </w:p>
    <w:p w14:paraId="4F7D64DC" w14:textId="77777777" w:rsidR="00724869" w:rsidRDefault="00596D72">
      <w:pPr>
        <w:spacing w:before="240" w:after="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16. Sólo de esta manera puede asegurarse que el cauce procedimental, tanto administrativa como jurisdiccional, sea el legalmente establecido, atendiendo a las circunstancias, tanto objetivas como subjetivas que la propia ley, de forma imperativa, toma en consideración y pormenoriza. - - - - - - - - - - - - - - - - - - - - - - - - - - - - - -</w:t>
      </w:r>
    </w:p>
    <w:p w14:paraId="18931F18" w14:textId="77777777" w:rsidR="00724869" w:rsidRDefault="00596D72">
      <w:pPr>
        <w:spacing w:before="240" w:line="360" w:lineRule="auto"/>
        <w:ind w:firstLine="709"/>
        <w:jc w:val="both"/>
        <w:rPr>
          <w:rFonts w:ascii="Century Gothic" w:eastAsia="Century Gothic" w:hAnsi="Century Gothic" w:cs="Century Gothic"/>
          <w:sz w:val="24"/>
          <w:szCs w:val="24"/>
        </w:rPr>
      </w:pPr>
      <w:r>
        <w:rPr>
          <w:rFonts w:ascii="Century Gothic" w:eastAsia="Century Gothic" w:hAnsi="Century Gothic" w:cs="Century Gothic"/>
          <w:sz w:val="24"/>
          <w:szCs w:val="24"/>
        </w:rPr>
        <w:t>17. Así, con fundamento en los artículos 236 y 238 de la Ley de Procedimiento y Justicia Administrativa para el Estado de Oaxaca, se:</w:t>
      </w:r>
    </w:p>
    <w:p w14:paraId="5F1CA705" w14:textId="77777777" w:rsidR="00724869" w:rsidRDefault="00596D72">
      <w:pPr>
        <w:spacing w:before="240" w:line="36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R E S U E L V E</w:t>
      </w:r>
    </w:p>
    <w:p w14:paraId="694059B5" w14:textId="77777777" w:rsidR="00724869" w:rsidRDefault="00596D72">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PRIMERO.</w:t>
      </w:r>
      <w:r>
        <w:rPr>
          <w:rFonts w:ascii="Century Gothic" w:eastAsia="Century Gothic" w:hAnsi="Century Gothic" w:cs="Century Gothic"/>
          <w:sz w:val="24"/>
          <w:szCs w:val="24"/>
        </w:rPr>
        <w:t xml:space="preserve"> Este Tribunal de Justicia Administrativa y Combate a la Corrupción del Estado de Oaxaca,</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ejerce jurisdicción y esta Sala Superior es competente, en los términos del considerando primero de la presente. - - - - - - - - - - - - - - - - - - - - - - - - - - - - - - - - - - - - - - - - - - - - - - -</w:t>
      </w:r>
    </w:p>
    <w:p w14:paraId="64BE6E5C" w14:textId="77777777" w:rsidR="00724869" w:rsidRDefault="00596D72">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SEGUNDO.</w:t>
      </w:r>
      <w:r>
        <w:rPr>
          <w:rFonts w:ascii="Century Gothic" w:eastAsia="Century Gothic" w:hAnsi="Century Gothic" w:cs="Century Gothic"/>
          <w:sz w:val="24"/>
          <w:szCs w:val="24"/>
        </w:rPr>
        <w:t xml:space="preserve"> Se </w:t>
      </w:r>
      <w:r>
        <w:rPr>
          <w:rFonts w:ascii="Century Gothic" w:eastAsia="Century Gothic" w:hAnsi="Century Gothic" w:cs="Century Gothic"/>
          <w:b/>
          <w:sz w:val="24"/>
          <w:szCs w:val="24"/>
          <w:u w:val="single"/>
        </w:rPr>
        <w:t>REVOCA únicamente el párrafo sexto del acuerdo de veinticuatro de marzo de dos mil veintitrés</w:t>
      </w:r>
      <w:r>
        <w:rPr>
          <w:rFonts w:ascii="Century Gothic" w:eastAsia="Century Gothic" w:hAnsi="Century Gothic" w:cs="Century Gothic"/>
          <w:sz w:val="24"/>
          <w:szCs w:val="24"/>
        </w:rPr>
        <w:t xml:space="preserve">, que fue dictada por la Sala Especializada en Materia de Responsabilidades Administrativas y Combate a la Corrupción de este Tribunal, dentro del expediente del juicio de nulidad </w:t>
      </w:r>
      <w:r>
        <w:rPr>
          <w:rFonts w:ascii="Century Gothic" w:eastAsia="Century Gothic" w:hAnsi="Century Gothic" w:cs="Century Gothic"/>
          <w:b/>
          <w:sz w:val="24"/>
          <w:szCs w:val="24"/>
        </w:rPr>
        <w:t>0023/2022</w:t>
      </w:r>
      <w:r>
        <w:rPr>
          <w:rFonts w:ascii="Century Gothic" w:eastAsia="Century Gothic" w:hAnsi="Century Gothic" w:cs="Century Gothic"/>
          <w:sz w:val="24"/>
          <w:szCs w:val="24"/>
        </w:rPr>
        <w:t>, en los términos establecidos en el considerando cuarto y para los efectos del considerando quinto expuestas por esta Sala Superior. - - - - - - - - - - - - - - - - - - - - - - - - - - - - - -</w:t>
      </w:r>
    </w:p>
    <w:p w14:paraId="789CB80E" w14:textId="77777777" w:rsidR="00724869" w:rsidRDefault="00596D72">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b/>
          <w:sz w:val="24"/>
          <w:szCs w:val="24"/>
        </w:rPr>
        <w:t>TERCERO. NOTIFÍQUESE Y CÚMPLASE,</w:t>
      </w:r>
      <w:r>
        <w:rPr>
          <w:rFonts w:ascii="Century Gothic" w:eastAsia="Century Gothic" w:hAnsi="Century Gothic" w:cs="Century Gothic"/>
          <w:sz w:val="24"/>
          <w:szCs w:val="24"/>
        </w:rPr>
        <w:t xml:space="preserve"> con copia certificada de la presente resolución remítanse los autos a la Sala Especializada en Materia de Responsabilidades Administrativas y Combate a la Corrupción de este Tribunal y en su oportunidad archívese el presente cuaderno de revisión como concluido. - - - - - - - - - - - - - - - - - - - - - - - - -</w:t>
      </w:r>
    </w:p>
    <w:p w14:paraId="2F4DDBDC" w14:textId="77777777" w:rsidR="00724869" w:rsidRDefault="00596D72">
      <w:pPr>
        <w:spacing w:before="240" w:line="360" w:lineRule="auto"/>
        <w:ind w:firstLine="708"/>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Por unanimidad de votos, lo resolvieron y firmaron los Magistrados Mateo Martínez </w:t>
      </w:r>
      <w:proofErr w:type="spellStart"/>
      <w:r>
        <w:rPr>
          <w:rFonts w:ascii="Century Gothic" w:eastAsia="Century Gothic" w:hAnsi="Century Gothic" w:cs="Century Gothic"/>
          <w:sz w:val="24"/>
          <w:szCs w:val="24"/>
        </w:rPr>
        <w:t>Martínez</w:t>
      </w:r>
      <w:proofErr w:type="spellEnd"/>
      <w:r>
        <w:rPr>
          <w:rFonts w:ascii="Century Gothic" w:eastAsia="Century Gothic" w:hAnsi="Century Gothic" w:cs="Century Gothic"/>
          <w:sz w:val="24"/>
          <w:szCs w:val="24"/>
        </w:rPr>
        <w:t>, Cruz Itzel Espinosa Rojas (</w:t>
      </w:r>
      <w:r>
        <w:rPr>
          <w:rFonts w:ascii="Century Gothic" w:eastAsia="Century Gothic" w:hAnsi="Century Gothic" w:cs="Century Gothic"/>
          <w:b/>
          <w:sz w:val="24"/>
          <w:szCs w:val="24"/>
        </w:rPr>
        <w:t>ponente</w:t>
      </w:r>
      <w:r>
        <w:rPr>
          <w:rFonts w:ascii="Century Gothic" w:eastAsia="Century Gothic" w:hAnsi="Century Gothic" w:cs="Century Gothic"/>
          <w:sz w:val="24"/>
          <w:szCs w:val="24"/>
        </w:rPr>
        <w:t xml:space="preserve">) y Manuel de Jesús López </w:t>
      </w:r>
      <w:proofErr w:type="spellStart"/>
      <w:r>
        <w:rPr>
          <w:rFonts w:ascii="Century Gothic" w:eastAsia="Century Gothic" w:hAnsi="Century Gothic" w:cs="Century Gothic"/>
          <w:sz w:val="24"/>
          <w:szCs w:val="24"/>
        </w:rPr>
        <w:t>López</w:t>
      </w:r>
      <w:proofErr w:type="spellEnd"/>
      <w:r>
        <w:rPr>
          <w:rFonts w:ascii="Century Gothic" w:eastAsia="Century Gothic" w:hAnsi="Century Gothic" w:cs="Century Gothic"/>
          <w:sz w:val="24"/>
          <w:szCs w:val="24"/>
        </w:rPr>
        <w:t xml:space="preserve">; quienes actúan con la Maestra Lizbeth Jessica Gallardo Martínez, </w:t>
      </w:r>
      <w:proofErr w:type="gramStart"/>
      <w:r>
        <w:rPr>
          <w:rFonts w:ascii="Century Gothic" w:eastAsia="Century Gothic" w:hAnsi="Century Gothic" w:cs="Century Gothic"/>
          <w:sz w:val="24"/>
          <w:szCs w:val="24"/>
        </w:rPr>
        <w:t>Secretaria General</w:t>
      </w:r>
      <w:proofErr w:type="gramEnd"/>
      <w:r>
        <w:rPr>
          <w:rFonts w:ascii="Century Gothic" w:eastAsia="Century Gothic" w:hAnsi="Century Gothic" w:cs="Century Gothic"/>
          <w:sz w:val="24"/>
          <w:szCs w:val="24"/>
        </w:rPr>
        <w:t xml:space="preserve"> de Acuerdos de este Tribunal, que autoriza y da fe. - - - - - - - - - - - - - - - - - - - - - - - - - - - - - - - - - - - - - - - -</w:t>
      </w:r>
    </w:p>
    <w:p w14:paraId="58F85A9E" w14:textId="77777777" w:rsidR="00724869" w:rsidRDefault="00724869">
      <w:pPr>
        <w:spacing w:before="240" w:line="360" w:lineRule="auto"/>
        <w:jc w:val="both"/>
        <w:rPr>
          <w:rFonts w:ascii="Century Gothic" w:eastAsia="Century Gothic" w:hAnsi="Century Gothic" w:cs="Century Gothic"/>
          <w:sz w:val="24"/>
          <w:szCs w:val="24"/>
        </w:rPr>
      </w:pPr>
    </w:p>
    <w:p w14:paraId="4AB9351E" w14:textId="77777777" w:rsidR="00724869" w:rsidRDefault="00596D72">
      <w:pPr>
        <w:pBdr>
          <w:top w:val="nil"/>
          <w:left w:val="nil"/>
          <w:bottom w:val="nil"/>
          <w:right w:val="nil"/>
          <w:between w:val="nil"/>
        </w:pBdr>
        <w:spacing w:after="0" w:line="240" w:lineRule="auto"/>
        <w:jc w:val="center"/>
        <w:rPr>
          <w:rFonts w:ascii="Century Gothic" w:eastAsia="Century Gothic" w:hAnsi="Century Gothic" w:cs="Century Gothic"/>
          <w:b/>
          <w:color w:val="000000"/>
          <w:sz w:val="24"/>
          <w:szCs w:val="24"/>
        </w:rPr>
      </w:pPr>
      <w:r>
        <w:rPr>
          <w:rFonts w:ascii="Century Gothic" w:eastAsia="Century Gothic" w:hAnsi="Century Gothic" w:cs="Century Gothic"/>
          <w:b/>
          <w:color w:val="000000"/>
          <w:sz w:val="24"/>
          <w:szCs w:val="24"/>
        </w:rPr>
        <w:t xml:space="preserve">MAGISTRADO MATEO MARTÍNEZ </w:t>
      </w:r>
      <w:proofErr w:type="spellStart"/>
      <w:r>
        <w:rPr>
          <w:rFonts w:ascii="Century Gothic" w:eastAsia="Century Gothic" w:hAnsi="Century Gothic" w:cs="Century Gothic"/>
          <w:b/>
          <w:color w:val="000000"/>
          <w:sz w:val="24"/>
          <w:szCs w:val="24"/>
        </w:rPr>
        <w:t>MARTÍNEZ</w:t>
      </w:r>
      <w:proofErr w:type="spellEnd"/>
    </w:p>
    <w:p w14:paraId="3E3791F2" w14:textId="77777777" w:rsidR="00724869" w:rsidRDefault="00596D72">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PRESIDENTE</w:t>
      </w:r>
    </w:p>
    <w:p w14:paraId="74E6C6C7" w14:textId="77777777" w:rsidR="00724869" w:rsidRDefault="00724869">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p>
    <w:p w14:paraId="5464C6A3" w14:textId="77777777" w:rsidR="00724869" w:rsidRDefault="00724869">
      <w:pPr>
        <w:pBdr>
          <w:top w:val="nil"/>
          <w:left w:val="nil"/>
          <w:bottom w:val="nil"/>
          <w:right w:val="nil"/>
          <w:between w:val="nil"/>
        </w:pBdr>
        <w:spacing w:after="240" w:line="240" w:lineRule="auto"/>
        <w:jc w:val="center"/>
        <w:rPr>
          <w:rFonts w:ascii="Century Gothic" w:eastAsia="Century Gothic" w:hAnsi="Century Gothic" w:cs="Century Gothic"/>
          <w:color w:val="000000"/>
          <w:sz w:val="24"/>
          <w:szCs w:val="24"/>
        </w:rPr>
      </w:pPr>
    </w:p>
    <w:p w14:paraId="39254F48" w14:textId="77777777" w:rsidR="00724869" w:rsidRDefault="00596D72">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MAGISTRADA CRUZ ITZEL ESPINOSA ROJAS</w:t>
      </w:r>
    </w:p>
    <w:p w14:paraId="675F3E7E" w14:textId="77777777" w:rsidR="00724869" w:rsidRDefault="00596D72">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4BED5099" w14:textId="77777777" w:rsidR="00724869" w:rsidRDefault="00724869">
      <w:pPr>
        <w:tabs>
          <w:tab w:val="center" w:pos="4135"/>
          <w:tab w:val="left" w:pos="7515"/>
        </w:tabs>
        <w:spacing w:line="240" w:lineRule="auto"/>
        <w:jc w:val="center"/>
        <w:rPr>
          <w:rFonts w:ascii="Century Gothic" w:eastAsia="Century Gothic" w:hAnsi="Century Gothic" w:cs="Century Gothic"/>
          <w:sz w:val="24"/>
          <w:szCs w:val="24"/>
        </w:rPr>
      </w:pPr>
    </w:p>
    <w:p w14:paraId="6A39DBD7" w14:textId="77777777" w:rsidR="00724869" w:rsidRDefault="00724869">
      <w:pPr>
        <w:tabs>
          <w:tab w:val="center" w:pos="4135"/>
          <w:tab w:val="left" w:pos="7515"/>
        </w:tabs>
        <w:spacing w:line="240" w:lineRule="auto"/>
        <w:jc w:val="center"/>
        <w:rPr>
          <w:rFonts w:ascii="Century Gothic" w:eastAsia="Century Gothic" w:hAnsi="Century Gothic" w:cs="Century Gothic"/>
          <w:sz w:val="24"/>
          <w:szCs w:val="24"/>
        </w:rPr>
      </w:pPr>
    </w:p>
    <w:p w14:paraId="48B3B447" w14:textId="77777777" w:rsidR="00724869" w:rsidRDefault="00596D72">
      <w:pPr>
        <w:tabs>
          <w:tab w:val="center" w:pos="4135"/>
          <w:tab w:val="left" w:pos="7515"/>
        </w:tabs>
        <w:spacing w:after="0" w:line="240" w:lineRule="auto"/>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MAGISTRADO MANUEL DE JESÚS LÓPEZ </w:t>
      </w:r>
      <w:proofErr w:type="spellStart"/>
      <w:r>
        <w:rPr>
          <w:rFonts w:ascii="Century Gothic" w:eastAsia="Century Gothic" w:hAnsi="Century Gothic" w:cs="Century Gothic"/>
          <w:b/>
          <w:sz w:val="24"/>
          <w:szCs w:val="24"/>
        </w:rPr>
        <w:t>LÓPEZ</w:t>
      </w:r>
      <w:proofErr w:type="spellEnd"/>
    </w:p>
    <w:p w14:paraId="3117D439" w14:textId="77777777" w:rsidR="00724869" w:rsidRDefault="00596D72">
      <w:pPr>
        <w:tabs>
          <w:tab w:val="center" w:pos="4135"/>
          <w:tab w:val="left" w:pos="7515"/>
        </w:tabs>
        <w:spacing w:line="240" w:lineRule="auto"/>
        <w:jc w:val="center"/>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INTEGRANTE </w:t>
      </w:r>
    </w:p>
    <w:p w14:paraId="7A354CAB" w14:textId="77777777" w:rsidR="00724869" w:rsidRDefault="00724869">
      <w:pPr>
        <w:tabs>
          <w:tab w:val="center" w:pos="4135"/>
          <w:tab w:val="left" w:pos="7515"/>
        </w:tabs>
        <w:spacing w:line="240" w:lineRule="auto"/>
        <w:jc w:val="center"/>
        <w:rPr>
          <w:rFonts w:ascii="Century Gothic" w:eastAsia="Century Gothic" w:hAnsi="Century Gothic" w:cs="Century Gothic"/>
          <w:sz w:val="24"/>
          <w:szCs w:val="24"/>
        </w:rPr>
      </w:pPr>
    </w:p>
    <w:p w14:paraId="69CB44A3" w14:textId="77777777" w:rsidR="00724869" w:rsidRDefault="00724869">
      <w:pPr>
        <w:tabs>
          <w:tab w:val="center" w:pos="4135"/>
          <w:tab w:val="left" w:pos="7515"/>
        </w:tabs>
        <w:spacing w:line="240" w:lineRule="auto"/>
        <w:jc w:val="center"/>
        <w:rPr>
          <w:rFonts w:ascii="Century Gothic" w:eastAsia="Century Gothic" w:hAnsi="Century Gothic" w:cs="Century Gothic"/>
          <w:sz w:val="24"/>
          <w:szCs w:val="24"/>
        </w:rPr>
      </w:pPr>
    </w:p>
    <w:p w14:paraId="36151F9F" w14:textId="77777777" w:rsidR="00724869" w:rsidRDefault="00596D72">
      <w:pPr>
        <w:tabs>
          <w:tab w:val="center" w:pos="4135"/>
        </w:tabs>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 xml:space="preserve">    MAESTRA LIZBETH JESSICA GALLARDO MARTÍNEZ</w:t>
      </w:r>
    </w:p>
    <w:p w14:paraId="636ADAA5" w14:textId="77777777" w:rsidR="00724869" w:rsidRDefault="00596D72">
      <w:pPr>
        <w:pBdr>
          <w:top w:val="nil"/>
          <w:left w:val="nil"/>
          <w:bottom w:val="nil"/>
          <w:right w:val="nil"/>
          <w:between w:val="nil"/>
        </w:pBdr>
        <w:spacing w:after="0" w:line="240" w:lineRule="auto"/>
        <w:jc w:val="center"/>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    SECRETARIA GENERAL DE ACUERDOS</w:t>
      </w:r>
    </w:p>
    <w:sectPr w:rsidR="00724869" w:rsidSect="00290667">
      <w:headerReference w:type="even" r:id="rId9"/>
      <w:headerReference w:type="default" r:id="rId10"/>
      <w:footerReference w:type="even" r:id="rId11"/>
      <w:footerReference w:type="default" r:id="rId12"/>
      <w:headerReference w:type="first" r:id="rId13"/>
      <w:footerReference w:type="first" r:id="rId14"/>
      <w:pgSz w:w="12240" w:h="20160"/>
      <w:pgMar w:top="1417" w:right="1701" w:bottom="1417" w:left="226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F37FD" w14:textId="77777777" w:rsidR="00596D72" w:rsidRDefault="00596D72">
      <w:pPr>
        <w:spacing w:after="0" w:line="240" w:lineRule="auto"/>
      </w:pPr>
      <w:r>
        <w:separator/>
      </w:r>
    </w:p>
  </w:endnote>
  <w:endnote w:type="continuationSeparator" w:id="0">
    <w:p w14:paraId="10048593" w14:textId="77777777" w:rsidR="00596D72" w:rsidRDefault="00596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8EA80" w14:textId="77777777" w:rsidR="00724869" w:rsidRDefault="00724869">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EA48A" w14:textId="77777777" w:rsidR="00724869" w:rsidRDefault="00596D72">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90667">
      <w:rPr>
        <w:noProof/>
        <w:color w:val="000000"/>
      </w:rPr>
      <w:t>2</w:t>
    </w:r>
    <w:r>
      <w:rPr>
        <w:color w:val="000000"/>
      </w:rPr>
      <w:fldChar w:fldCharType="end"/>
    </w:r>
  </w:p>
  <w:p w14:paraId="68AAFC6D" w14:textId="77777777" w:rsidR="00724869" w:rsidRDefault="00724869">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42736" w14:textId="77777777" w:rsidR="00724869" w:rsidRDefault="00724869">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2DB83" w14:textId="77777777" w:rsidR="00596D72" w:rsidRDefault="00596D72">
      <w:pPr>
        <w:spacing w:after="0" w:line="240" w:lineRule="auto"/>
      </w:pPr>
      <w:r>
        <w:separator/>
      </w:r>
    </w:p>
  </w:footnote>
  <w:footnote w:type="continuationSeparator" w:id="0">
    <w:p w14:paraId="13D27333" w14:textId="77777777" w:rsidR="00596D72" w:rsidRDefault="00596D72">
      <w:pPr>
        <w:spacing w:after="0" w:line="240" w:lineRule="auto"/>
      </w:pPr>
      <w:r>
        <w:continuationSeparator/>
      </w:r>
    </w:p>
  </w:footnote>
  <w:footnote w:id="1">
    <w:p w14:paraId="38AFC405" w14:textId="77777777" w:rsidR="00724869" w:rsidRDefault="00596D72">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Century Gothic" w:eastAsia="Century Gothic" w:hAnsi="Century Gothic" w:cs="Century Gothic"/>
          <w:color w:val="000000"/>
          <w:sz w:val="20"/>
          <w:szCs w:val="20"/>
        </w:rPr>
        <w:t>(antes Secretaría de Contraloría y Transparencia Gubernamental del Poder Ejecutivo del Estado de Oaxaca)</w:t>
      </w:r>
    </w:p>
  </w:footnote>
  <w:footnote w:id="2">
    <w:p w14:paraId="49FFC796" w14:textId="77777777" w:rsidR="00724869" w:rsidRDefault="00596D72">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Century Gothic" w:eastAsia="Century Gothic" w:hAnsi="Century Gothic" w:cs="Century Gothic"/>
          <w:color w:val="000000"/>
          <w:sz w:val="20"/>
          <w:szCs w:val="20"/>
        </w:rPr>
        <w:t>(IDEM)</w:t>
      </w:r>
    </w:p>
  </w:footnote>
  <w:footnote w:id="3">
    <w:p w14:paraId="7498A22D" w14:textId="77777777" w:rsidR="00724869" w:rsidRDefault="00596D72">
      <w:pPr>
        <w:pBdr>
          <w:top w:val="nil"/>
          <w:left w:val="nil"/>
          <w:bottom w:val="nil"/>
          <w:right w:val="nil"/>
          <w:between w:val="nil"/>
        </w:pBdr>
        <w:spacing w:after="0" w:line="240" w:lineRule="auto"/>
        <w:jc w:val="both"/>
        <w:rPr>
          <w:i/>
          <w:color w:val="000000"/>
          <w:sz w:val="20"/>
          <w:szCs w:val="20"/>
        </w:rPr>
      </w:pPr>
      <w:r>
        <w:rPr>
          <w:vertAlign w:val="superscript"/>
        </w:rPr>
        <w:footnoteRef/>
      </w:r>
      <w:r>
        <w:rPr>
          <w:color w:val="000000"/>
          <w:sz w:val="20"/>
          <w:szCs w:val="20"/>
        </w:rPr>
        <w:t xml:space="preserve"> Publicado en el diario oficial de la federación y con entrada en vigor el veintidós de julio del dos mi veintitrés cuya lectura literal es: “</w:t>
      </w:r>
      <w:r>
        <w:rPr>
          <w:i/>
          <w:color w:val="000000"/>
          <w:sz w:val="20"/>
          <w:szCs w:val="20"/>
        </w:rPr>
        <w:t xml:space="preserve">CAPÍTULO III DEL TRIBUNAL DE JUSTICIA ADMINISTRATIVA Y COMBATE A LA CORRUPCIÓN DEL ESTADO DE OAXACA. Artículo 114 </w:t>
      </w:r>
      <w:proofErr w:type="spellStart"/>
      <w:r>
        <w:rPr>
          <w:i/>
          <w:color w:val="000000"/>
          <w:sz w:val="20"/>
          <w:szCs w:val="20"/>
        </w:rPr>
        <w:t>Quáter</w:t>
      </w:r>
      <w:proofErr w:type="spellEnd"/>
      <w:r>
        <w:rPr>
          <w:i/>
          <w:color w:val="000000"/>
          <w:sz w:val="20"/>
          <w:szCs w:val="20"/>
        </w:rPr>
        <w:t>. El Tribunal de Justicia Administrativa y Combate a la Corrupción del Estado de Oaxaca, es la máxima autoridad jurisdiccional en materia de fiscalización, rendición de cuentas, responsabilidad de los servidores públicos, combate a la corrupción e impartición de Justicia Administrativa, estará dotado de plena autonomía para dictar sus fallos, establecer su organización, funcionamiento, procedimientos y su presupuesto.</w:t>
      </w:r>
    </w:p>
    <w:p w14:paraId="1E928CA4" w14:textId="77777777" w:rsidR="00724869" w:rsidRDefault="00596D72">
      <w:pPr>
        <w:pBdr>
          <w:top w:val="nil"/>
          <w:left w:val="nil"/>
          <w:bottom w:val="nil"/>
          <w:right w:val="nil"/>
          <w:between w:val="nil"/>
        </w:pBdr>
        <w:spacing w:after="0" w:line="240" w:lineRule="auto"/>
        <w:jc w:val="both"/>
        <w:rPr>
          <w:i/>
          <w:color w:val="000000"/>
          <w:sz w:val="20"/>
          <w:szCs w:val="20"/>
        </w:rPr>
      </w:pPr>
      <w:r>
        <w:rPr>
          <w:i/>
          <w:color w:val="000000"/>
          <w:sz w:val="20"/>
          <w:szCs w:val="20"/>
        </w:rPr>
        <w:t>(…)</w:t>
      </w:r>
    </w:p>
    <w:p w14:paraId="772A1F74" w14:textId="77777777" w:rsidR="00724869" w:rsidRDefault="00596D72">
      <w:pPr>
        <w:pBdr>
          <w:top w:val="nil"/>
          <w:left w:val="nil"/>
          <w:bottom w:val="nil"/>
          <w:right w:val="nil"/>
          <w:between w:val="nil"/>
        </w:pBdr>
        <w:spacing w:after="0" w:line="240" w:lineRule="auto"/>
        <w:jc w:val="both"/>
        <w:rPr>
          <w:i/>
          <w:color w:val="000000"/>
          <w:sz w:val="20"/>
          <w:szCs w:val="20"/>
        </w:rPr>
      </w:pPr>
      <w:r>
        <w:rPr>
          <w:i/>
          <w:color w:val="000000"/>
          <w:sz w:val="20"/>
          <w:szCs w:val="20"/>
        </w:rPr>
        <w:t>La Sala Superior del Tribunal se compondrá de tres Magistrados y actuará en Pleno” (…).</w:t>
      </w:r>
    </w:p>
    <w:bookmarkStart w:id="3" w:name="_heading=h.tyjcwt" w:colFirst="0" w:colLast="0"/>
    <w:bookmarkEnd w:id="3"/>
  </w:footnote>
  <w:footnote w:id="4">
    <w:p w14:paraId="2605A7F8" w14:textId="77777777" w:rsidR="00724869" w:rsidRDefault="00596D72">
      <w:pPr>
        <w:pBdr>
          <w:top w:val="nil"/>
          <w:left w:val="nil"/>
          <w:bottom w:val="nil"/>
          <w:right w:val="nil"/>
          <w:between w:val="nil"/>
        </w:pBdr>
        <w:spacing w:after="0" w:line="240" w:lineRule="auto"/>
        <w:jc w:val="both"/>
        <w:rPr>
          <w:color w:val="000000"/>
          <w:sz w:val="20"/>
          <w:szCs w:val="20"/>
        </w:rPr>
      </w:pPr>
      <w:bookmarkStart w:id="4" w:name="_heading=h.tyjcwt" w:colFirst="0" w:colLast="0"/>
      <w:bookmarkEnd w:id="4"/>
      <w:r>
        <w:rPr>
          <w:vertAlign w:val="superscript"/>
        </w:rPr>
        <w:footnoteRef/>
      </w:r>
      <w:r>
        <w:rPr>
          <w:color w:val="000000"/>
          <w:sz w:val="20"/>
          <w:szCs w:val="20"/>
        </w:rPr>
        <w:t xml:space="preserve"> </w:t>
      </w:r>
      <w:r>
        <w:rPr>
          <w:rFonts w:ascii="Arial" w:eastAsia="Arial" w:hAnsi="Arial" w:cs="Arial"/>
          <w:i/>
          <w:color w:val="000000"/>
          <w:sz w:val="20"/>
          <w:szCs w:val="20"/>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Arial" w:hAnsi="Arial" w:cs="Arial"/>
          <w:color w:val="00000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E3893" w14:textId="4A9FA367" w:rsidR="00724869" w:rsidRDefault="00596D72">
    <w:pPr>
      <w:pBdr>
        <w:top w:val="nil"/>
        <w:left w:val="nil"/>
        <w:bottom w:val="nil"/>
        <w:right w:val="nil"/>
        <w:between w:val="nil"/>
      </w:pBdr>
      <w:tabs>
        <w:tab w:val="center" w:pos="4252"/>
        <w:tab w:val="right" w:pos="8504"/>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290667">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398D4934" w14:textId="694C946A" w:rsidR="00724869" w:rsidRDefault="0029066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3360" behindDoc="0" locked="0" layoutInCell="1" allowOverlap="1" wp14:anchorId="679E876D" wp14:editId="71DE10E0">
          <wp:simplePos x="0" y="0"/>
          <wp:positionH relativeFrom="column">
            <wp:posOffset>5276850</wp:posOffset>
          </wp:positionH>
          <wp:positionV relativeFrom="paragraph">
            <wp:posOffset>3367405</wp:posOffset>
          </wp:positionV>
          <wp:extent cx="1028700" cy="1257300"/>
          <wp:effectExtent l="0" t="0" r="0" b="0"/>
          <wp:wrapNone/>
          <wp:docPr id="1791398480" name="Imagen 1791398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5432"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15F43" w14:textId="5B796FE9" w:rsidR="00724869" w:rsidRDefault="00596D72">
    <w:pPr>
      <w:pBdr>
        <w:top w:val="nil"/>
        <w:left w:val="nil"/>
        <w:bottom w:val="nil"/>
        <w:right w:val="nil"/>
        <w:between w:val="nil"/>
      </w:pBdr>
      <w:tabs>
        <w:tab w:val="center" w:pos="4252"/>
        <w:tab w:val="right" w:pos="8504"/>
      </w:tabs>
      <w:spacing w:after="0" w:line="240" w:lineRule="auto"/>
      <w:jc w:val="center"/>
      <w:rPr>
        <w:b/>
        <w:color w:val="000000"/>
        <w:sz w:val="24"/>
        <w:szCs w:val="24"/>
      </w:rPr>
    </w:pPr>
    <w:r>
      <w:rPr>
        <w:b/>
        <w:color w:val="000000"/>
        <w:sz w:val="24"/>
        <w:szCs w:val="24"/>
      </w:rPr>
      <w:t>SALA SUPERIOR DEL TRIBUNAL DE JUSTICIA ADMINISTRATIVA Y COMBATE A LA CORRUPCIÓN DEL ESTADO DE OAXACA</w:t>
    </w:r>
    <w:r>
      <w:rPr>
        <w:noProof/>
      </w:rPr>
      <w:drawing>
        <wp:anchor distT="0" distB="0" distL="114300" distR="114300" simplePos="0" relativeHeight="251658240" behindDoc="0" locked="0" layoutInCell="1" hidden="0" allowOverlap="1" wp14:anchorId="63EED16A" wp14:editId="5BE4CD63">
          <wp:simplePos x="0" y="0"/>
          <wp:positionH relativeFrom="column">
            <wp:posOffset>-533398</wp:posOffset>
          </wp:positionH>
          <wp:positionV relativeFrom="paragraph">
            <wp:posOffset>-55243</wp:posOffset>
          </wp:positionV>
          <wp:extent cx="1620353" cy="495300"/>
          <wp:effectExtent l="0" t="0" r="0" b="0"/>
          <wp:wrapSquare wrapText="bothSides" distT="0" distB="0" distL="114300" distR="114300"/>
          <wp:docPr id="7033688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1F408527" w14:textId="5F709C2E" w:rsidR="00724869" w:rsidRDefault="00596D72">
    <w:pPr>
      <w:pBdr>
        <w:top w:val="nil"/>
        <w:left w:val="nil"/>
        <w:bottom w:val="nil"/>
        <w:right w:val="nil"/>
        <w:between w:val="nil"/>
      </w:pBdr>
      <w:tabs>
        <w:tab w:val="center" w:pos="4252"/>
        <w:tab w:val="right" w:pos="8504"/>
      </w:tabs>
      <w:spacing w:after="0" w:line="240" w:lineRule="auto"/>
      <w:jc w:val="center"/>
      <w:rPr>
        <w:b/>
        <w:color w:val="000000"/>
        <w:sz w:val="24"/>
        <w:szCs w:val="24"/>
      </w:rPr>
    </w:pPr>
    <w:bookmarkStart w:id="7" w:name="_heading=h.3dy6vkm" w:colFirst="0" w:colLast="0"/>
    <w:bookmarkEnd w:id="7"/>
    <w:r>
      <w:rPr>
        <w:b/>
        <w:color w:val="000000"/>
        <w:sz w:val="24"/>
        <w:szCs w:val="24"/>
      </w:rPr>
      <w:t>R.R. 240/2023</w:t>
    </w:r>
  </w:p>
  <w:p w14:paraId="0940EDBB" w14:textId="5CC71D2D" w:rsidR="00724869" w:rsidRDefault="00290667">
    <w:pPr>
      <w:pBdr>
        <w:top w:val="nil"/>
        <w:left w:val="nil"/>
        <w:bottom w:val="nil"/>
        <w:right w:val="nil"/>
        <w:between w:val="nil"/>
      </w:pBdr>
      <w:tabs>
        <w:tab w:val="center" w:pos="4252"/>
        <w:tab w:val="right" w:pos="8504"/>
        <w:tab w:val="left" w:pos="142"/>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1312" behindDoc="1" locked="0" layoutInCell="1" allowOverlap="1" wp14:anchorId="5A4CAAC4" wp14:editId="34402438">
          <wp:simplePos x="0" y="0"/>
          <wp:positionH relativeFrom="column">
            <wp:posOffset>-1202055</wp:posOffset>
          </wp:positionH>
          <wp:positionV relativeFrom="paragraph">
            <wp:posOffset>2487295</wp:posOffset>
          </wp:positionV>
          <wp:extent cx="1028700" cy="1257300"/>
          <wp:effectExtent l="0" t="0" r="0" b="0"/>
          <wp:wrapNone/>
          <wp:docPr id="569643723" name="Imagen 569643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543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F3469" w14:textId="44890935" w:rsidR="00724869" w:rsidRDefault="00596D72">
    <w:pPr>
      <w:pBdr>
        <w:top w:val="nil"/>
        <w:left w:val="nil"/>
        <w:bottom w:val="nil"/>
        <w:right w:val="nil"/>
        <w:between w:val="nil"/>
      </w:pBdr>
      <w:tabs>
        <w:tab w:val="center" w:pos="4252"/>
        <w:tab w:val="right" w:pos="8504"/>
      </w:tabs>
      <w:spacing w:after="0" w:line="240" w:lineRule="auto"/>
      <w:jc w:val="center"/>
      <w:rPr>
        <w:b/>
        <w:color w:val="000000"/>
        <w:sz w:val="24"/>
        <w:szCs w:val="24"/>
      </w:rPr>
    </w:pPr>
    <w:r>
      <w:rPr>
        <w:b/>
        <w:color w:val="000000"/>
        <w:sz w:val="24"/>
        <w:szCs w:val="24"/>
      </w:rPr>
      <w:t>SALA SUPERIOR DEL TRIBUNAL DE JUSTICIA ADMINISTRATIVA Y COMBATE A LA CORRUPCIÓN DEL ESTADO DE OAXACA</w:t>
    </w:r>
    <w:r>
      <w:rPr>
        <w:noProof/>
      </w:rPr>
      <w:drawing>
        <wp:anchor distT="0" distB="0" distL="114300" distR="114300" simplePos="0" relativeHeight="251659264" behindDoc="0" locked="0" layoutInCell="1" hidden="0" allowOverlap="1" wp14:anchorId="73A82ECC" wp14:editId="16182E2A">
          <wp:simplePos x="0" y="0"/>
          <wp:positionH relativeFrom="column">
            <wp:posOffset>-622298</wp:posOffset>
          </wp:positionH>
          <wp:positionV relativeFrom="paragraph">
            <wp:posOffset>-118743</wp:posOffset>
          </wp:positionV>
          <wp:extent cx="1620353" cy="495300"/>
          <wp:effectExtent l="0" t="0" r="0" b="0"/>
          <wp:wrapSquare wrapText="bothSides" distT="0" distB="0" distL="114300" distR="114300"/>
          <wp:docPr id="7033688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1620353" cy="495300"/>
                  </a:xfrm>
                  <a:prstGeom prst="rect">
                    <a:avLst/>
                  </a:prstGeom>
                  <a:ln/>
                </pic:spPr>
              </pic:pic>
            </a:graphicData>
          </a:graphic>
        </wp:anchor>
      </w:drawing>
    </w:r>
  </w:p>
  <w:p w14:paraId="5D1A6A1A" w14:textId="3A565662" w:rsidR="00724869" w:rsidRDefault="00290667">
    <w:pPr>
      <w:pBdr>
        <w:top w:val="nil"/>
        <w:left w:val="nil"/>
        <w:bottom w:val="nil"/>
        <w:right w:val="nil"/>
        <w:between w:val="nil"/>
      </w:pBdr>
      <w:tabs>
        <w:tab w:val="center" w:pos="4252"/>
        <w:tab w:val="right" w:pos="8504"/>
      </w:tabs>
      <w:spacing w:after="0" w:line="240" w:lineRule="auto"/>
      <w:rPr>
        <w:rFonts w:ascii="Times New Roman" w:eastAsia="Times New Roman" w:hAnsi="Times New Roman" w:cs="Times New Roman"/>
        <w:color w:val="000000"/>
        <w:sz w:val="24"/>
        <w:szCs w:val="24"/>
      </w:rPr>
    </w:pPr>
    <w:r>
      <w:rPr>
        <w:noProof/>
      </w:rPr>
      <w:drawing>
        <wp:anchor distT="0" distB="0" distL="114300" distR="114300" simplePos="0" relativeHeight="251660288" behindDoc="0" locked="0" layoutInCell="1" allowOverlap="1" wp14:anchorId="7E0B746D" wp14:editId="1D3CBA55">
          <wp:simplePos x="0" y="0"/>
          <wp:positionH relativeFrom="column">
            <wp:posOffset>-1268730</wp:posOffset>
          </wp:positionH>
          <wp:positionV relativeFrom="paragraph">
            <wp:posOffset>4140200</wp:posOffset>
          </wp:positionV>
          <wp:extent cx="1028700" cy="1257300"/>
          <wp:effectExtent l="0" t="0" r="0" b="0"/>
          <wp:wrapNone/>
          <wp:docPr id="8429254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925432" name="Imagen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2573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2A54DA"/>
    <w:multiLevelType w:val="multilevel"/>
    <w:tmpl w:val="E7F2BB6A"/>
    <w:lvl w:ilvl="0">
      <w:start w:val="1"/>
      <w:numFmt w:val="upperLetter"/>
      <w:lvlText w:val="%1)"/>
      <w:lvlJc w:val="left"/>
      <w:pPr>
        <w:ind w:left="1068" w:hanging="360"/>
      </w:pPr>
      <w:rPr>
        <w:b/>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15:restartNumberingAfterBreak="0">
    <w:nsid w:val="5D6F329E"/>
    <w:multiLevelType w:val="multilevel"/>
    <w:tmpl w:val="252092F2"/>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2" w15:restartNumberingAfterBreak="0">
    <w:nsid w:val="61D57A10"/>
    <w:multiLevelType w:val="multilevel"/>
    <w:tmpl w:val="00622CE4"/>
    <w:lvl w:ilvl="0">
      <w:start w:val="1"/>
      <w:numFmt w:val="lowerLetter"/>
      <w:lvlText w:val="%1)"/>
      <w:lvlJc w:val="left"/>
      <w:pPr>
        <w:ind w:left="1428" w:hanging="360"/>
      </w:pPr>
      <w:rPr>
        <w:b/>
      </w:r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3" w15:restartNumberingAfterBreak="0">
    <w:nsid w:val="71594133"/>
    <w:multiLevelType w:val="multilevel"/>
    <w:tmpl w:val="21B46E92"/>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16cid:durableId="1602642105">
    <w:abstractNumId w:val="1"/>
  </w:num>
  <w:num w:numId="2" w16cid:durableId="315501061">
    <w:abstractNumId w:val="2"/>
  </w:num>
  <w:num w:numId="3" w16cid:durableId="1807622589">
    <w:abstractNumId w:val="0"/>
  </w:num>
  <w:num w:numId="4" w16cid:durableId="133452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869"/>
    <w:rsid w:val="00290667"/>
    <w:rsid w:val="00596D72"/>
    <w:rsid w:val="006360DA"/>
    <w:rsid w:val="0072486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A0133"/>
  <w15:docId w15:val="{20358186-21C5-440B-BFEE-65DDE36B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036"/>
    <w:rPr>
      <w:rFonts w:eastAsiaTheme="minorEastAsia"/>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rsid w:val="00FD3036"/>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D3036"/>
    <w:rPr>
      <w:rFonts w:ascii="Times New Roman" w:eastAsia="PMingLiU" w:hAnsi="Times New Roman" w:cs="Times New Roman"/>
      <w:sz w:val="24"/>
      <w:szCs w:val="24"/>
      <w:lang w:eastAsia="zh-TW"/>
    </w:rPr>
  </w:style>
  <w:style w:type="paragraph" w:styleId="Sinespaciado">
    <w:name w:val="No Spacing"/>
    <w:uiPriority w:val="1"/>
    <w:qFormat/>
    <w:rsid w:val="00FD3036"/>
    <w:pPr>
      <w:spacing w:after="0" w:line="240" w:lineRule="auto"/>
    </w:pPr>
    <w:rPr>
      <w:rFonts w:eastAsiaTheme="minorEastAsia"/>
      <w:lang w:val="es-ES"/>
    </w:rPr>
  </w:style>
  <w:style w:type="paragraph" w:styleId="Textonotapie">
    <w:name w:val="footnote text"/>
    <w:basedOn w:val="Normal"/>
    <w:link w:val="TextonotapieCar"/>
    <w:uiPriority w:val="99"/>
    <w:unhideWhenUsed/>
    <w:rsid w:val="00FD3036"/>
    <w:pPr>
      <w:spacing w:after="0" w:line="240" w:lineRule="auto"/>
    </w:pPr>
    <w:rPr>
      <w:sz w:val="20"/>
      <w:szCs w:val="20"/>
    </w:rPr>
  </w:style>
  <w:style w:type="character" w:customStyle="1" w:styleId="TextonotapieCar">
    <w:name w:val="Texto nota pie Car"/>
    <w:basedOn w:val="Fuentedeprrafopredeter"/>
    <w:link w:val="Textonotapie"/>
    <w:uiPriority w:val="99"/>
    <w:rsid w:val="00FD3036"/>
    <w:rPr>
      <w:rFonts w:eastAsiaTheme="minorEastAsia"/>
      <w:sz w:val="20"/>
      <w:szCs w:val="20"/>
      <w:lang w:eastAsia="es-MX"/>
    </w:rPr>
  </w:style>
  <w:style w:type="character" w:styleId="Refdenotaalpie">
    <w:name w:val="footnote reference"/>
    <w:basedOn w:val="Fuentedeprrafopredeter"/>
    <w:uiPriority w:val="99"/>
    <w:unhideWhenUsed/>
    <w:rsid w:val="00FD3036"/>
    <w:rPr>
      <w:vertAlign w:val="superscript"/>
    </w:rPr>
  </w:style>
  <w:style w:type="paragraph" w:styleId="Piedepgina">
    <w:name w:val="footer"/>
    <w:basedOn w:val="Normal"/>
    <w:link w:val="PiedepginaCar"/>
    <w:uiPriority w:val="99"/>
    <w:unhideWhenUsed/>
    <w:rsid w:val="00FD30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3036"/>
    <w:rPr>
      <w:rFonts w:eastAsiaTheme="minorEastAsia"/>
      <w:lang w:eastAsia="es-MX"/>
    </w:rPr>
  </w:style>
  <w:style w:type="paragraph" w:styleId="Textoindependiente">
    <w:name w:val="Body Text"/>
    <w:basedOn w:val="Normal"/>
    <w:link w:val="TextoindependienteCar"/>
    <w:rsid w:val="00FD3036"/>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FD3036"/>
    <w:rPr>
      <w:rFonts w:ascii="Times New Roman" w:eastAsia="Times New Roman" w:hAnsi="Times New Roman" w:cs="Times New Roman"/>
      <w:sz w:val="20"/>
      <w:szCs w:val="20"/>
      <w:lang w:eastAsia="es-ES"/>
    </w:rPr>
  </w:style>
  <w:style w:type="character" w:styleId="Hipervnculo">
    <w:name w:val="Hyperlink"/>
    <w:basedOn w:val="Fuentedeprrafopredeter"/>
    <w:uiPriority w:val="99"/>
    <w:unhideWhenUsed/>
    <w:rsid w:val="00FD3036"/>
    <w:rPr>
      <w:color w:val="0000FF"/>
      <w:u w:val="single"/>
    </w:rPr>
  </w:style>
  <w:style w:type="paragraph" w:styleId="NormalWeb">
    <w:name w:val="Normal (Web)"/>
    <w:basedOn w:val="Normal"/>
    <w:uiPriority w:val="99"/>
    <w:unhideWhenUsed/>
    <w:rsid w:val="00FD3036"/>
    <w:pPr>
      <w:spacing w:before="100" w:beforeAutospacing="1" w:after="100" w:afterAutospacing="1" w:line="240" w:lineRule="auto"/>
    </w:pPr>
    <w:rPr>
      <w:rFonts w:ascii="Times New Roman" w:eastAsia="Times New Roman" w:hAnsi="Times New Roman" w:cs="Times New Roman"/>
      <w:sz w:val="24"/>
      <w:szCs w:val="24"/>
    </w:rPr>
  </w:style>
  <w:style w:type="paragraph" w:styleId="Prrafodelista">
    <w:name w:val="List Paragraph"/>
    <w:basedOn w:val="Normal"/>
    <w:uiPriority w:val="34"/>
    <w:qFormat/>
    <w:rsid w:val="003A6319"/>
    <w:pPr>
      <w:ind w:left="720"/>
      <w:contextualSpacing/>
    </w:pPr>
  </w:style>
  <w:style w:type="table" w:styleId="Tablaconcuadrcula">
    <w:name w:val="Table Grid"/>
    <w:basedOn w:val="Tablanormal"/>
    <w:uiPriority w:val="59"/>
    <w:rsid w:val="00545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83289"/>
    <w:rPr>
      <w:color w:val="605E5C"/>
      <w:shd w:val="clear" w:color="auto" w:fill="E1DFDD"/>
    </w:rPr>
  </w:style>
  <w:style w:type="character" w:customStyle="1" w:styleId="bold">
    <w:name w:val="bold"/>
    <w:basedOn w:val="Fuentedeprrafopredeter"/>
    <w:rsid w:val="00583289"/>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GwpscShtcAATLp/Py6mu5X0mQ==">CgMxLjAyCGguZ2pkZ3hzMgloLjMwajB6bGwyCWguMWZvYjl0ZTIJaC4zem55c2g3MgloLjJldDkycDAyCGgudHlqY3d0MgloLjNkeTZ2a204AHIhMWFhSmNlN25IY2toZ20ybkRrb1h4QWpnbXdIYzJqbzRm</go:docsCustomData>
</go:gDocsCustomXmlDataStorage>
</file>

<file path=customXml/itemProps1.xml><?xml version="1.0" encoding="utf-8"?>
<ds:datastoreItem xmlns:ds="http://schemas.openxmlformats.org/officeDocument/2006/customXml" ds:itemID="{81EB1B88-7EB3-4DE3-8EDD-23A873E4991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3366</Words>
  <Characters>18519</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 1ra Sala</dc:creator>
  <cp:lastModifiedBy>tjao_personal</cp:lastModifiedBy>
  <cp:revision>3</cp:revision>
  <dcterms:created xsi:type="dcterms:W3CDTF">2023-09-01T19:20:00Z</dcterms:created>
  <dcterms:modified xsi:type="dcterms:W3CDTF">2023-10-24T17:48:00Z</dcterms:modified>
</cp:coreProperties>
</file>