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4428CF" w:rsidRDefault="005222BD" w:rsidP="00A96B17">
      <w:pPr>
        <w:spacing w:line="240" w:lineRule="auto"/>
        <w:ind w:left="3686" w:right="51"/>
        <w:jc w:val="both"/>
        <w:rPr>
          <w:rFonts w:ascii="Arial" w:eastAsia="Times New Roman" w:hAnsi="Arial" w:cs="Arial"/>
          <w:b/>
          <w:sz w:val="26"/>
          <w:szCs w:val="26"/>
          <w:lang w:val="es-ES_tradnl" w:eastAsia="es-ES"/>
        </w:rPr>
      </w:pPr>
      <w:r w:rsidRPr="004428CF">
        <w:rPr>
          <w:rFonts w:ascii="Arial" w:eastAsia="Times New Roman" w:hAnsi="Arial" w:cs="Arial"/>
          <w:b/>
          <w:sz w:val="26"/>
          <w:szCs w:val="26"/>
          <w:lang w:val="es-ES_tradnl" w:eastAsia="es-ES"/>
        </w:rPr>
        <w:t>TRIBUNAL DE JUSTICIA ADMINISTRATIVA Y COMBATE A LA CORRUPCIÓN DEL ESTADO DE OAXACA.</w:t>
      </w:r>
    </w:p>
    <w:p w14:paraId="52043A59" w14:textId="209566C3" w:rsidR="002001B2" w:rsidRPr="004428CF" w:rsidRDefault="002001B2" w:rsidP="00A96B17">
      <w:pPr>
        <w:spacing w:line="240" w:lineRule="auto"/>
        <w:ind w:left="3686" w:right="51"/>
        <w:jc w:val="both"/>
        <w:rPr>
          <w:rFonts w:ascii="Arial" w:eastAsia="Times New Roman" w:hAnsi="Arial" w:cs="Arial"/>
          <w:b/>
          <w:sz w:val="26"/>
          <w:szCs w:val="26"/>
          <w:lang w:val="es-ES_tradnl" w:eastAsia="es-ES"/>
        </w:rPr>
      </w:pPr>
      <w:r w:rsidRPr="004428CF">
        <w:rPr>
          <w:rFonts w:ascii="Arial" w:eastAsia="Times New Roman" w:hAnsi="Arial" w:cs="Arial"/>
          <w:b/>
          <w:sz w:val="26"/>
          <w:szCs w:val="26"/>
          <w:lang w:val="es-ES_tradnl" w:eastAsia="es-ES"/>
        </w:rPr>
        <w:t>SALA SUPERIOR.</w:t>
      </w:r>
    </w:p>
    <w:p w14:paraId="7A93924C" w14:textId="77777777" w:rsidR="00B75A41" w:rsidRPr="004428CF" w:rsidRDefault="00B75A41" w:rsidP="00B75A41">
      <w:pPr>
        <w:spacing w:line="240" w:lineRule="auto"/>
        <w:ind w:left="3686"/>
        <w:jc w:val="both"/>
        <w:rPr>
          <w:rFonts w:ascii="Arial" w:eastAsiaTheme="minorEastAsia" w:hAnsi="Arial" w:cs="Arial"/>
          <w:b/>
          <w:sz w:val="26"/>
          <w:szCs w:val="26"/>
          <w:lang w:eastAsia="es-MX"/>
        </w:rPr>
      </w:pPr>
      <w:r w:rsidRPr="004428CF">
        <w:rPr>
          <w:rFonts w:ascii="Arial" w:eastAsiaTheme="minorEastAsia" w:hAnsi="Arial" w:cs="Arial"/>
          <w:b/>
          <w:sz w:val="26"/>
          <w:szCs w:val="26"/>
          <w:lang w:eastAsia="es-MX"/>
        </w:rPr>
        <w:t xml:space="preserve">PONENTE: MAGISTRADO MATEO MARTÍNEZ </w:t>
      </w:r>
      <w:proofErr w:type="spellStart"/>
      <w:r w:rsidRPr="004428CF">
        <w:rPr>
          <w:rFonts w:ascii="Arial" w:eastAsiaTheme="minorEastAsia" w:hAnsi="Arial" w:cs="Arial"/>
          <w:b/>
          <w:sz w:val="26"/>
          <w:szCs w:val="26"/>
          <w:lang w:eastAsia="es-MX"/>
        </w:rPr>
        <w:t>MARTÍNEZ</w:t>
      </w:r>
      <w:proofErr w:type="spellEnd"/>
      <w:r w:rsidRPr="004428CF">
        <w:rPr>
          <w:rFonts w:ascii="Arial" w:eastAsiaTheme="minorEastAsia" w:hAnsi="Arial" w:cs="Arial"/>
          <w:b/>
          <w:sz w:val="26"/>
          <w:szCs w:val="26"/>
          <w:lang w:eastAsia="es-MX"/>
        </w:rPr>
        <w:t>.</w:t>
      </w:r>
    </w:p>
    <w:p w14:paraId="0018F940" w14:textId="77777777" w:rsidR="002001B2" w:rsidRPr="004428CF" w:rsidRDefault="002001B2" w:rsidP="002001B2">
      <w:pPr>
        <w:spacing w:line="240" w:lineRule="auto"/>
        <w:ind w:left="3686"/>
        <w:jc w:val="both"/>
        <w:rPr>
          <w:rFonts w:ascii="Arial" w:eastAsiaTheme="minorEastAsia" w:hAnsi="Arial" w:cs="Arial"/>
          <w:b/>
          <w:sz w:val="26"/>
          <w:szCs w:val="26"/>
          <w:lang w:eastAsia="es-MX"/>
        </w:rPr>
      </w:pPr>
      <w:r w:rsidRPr="004428CF">
        <w:rPr>
          <w:rFonts w:ascii="Arial" w:eastAsiaTheme="minorEastAsia" w:hAnsi="Arial" w:cs="Arial"/>
          <w:b/>
          <w:sz w:val="26"/>
          <w:szCs w:val="26"/>
          <w:lang w:eastAsia="es-MX"/>
        </w:rPr>
        <w:t>RECURSO DE REVISIÓN: 0102/2021.</w:t>
      </w:r>
    </w:p>
    <w:p w14:paraId="591EC665" w14:textId="3BA207F3" w:rsidR="002001B2" w:rsidRPr="004428CF" w:rsidRDefault="002001B2" w:rsidP="002001B2">
      <w:pPr>
        <w:spacing w:line="240" w:lineRule="auto"/>
        <w:ind w:left="3686"/>
        <w:jc w:val="both"/>
        <w:rPr>
          <w:rFonts w:ascii="Arial" w:eastAsiaTheme="minorEastAsia" w:hAnsi="Arial" w:cs="Arial"/>
          <w:b/>
          <w:sz w:val="26"/>
          <w:szCs w:val="26"/>
          <w:lang w:eastAsia="es-MX"/>
        </w:rPr>
      </w:pPr>
      <w:r w:rsidRPr="004428CF">
        <w:rPr>
          <w:rFonts w:ascii="Arial" w:eastAsiaTheme="minorEastAsia" w:hAnsi="Arial" w:cs="Arial"/>
          <w:b/>
          <w:sz w:val="26"/>
          <w:szCs w:val="26"/>
          <w:lang w:eastAsia="es-MX"/>
        </w:rPr>
        <w:t>EXPEDIENTE: 0159/2020 DE LA SEGUNDA SALA UNITARIA DE PRIMERA INSTANCIA.</w:t>
      </w:r>
    </w:p>
    <w:p w14:paraId="0A605FF4" w14:textId="0BCD8ADA" w:rsidR="00B75A41" w:rsidRPr="004428CF" w:rsidRDefault="00B75A41" w:rsidP="002001B2">
      <w:pPr>
        <w:spacing w:line="240" w:lineRule="auto"/>
        <w:ind w:left="3686"/>
        <w:jc w:val="both"/>
        <w:rPr>
          <w:rFonts w:ascii="Arial" w:eastAsiaTheme="minorEastAsia" w:hAnsi="Arial" w:cs="Arial"/>
          <w:b/>
          <w:sz w:val="26"/>
          <w:szCs w:val="26"/>
          <w:lang w:eastAsia="es-MX"/>
        </w:rPr>
      </w:pPr>
      <w:proofErr w:type="gramStart"/>
      <w:r w:rsidRPr="004428CF">
        <w:rPr>
          <w:rFonts w:ascii="Arial" w:eastAsiaTheme="minorEastAsia" w:hAnsi="Arial" w:cs="Arial"/>
          <w:b/>
          <w:sz w:val="26"/>
          <w:szCs w:val="26"/>
          <w:lang w:eastAsia="es-MX"/>
        </w:rPr>
        <w:t>ACTOR:</w:t>
      </w:r>
      <w:r w:rsidR="004428CF">
        <w:rPr>
          <w:rFonts w:ascii="Arial" w:eastAsiaTheme="minorEastAsia" w:hAnsi="Arial" w:cs="Arial"/>
          <w:b/>
          <w:sz w:val="26"/>
          <w:szCs w:val="26"/>
          <w:lang w:eastAsia="es-MX"/>
        </w:rPr>
        <w:t>*</w:t>
      </w:r>
      <w:proofErr w:type="gramEnd"/>
      <w:r w:rsidR="004428CF">
        <w:rPr>
          <w:rFonts w:ascii="Arial" w:eastAsiaTheme="minorEastAsia" w:hAnsi="Arial" w:cs="Arial"/>
          <w:b/>
          <w:sz w:val="26"/>
          <w:szCs w:val="26"/>
          <w:lang w:eastAsia="es-MX"/>
        </w:rPr>
        <w:t>*********</w:t>
      </w:r>
      <w:r w:rsidRPr="004428CF">
        <w:rPr>
          <w:rFonts w:ascii="Arial" w:eastAsiaTheme="minorEastAsia" w:hAnsi="Arial" w:cs="Arial"/>
          <w:b/>
          <w:sz w:val="26"/>
          <w:szCs w:val="26"/>
          <w:lang w:eastAsia="es-MX"/>
        </w:rPr>
        <w:t>.</w:t>
      </w:r>
    </w:p>
    <w:p w14:paraId="629AD4AF" w14:textId="5CBAE35A" w:rsidR="00B75A41" w:rsidRPr="00653582" w:rsidRDefault="00B75A41" w:rsidP="002001B2">
      <w:pPr>
        <w:spacing w:line="240" w:lineRule="auto"/>
        <w:ind w:left="3686"/>
        <w:jc w:val="both"/>
        <w:rPr>
          <w:rFonts w:ascii="Arial" w:eastAsiaTheme="minorEastAsia" w:hAnsi="Arial" w:cs="Arial"/>
          <w:b/>
          <w:sz w:val="26"/>
          <w:szCs w:val="26"/>
          <w:lang w:eastAsia="es-MX"/>
        </w:rPr>
      </w:pPr>
      <w:r w:rsidRPr="004428CF">
        <w:rPr>
          <w:rFonts w:ascii="Arial" w:eastAsiaTheme="minorEastAsia" w:hAnsi="Arial" w:cs="Arial"/>
          <w:b/>
          <w:sz w:val="26"/>
          <w:szCs w:val="26"/>
          <w:lang w:eastAsia="es-MX"/>
        </w:rPr>
        <w:t>AUTORIDAD DEMANDADA:</w:t>
      </w:r>
      <w:r>
        <w:rPr>
          <w:rFonts w:ascii="Arial" w:eastAsiaTheme="minorEastAsia" w:hAnsi="Arial" w:cs="Arial"/>
          <w:b/>
          <w:sz w:val="26"/>
          <w:szCs w:val="26"/>
          <w:lang w:eastAsia="es-MX"/>
        </w:rPr>
        <w:t xml:space="preserve"> </w:t>
      </w:r>
      <w:r w:rsidR="00653582" w:rsidRPr="00653582">
        <w:rPr>
          <w:rFonts w:ascii="Arial" w:eastAsiaTheme="minorEastAsia" w:hAnsi="Arial" w:cs="Arial"/>
          <w:b/>
          <w:sz w:val="26"/>
          <w:szCs w:val="26"/>
          <w:lang w:eastAsia="es-MX"/>
        </w:rPr>
        <w:t>POLICÍA VIAL CON NÚMERO ESTADÍSTICO 249, ADSCRITO A LA SUBDIRECCIÓN DE TRÁNSITO Y MOVILIDAD DEL MUNICIPIO DE OAXACA DE JUÁREZ.</w:t>
      </w:r>
    </w:p>
    <w:p w14:paraId="06C645D3" w14:textId="77777777" w:rsidR="002001B2" w:rsidRPr="002001B2" w:rsidRDefault="002001B2" w:rsidP="002001B2">
      <w:pPr>
        <w:spacing w:line="240" w:lineRule="auto"/>
        <w:ind w:left="2124"/>
        <w:jc w:val="both"/>
        <w:rPr>
          <w:rFonts w:ascii="Arial" w:eastAsiaTheme="minorEastAsia" w:hAnsi="Arial" w:cs="Arial"/>
          <w:b/>
          <w:sz w:val="16"/>
          <w:szCs w:val="16"/>
          <w:lang w:eastAsia="es-MX"/>
        </w:rPr>
      </w:pPr>
    </w:p>
    <w:p w14:paraId="7F7154BD" w14:textId="79B11B2C" w:rsidR="002001B2" w:rsidRPr="002001B2" w:rsidRDefault="002001B2" w:rsidP="002001B2">
      <w:pPr>
        <w:spacing w:before="240" w:line="360" w:lineRule="auto"/>
        <w:jc w:val="both"/>
        <w:rPr>
          <w:rFonts w:ascii="Arial" w:eastAsia="Calibri" w:hAnsi="Arial" w:cs="Arial"/>
          <w:b/>
          <w:sz w:val="26"/>
          <w:szCs w:val="26"/>
          <w:lang w:eastAsia="es-MX"/>
        </w:rPr>
      </w:pPr>
      <w:r w:rsidRPr="002001B2">
        <w:rPr>
          <w:rFonts w:ascii="Arial" w:eastAsia="Calibri" w:hAnsi="Arial" w:cs="Arial"/>
          <w:b/>
          <w:sz w:val="26"/>
          <w:szCs w:val="26"/>
          <w:lang w:eastAsia="es-MX"/>
        </w:rPr>
        <w:t xml:space="preserve">OAXACA DE </w:t>
      </w:r>
      <w:r w:rsidR="00302737">
        <w:rPr>
          <w:rFonts w:ascii="Arial" w:eastAsia="Calibri" w:hAnsi="Arial" w:cs="Arial"/>
          <w:b/>
          <w:sz w:val="26"/>
          <w:szCs w:val="26"/>
          <w:lang w:eastAsia="es-MX"/>
        </w:rPr>
        <w:t>JUÁREZ, OAXACA; A SEIS</w:t>
      </w:r>
      <w:r w:rsidRPr="002001B2">
        <w:rPr>
          <w:rFonts w:ascii="Arial" w:eastAsia="Calibri" w:hAnsi="Arial" w:cs="Arial"/>
          <w:b/>
          <w:sz w:val="26"/>
          <w:szCs w:val="26"/>
          <w:lang w:eastAsia="es-MX"/>
        </w:rPr>
        <w:t xml:space="preserve"> DE </w:t>
      </w:r>
      <w:r w:rsidR="00302737">
        <w:rPr>
          <w:rFonts w:ascii="Arial" w:eastAsia="Calibri" w:hAnsi="Arial" w:cs="Arial"/>
          <w:b/>
          <w:sz w:val="26"/>
          <w:szCs w:val="26"/>
          <w:lang w:eastAsia="es-MX"/>
        </w:rPr>
        <w:t>SEPTIEMBRE</w:t>
      </w:r>
      <w:r w:rsidRPr="002001B2">
        <w:rPr>
          <w:rFonts w:ascii="Arial" w:eastAsia="Calibri" w:hAnsi="Arial" w:cs="Arial"/>
          <w:b/>
          <w:sz w:val="26"/>
          <w:szCs w:val="26"/>
          <w:lang w:eastAsia="es-MX"/>
        </w:rPr>
        <w:t xml:space="preserve"> DE DOS MIL VEINTITRÉS. - - - - - - - - - - - - - - - - - - - - - - - - - - - - - - - - - - - - - - - </w:t>
      </w:r>
      <w:r w:rsidR="00702C90">
        <w:rPr>
          <w:rFonts w:ascii="Arial" w:eastAsia="Calibri" w:hAnsi="Arial" w:cs="Arial"/>
          <w:b/>
          <w:sz w:val="26"/>
          <w:szCs w:val="26"/>
          <w:lang w:eastAsia="es-MX"/>
        </w:rPr>
        <w:t xml:space="preserve">- - - - - - </w:t>
      </w:r>
    </w:p>
    <w:p w14:paraId="39CCD37E" w14:textId="68D715F0" w:rsidR="002001B2" w:rsidRDefault="00B75A41" w:rsidP="00702C90">
      <w:pPr>
        <w:spacing w:line="360" w:lineRule="auto"/>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1.- </w:t>
      </w:r>
      <w:r w:rsidR="00737536">
        <w:rPr>
          <w:rFonts w:ascii="Arial" w:eastAsiaTheme="minorEastAsia" w:hAnsi="Arial" w:cs="Arial"/>
          <w:sz w:val="26"/>
          <w:szCs w:val="26"/>
          <w:lang w:eastAsia="es-MX"/>
        </w:rPr>
        <w:t xml:space="preserve">Resolución de la Sala Superior que decide el recurso de revisión </w:t>
      </w:r>
      <w:r w:rsidR="00737536" w:rsidRPr="00C21C94">
        <w:rPr>
          <w:rFonts w:ascii="Arial" w:eastAsiaTheme="minorEastAsia" w:hAnsi="Arial" w:cs="Arial"/>
          <w:b/>
          <w:sz w:val="26"/>
          <w:szCs w:val="26"/>
          <w:lang w:eastAsia="es-MX"/>
        </w:rPr>
        <w:t>0102/2021</w:t>
      </w:r>
      <w:r w:rsidR="00737536">
        <w:rPr>
          <w:rFonts w:ascii="Arial" w:eastAsiaTheme="minorEastAsia" w:hAnsi="Arial" w:cs="Arial"/>
          <w:sz w:val="26"/>
          <w:szCs w:val="26"/>
          <w:lang w:eastAsia="es-MX"/>
        </w:rPr>
        <w:t xml:space="preserve">, interpuesto por </w:t>
      </w:r>
      <w:r w:rsidR="004428CF">
        <w:rPr>
          <w:rFonts w:ascii="Arial" w:eastAsiaTheme="minorEastAsia" w:hAnsi="Arial" w:cs="Arial"/>
          <w:b/>
          <w:sz w:val="26"/>
          <w:szCs w:val="26"/>
          <w:lang w:eastAsia="es-MX"/>
        </w:rPr>
        <w:t>**********</w:t>
      </w:r>
      <w:r w:rsidR="00C21C94" w:rsidRPr="00C21C94">
        <w:rPr>
          <w:rFonts w:ascii="Arial" w:eastAsiaTheme="minorEastAsia" w:hAnsi="Arial" w:cs="Arial"/>
          <w:b/>
          <w:sz w:val="26"/>
          <w:szCs w:val="26"/>
          <w:lang w:eastAsia="es-MX"/>
        </w:rPr>
        <w:t xml:space="preserve">, </w:t>
      </w:r>
      <w:r w:rsidR="00C21C94">
        <w:rPr>
          <w:rFonts w:ascii="Arial" w:eastAsiaTheme="minorEastAsia" w:hAnsi="Arial" w:cs="Arial"/>
          <w:sz w:val="26"/>
          <w:szCs w:val="26"/>
          <w:lang w:eastAsia="es-MX"/>
        </w:rPr>
        <w:t>en estricto cumplimiento a la ejecutoria de amparo</w:t>
      </w:r>
      <w:r w:rsidR="00C21C94">
        <w:t xml:space="preserve"> </w:t>
      </w:r>
      <w:r w:rsidR="00C21C94" w:rsidRPr="00C21C94">
        <w:rPr>
          <w:rFonts w:ascii="Arial" w:hAnsi="Arial" w:cs="Arial"/>
          <w:sz w:val="26"/>
          <w:szCs w:val="26"/>
        </w:rPr>
        <w:t>remitida por</w:t>
      </w:r>
      <w:r w:rsidR="00C21C94">
        <w:t xml:space="preserve"> </w:t>
      </w:r>
      <w:r w:rsidR="00C21C94" w:rsidRPr="00C21C94">
        <w:rPr>
          <w:rFonts w:ascii="Arial" w:eastAsiaTheme="minorEastAsia" w:hAnsi="Arial" w:cs="Arial"/>
          <w:sz w:val="26"/>
          <w:szCs w:val="26"/>
          <w:lang w:eastAsia="es-MX"/>
        </w:rPr>
        <w:t xml:space="preserve">el Primer Tribunal Colegiado en Materia Civil y Administrativa del Decimotercer Circuito en el Estado de Oaxaca, mediante oficio </w:t>
      </w:r>
      <w:r w:rsidR="00C21C94" w:rsidRPr="00B75A41">
        <w:rPr>
          <w:rFonts w:ascii="Arial" w:eastAsiaTheme="minorEastAsia" w:hAnsi="Arial" w:cs="Arial"/>
          <w:b/>
          <w:sz w:val="26"/>
          <w:szCs w:val="26"/>
          <w:lang w:eastAsia="es-MX"/>
        </w:rPr>
        <w:t>1874/2023</w:t>
      </w:r>
      <w:r w:rsidR="00C21C94" w:rsidRPr="00C21C94">
        <w:rPr>
          <w:rFonts w:ascii="Arial" w:eastAsiaTheme="minorEastAsia" w:hAnsi="Arial" w:cs="Arial"/>
          <w:sz w:val="26"/>
          <w:szCs w:val="26"/>
          <w:lang w:eastAsia="es-MX"/>
        </w:rPr>
        <w:t xml:space="preserve"> de dieciocho de julio de dos mil veintitrés</w:t>
      </w:r>
      <w:r w:rsidR="00653582">
        <w:rPr>
          <w:rFonts w:ascii="Arial" w:eastAsiaTheme="minorEastAsia" w:hAnsi="Arial" w:cs="Arial"/>
          <w:sz w:val="26"/>
          <w:szCs w:val="26"/>
          <w:lang w:eastAsia="es-MX"/>
        </w:rPr>
        <w:t>.</w:t>
      </w:r>
    </w:p>
    <w:sdt>
      <w:sdtPr>
        <w:rPr>
          <w:rFonts w:ascii="Arial" w:eastAsiaTheme="minorEastAsia" w:hAnsi="Arial" w:cs="Arial"/>
          <w:color w:val="auto"/>
          <w:sz w:val="24"/>
          <w:szCs w:val="24"/>
          <w:lang w:val="es-ES_tradnl"/>
        </w:rPr>
        <w:id w:val="-524558340"/>
        <w:docPartObj>
          <w:docPartGallery w:val="Table of Contents"/>
          <w:docPartUnique/>
        </w:docPartObj>
      </w:sdtPr>
      <w:sdtEndPr>
        <w:rPr>
          <w:rFonts w:eastAsiaTheme="minorHAnsi"/>
          <w:b/>
          <w:bCs/>
        </w:rPr>
      </w:sdtEndPr>
      <w:sdtContent>
        <w:p w14:paraId="363AAAF1" w14:textId="77777777" w:rsidR="00653582" w:rsidRPr="00EE4752" w:rsidRDefault="00653582" w:rsidP="00653582">
          <w:pPr>
            <w:pStyle w:val="TtuloTDC"/>
            <w:spacing w:line="360" w:lineRule="auto"/>
            <w:jc w:val="center"/>
            <w:rPr>
              <w:rFonts w:ascii="Arial" w:hAnsi="Arial" w:cs="Arial"/>
              <w:b/>
              <w:color w:val="000000" w:themeColor="text1"/>
              <w:sz w:val="24"/>
              <w:szCs w:val="24"/>
              <w:lang w:val="es-ES_tradnl"/>
            </w:rPr>
          </w:pPr>
          <w:r w:rsidRPr="00EE4752">
            <w:rPr>
              <w:rFonts w:ascii="Arial" w:hAnsi="Arial" w:cs="Arial"/>
              <w:b/>
              <w:color w:val="000000" w:themeColor="text1"/>
              <w:sz w:val="24"/>
              <w:szCs w:val="24"/>
              <w:lang w:val="es-ES_tradnl"/>
            </w:rPr>
            <w:t>ÍNDICE</w:t>
          </w:r>
        </w:p>
        <w:p w14:paraId="03BCC156" w14:textId="77777777" w:rsidR="00653582" w:rsidRPr="00EE4752" w:rsidRDefault="00653582" w:rsidP="00653582">
          <w:pPr>
            <w:pStyle w:val="TDC1"/>
            <w:spacing w:line="276" w:lineRule="auto"/>
            <w:rPr>
              <w:rStyle w:val="Hipervnculo"/>
              <w:b w:val="0"/>
            </w:rPr>
          </w:pPr>
          <w:r w:rsidRPr="00EE4752">
            <w:rPr>
              <w:bCs/>
              <w:lang w:val="es-ES_tradnl"/>
            </w:rPr>
            <w:fldChar w:fldCharType="begin"/>
          </w:r>
          <w:r w:rsidRPr="00EE4752">
            <w:rPr>
              <w:bCs/>
              <w:lang w:val="es-ES_tradnl"/>
            </w:rPr>
            <w:instrText xml:space="preserve"> TOC \o "1-3" \h \z \u </w:instrText>
          </w:r>
          <w:r w:rsidRPr="00EE4752">
            <w:rPr>
              <w:bCs/>
              <w:lang w:val="es-ES_tradnl"/>
            </w:rPr>
            <w:fldChar w:fldCharType="separate"/>
          </w:r>
          <w:r w:rsidRPr="00EE4752">
            <w:rPr>
              <w:b w:val="0"/>
            </w:rPr>
            <w:t>GLOSARIO</w:t>
          </w:r>
          <w:r w:rsidRPr="00EE4752">
            <w:rPr>
              <w:b w:val="0"/>
              <w:webHidden/>
              <w:lang w:val="es-ES_tradnl"/>
            </w:rPr>
            <w:tab/>
            <w:t>2</w:t>
          </w:r>
        </w:p>
        <w:p w14:paraId="7B51B54A" w14:textId="77777777" w:rsidR="00653582" w:rsidRPr="00EE4752" w:rsidRDefault="00653582" w:rsidP="00653582">
          <w:pPr>
            <w:pStyle w:val="TDC1"/>
            <w:spacing w:line="276" w:lineRule="auto"/>
            <w:rPr>
              <w:rStyle w:val="Hipervnculo"/>
              <w:b w:val="0"/>
            </w:rPr>
          </w:pPr>
          <w:bookmarkStart w:id="0" w:name="_Hlk142555234"/>
          <w:r w:rsidRPr="00EE4752">
            <w:rPr>
              <w:b w:val="0"/>
            </w:rPr>
            <w:t>1. RESULTANDO</w:t>
          </w:r>
          <w:r w:rsidRPr="00EE4752">
            <w:rPr>
              <w:b w:val="0"/>
              <w:webHidden/>
              <w:lang w:val="es-ES_tradnl"/>
            </w:rPr>
            <w:tab/>
          </w:r>
          <w:bookmarkEnd w:id="0"/>
          <w:r>
            <w:rPr>
              <w:b w:val="0"/>
              <w:webHidden/>
              <w:lang w:val="es-ES_tradnl"/>
            </w:rPr>
            <w:t>2</w:t>
          </w:r>
        </w:p>
        <w:p w14:paraId="08A4C8CE" w14:textId="27D874CD" w:rsidR="00653582" w:rsidRPr="00EE4752" w:rsidRDefault="00863FC4" w:rsidP="00653582">
          <w:pPr>
            <w:pStyle w:val="TDC2"/>
            <w:tabs>
              <w:tab w:val="left" w:pos="660"/>
              <w:tab w:val="right" w:leader="dot" w:pos="8828"/>
            </w:tabs>
            <w:spacing w:line="276" w:lineRule="auto"/>
            <w:rPr>
              <w:rFonts w:ascii="Arial" w:hAnsi="Arial" w:cs="Arial"/>
              <w:noProof/>
              <w:sz w:val="24"/>
              <w:szCs w:val="24"/>
              <w:lang w:val="es-ES_tradnl" w:eastAsia="es-MX"/>
            </w:rPr>
          </w:pPr>
          <w:hyperlink w:anchor="_Toc57989556" w:history="1">
            <w:r w:rsidR="00653582" w:rsidRPr="00EE4752">
              <w:rPr>
                <w:rFonts w:ascii="Arial" w:hAnsi="Arial" w:cs="Arial"/>
                <w:sz w:val="24"/>
                <w:szCs w:val="24"/>
              </w:rPr>
              <w:t>PRIMERO.</w:t>
            </w:r>
            <w:r w:rsidR="005C59DD">
              <w:rPr>
                <w:rFonts w:ascii="Arial" w:hAnsi="Arial" w:cs="Arial"/>
                <w:sz w:val="24"/>
                <w:szCs w:val="24"/>
              </w:rPr>
              <w:t>ACTO RECLAMADO</w:t>
            </w:r>
            <w:r w:rsidR="00653582" w:rsidRPr="00EE4752">
              <w:rPr>
                <w:rFonts w:ascii="Arial" w:hAnsi="Arial" w:cs="Arial"/>
                <w:noProof/>
                <w:webHidden/>
                <w:sz w:val="24"/>
                <w:szCs w:val="24"/>
                <w:lang w:val="es-ES_tradnl"/>
              </w:rPr>
              <w:tab/>
            </w:r>
            <w:r w:rsidR="00653582">
              <w:rPr>
                <w:rFonts w:ascii="Arial" w:hAnsi="Arial" w:cs="Arial"/>
                <w:noProof/>
                <w:webHidden/>
                <w:sz w:val="24"/>
                <w:szCs w:val="24"/>
                <w:lang w:val="es-ES_tradnl"/>
              </w:rPr>
              <w:t>2</w:t>
            </w:r>
          </w:hyperlink>
        </w:p>
        <w:p w14:paraId="34B8301F" w14:textId="1F077618" w:rsidR="00653582" w:rsidRDefault="00863FC4" w:rsidP="00653582">
          <w:pPr>
            <w:pStyle w:val="TDC2"/>
            <w:tabs>
              <w:tab w:val="left" w:pos="660"/>
              <w:tab w:val="right" w:leader="dot" w:pos="8828"/>
            </w:tabs>
            <w:spacing w:line="276" w:lineRule="auto"/>
            <w:rPr>
              <w:rFonts w:ascii="Arial" w:hAnsi="Arial" w:cs="Arial"/>
              <w:noProof/>
              <w:sz w:val="24"/>
              <w:szCs w:val="24"/>
              <w:lang w:val="es-ES_tradnl"/>
            </w:rPr>
          </w:pPr>
          <w:hyperlink w:anchor="_Toc57989557" w:history="1">
            <w:r w:rsidR="00653582" w:rsidRPr="00EE4752">
              <w:rPr>
                <w:rStyle w:val="Hipervnculo"/>
                <w:rFonts w:ascii="Arial" w:hAnsi="Arial" w:cs="Arial"/>
                <w:noProof/>
                <w:sz w:val="24"/>
                <w:szCs w:val="24"/>
              </w:rPr>
              <w:t>SEGUN</w:t>
            </w:r>
            <w:r w:rsidR="00653582">
              <w:rPr>
                <w:rStyle w:val="Hipervnculo"/>
                <w:rFonts w:ascii="Arial" w:hAnsi="Arial" w:cs="Arial"/>
                <w:noProof/>
                <w:sz w:val="24"/>
                <w:szCs w:val="24"/>
              </w:rPr>
              <w:t>DO.</w:t>
            </w:r>
            <w:r w:rsidR="005C59DD">
              <w:rPr>
                <w:rStyle w:val="Hipervnculo"/>
                <w:rFonts w:ascii="Arial" w:hAnsi="Arial" w:cs="Arial"/>
                <w:noProof/>
                <w:sz w:val="24"/>
                <w:szCs w:val="24"/>
              </w:rPr>
              <w:t>EFECTOS DE LA EJECUTORIA DE AMPARO</w:t>
            </w:r>
            <w:r w:rsidR="00653582" w:rsidRPr="00EE4752">
              <w:rPr>
                <w:rFonts w:ascii="Arial" w:hAnsi="Arial" w:cs="Arial"/>
                <w:noProof/>
                <w:webHidden/>
                <w:sz w:val="24"/>
                <w:szCs w:val="24"/>
                <w:lang w:val="es-ES_tradnl"/>
              </w:rPr>
              <w:tab/>
            </w:r>
            <w:r w:rsidR="00653582">
              <w:rPr>
                <w:rFonts w:ascii="Arial" w:hAnsi="Arial" w:cs="Arial"/>
                <w:noProof/>
                <w:webHidden/>
                <w:sz w:val="24"/>
                <w:szCs w:val="24"/>
                <w:lang w:val="es-ES_tradnl"/>
              </w:rPr>
              <w:t>2</w:t>
            </w:r>
          </w:hyperlink>
        </w:p>
        <w:p w14:paraId="4763B5C7" w14:textId="0BD644F6" w:rsidR="005C59DD" w:rsidRPr="005C59DD" w:rsidRDefault="005C59DD" w:rsidP="005C59DD">
          <w:pPr>
            <w:ind w:left="284"/>
            <w:rPr>
              <w:lang w:val="es-ES_tradnl"/>
            </w:rPr>
          </w:pPr>
          <w:r w:rsidRPr="005C59DD">
            <w:rPr>
              <w:rFonts w:ascii="Arial" w:eastAsiaTheme="minorEastAsia" w:hAnsi="Arial" w:cs="Arial"/>
              <w:bCs/>
              <w:sz w:val="26"/>
              <w:szCs w:val="26"/>
              <w:lang w:val="es-ES" w:eastAsia="es-MX"/>
            </w:rPr>
            <w:t>TERCERO. REQUERIMIENTO DE CUMPLIMIENTO</w:t>
          </w:r>
          <w:r>
            <w:rPr>
              <w:rFonts w:ascii="Arial" w:eastAsiaTheme="minorEastAsia" w:hAnsi="Arial" w:cs="Arial"/>
              <w:bCs/>
              <w:sz w:val="26"/>
              <w:szCs w:val="26"/>
              <w:lang w:val="es-ES" w:eastAsia="es-MX"/>
            </w:rPr>
            <w:t>……………………   4</w:t>
          </w:r>
        </w:p>
        <w:p w14:paraId="191AF253" w14:textId="77777777" w:rsidR="00653582" w:rsidRPr="00EE4752" w:rsidRDefault="00863FC4" w:rsidP="00653582">
          <w:pPr>
            <w:pStyle w:val="TDC2"/>
            <w:tabs>
              <w:tab w:val="left" w:pos="660"/>
              <w:tab w:val="right" w:leader="dot" w:pos="8828"/>
            </w:tabs>
            <w:spacing w:line="276" w:lineRule="auto"/>
            <w:ind w:left="0"/>
            <w:rPr>
              <w:rFonts w:ascii="Arial" w:hAnsi="Arial" w:cs="Arial"/>
              <w:noProof/>
              <w:sz w:val="24"/>
              <w:szCs w:val="24"/>
              <w:lang w:val="es-ES_tradnl" w:eastAsia="es-MX"/>
            </w:rPr>
          </w:pPr>
          <w:hyperlink w:anchor="_Toc57989559" w:history="1">
            <w:r w:rsidR="00653582" w:rsidRPr="00EE4752">
              <w:rPr>
                <w:rStyle w:val="Hipervnculo"/>
                <w:rFonts w:ascii="Arial" w:hAnsi="Arial" w:cs="Arial"/>
                <w:noProof/>
                <w:sz w:val="24"/>
                <w:szCs w:val="24"/>
              </w:rPr>
              <w:t>2.</w:t>
            </w:r>
            <w:r w:rsidR="00653582" w:rsidRPr="00EE4752">
              <w:rPr>
                <w:rFonts w:ascii="Arial" w:hAnsi="Arial" w:cs="Arial"/>
                <w:noProof/>
                <w:sz w:val="24"/>
                <w:szCs w:val="24"/>
                <w:lang w:val="es-ES_tradnl" w:eastAsia="es-MX"/>
              </w:rPr>
              <w:t xml:space="preserve"> CONSIDERANDO</w:t>
            </w:r>
            <w:r w:rsidR="00653582" w:rsidRPr="00EE4752">
              <w:rPr>
                <w:rFonts w:ascii="Arial" w:hAnsi="Arial" w:cs="Arial"/>
                <w:noProof/>
                <w:webHidden/>
                <w:sz w:val="24"/>
                <w:szCs w:val="24"/>
                <w:lang w:val="es-ES_tradnl"/>
              </w:rPr>
              <w:tab/>
            </w:r>
            <w:r w:rsidR="00653582">
              <w:rPr>
                <w:rFonts w:ascii="Arial" w:hAnsi="Arial" w:cs="Arial"/>
                <w:noProof/>
                <w:webHidden/>
                <w:sz w:val="24"/>
                <w:szCs w:val="24"/>
                <w:lang w:val="es-ES_tradnl"/>
              </w:rPr>
              <w:t>3</w:t>
            </w:r>
          </w:hyperlink>
        </w:p>
        <w:p w14:paraId="39CF248F" w14:textId="109EC5BB" w:rsidR="00653582" w:rsidRPr="00EE4752" w:rsidRDefault="00863FC4" w:rsidP="00653582">
          <w:pPr>
            <w:pStyle w:val="TDC2"/>
            <w:tabs>
              <w:tab w:val="left" w:pos="660"/>
              <w:tab w:val="right" w:leader="dot" w:pos="8828"/>
            </w:tabs>
            <w:spacing w:line="276" w:lineRule="auto"/>
            <w:rPr>
              <w:rFonts w:ascii="Arial" w:hAnsi="Arial" w:cs="Arial"/>
              <w:noProof/>
              <w:sz w:val="24"/>
              <w:szCs w:val="24"/>
              <w:lang w:val="es-ES_tradnl" w:eastAsia="es-MX"/>
            </w:rPr>
          </w:pPr>
          <w:hyperlink w:anchor="_Toc57989560" w:history="1">
            <w:r w:rsidR="005C59DD">
              <w:rPr>
                <w:rStyle w:val="Hipervnculo"/>
                <w:rFonts w:ascii="Arial" w:hAnsi="Arial" w:cs="Arial"/>
                <w:noProof/>
                <w:sz w:val="24"/>
                <w:szCs w:val="24"/>
              </w:rPr>
              <w:t>PRIMERO. CUMPLIMI</w:t>
            </w:r>
            <w:r w:rsidR="00B82848">
              <w:rPr>
                <w:rStyle w:val="Hipervnculo"/>
                <w:rFonts w:ascii="Arial" w:hAnsi="Arial" w:cs="Arial"/>
                <w:noProof/>
                <w:sz w:val="24"/>
                <w:szCs w:val="24"/>
              </w:rPr>
              <w:t>ENTO</w:t>
            </w:r>
            <w:r w:rsidR="00653582" w:rsidRPr="00EE4752">
              <w:rPr>
                <w:rFonts w:ascii="Arial" w:hAnsi="Arial" w:cs="Arial"/>
                <w:noProof/>
                <w:webHidden/>
                <w:sz w:val="24"/>
                <w:szCs w:val="24"/>
                <w:lang w:val="es-ES_tradnl"/>
              </w:rPr>
              <w:tab/>
            </w:r>
          </w:hyperlink>
          <w:r w:rsidR="00B82848">
            <w:rPr>
              <w:rFonts w:ascii="Arial" w:hAnsi="Arial" w:cs="Arial"/>
              <w:noProof/>
              <w:sz w:val="24"/>
              <w:szCs w:val="24"/>
              <w:lang w:val="es-ES_tradnl"/>
            </w:rPr>
            <w:t>4</w:t>
          </w:r>
        </w:p>
        <w:p w14:paraId="5ABA4396" w14:textId="77E73E68" w:rsidR="00653582" w:rsidRPr="00EE4752" w:rsidRDefault="00863FC4" w:rsidP="00653582">
          <w:pPr>
            <w:pStyle w:val="TDC2"/>
            <w:tabs>
              <w:tab w:val="left" w:pos="660"/>
              <w:tab w:val="right" w:leader="dot" w:pos="8828"/>
            </w:tabs>
            <w:spacing w:line="276" w:lineRule="auto"/>
            <w:rPr>
              <w:rFonts w:ascii="Arial" w:hAnsi="Arial" w:cs="Arial"/>
              <w:noProof/>
              <w:sz w:val="24"/>
              <w:szCs w:val="24"/>
              <w:lang w:val="es-ES_tradnl" w:eastAsia="es-MX"/>
            </w:rPr>
          </w:pPr>
          <w:hyperlink w:anchor="_Toc57989561" w:history="1">
            <w:r w:rsidR="00653582">
              <w:rPr>
                <w:rStyle w:val="Hipervnculo"/>
                <w:rFonts w:ascii="Arial" w:hAnsi="Arial" w:cs="Arial"/>
                <w:noProof/>
                <w:sz w:val="24"/>
                <w:szCs w:val="24"/>
              </w:rPr>
              <w:t>SEGUNDO.</w:t>
            </w:r>
            <w:r w:rsidR="00B82848">
              <w:rPr>
                <w:rStyle w:val="Hipervnculo"/>
                <w:rFonts w:ascii="Arial" w:hAnsi="Arial" w:cs="Arial"/>
                <w:noProof/>
                <w:sz w:val="24"/>
                <w:szCs w:val="24"/>
              </w:rPr>
              <w:t xml:space="preserve"> COMPETENCIA</w:t>
            </w:r>
            <w:r w:rsidR="00653582" w:rsidRPr="00EE4752">
              <w:rPr>
                <w:rFonts w:ascii="Arial" w:hAnsi="Arial" w:cs="Arial"/>
                <w:noProof/>
                <w:webHidden/>
                <w:sz w:val="24"/>
                <w:szCs w:val="24"/>
                <w:lang w:val="es-ES_tradnl"/>
              </w:rPr>
              <w:tab/>
            </w:r>
          </w:hyperlink>
          <w:r w:rsidR="00B82848">
            <w:rPr>
              <w:rFonts w:ascii="Arial" w:hAnsi="Arial" w:cs="Arial"/>
              <w:noProof/>
              <w:sz w:val="24"/>
              <w:szCs w:val="24"/>
              <w:lang w:val="es-ES_tradnl"/>
            </w:rPr>
            <w:t>5</w:t>
          </w:r>
        </w:p>
        <w:p w14:paraId="36BFAFD4" w14:textId="13F703FB" w:rsidR="00653582" w:rsidRDefault="00863FC4" w:rsidP="00653582">
          <w:pPr>
            <w:pStyle w:val="TDC2"/>
            <w:tabs>
              <w:tab w:val="left" w:pos="660"/>
              <w:tab w:val="right" w:leader="dot" w:pos="8828"/>
            </w:tabs>
            <w:spacing w:line="276" w:lineRule="auto"/>
            <w:rPr>
              <w:rFonts w:ascii="Arial" w:hAnsi="Arial" w:cs="Arial"/>
              <w:sz w:val="26"/>
              <w:szCs w:val="26"/>
            </w:rPr>
          </w:pPr>
          <w:hyperlink w:anchor="_Toc57989562" w:history="1">
            <w:r w:rsidR="00653582">
              <w:rPr>
                <w:rStyle w:val="Hipervnculo"/>
                <w:rFonts w:ascii="Arial" w:hAnsi="Arial" w:cs="Arial"/>
                <w:noProof/>
                <w:sz w:val="24"/>
                <w:szCs w:val="24"/>
              </w:rPr>
              <w:t>TERCERO. ANÁLISIS DE LOS AGRAVIOS</w:t>
            </w:r>
            <w:r w:rsidR="00653582" w:rsidRPr="00EE4752">
              <w:rPr>
                <w:rFonts w:ascii="Arial" w:hAnsi="Arial" w:cs="Arial"/>
                <w:noProof/>
                <w:webHidden/>
                <w:sz w:val="24"/>
                <w:szCs w:val="24"/>
                <w:lang w:val="es-ES_tradnl"/>
              </w:rPr>
              <w:tab/>
            </w:r>
          </w:hyperlink>
          <w:r w:rsidR="00B82848">
            <w:rPr>
              <w:rFonts w:ascii="Arial" w:hAnsi="Arial" w:cs="Arial"/>
              <w:sz w:val="26"/>
              <w:szCs w:val="26"/>
            </w:rPr>
            <w:t>6</w:t>
          </w:r>
        </w:p>
        <w:p w14:paraId="474A99B1" w14:textId="151AD814" w:rsidR="00B82848" w:rsidRPr="00B82848" w:rsidRDefault="00B82848" w:rsidP="00B82848">
          <w:pPr>
            <w:ind w:left="284"/>
            <w:rPr>
              <w:rFonts w:ascii="Arial" w:hAnsi="Arial" w:cs="Arial"/>
              <w:sz w:val="24"/>
              <w:szCs w:val="24"/>
            </w:rPr>
          </w:pPr>
          <w:r>
            <w:rPr>
              <w:rFonts w:ascii="Arial" w:hAnsi="Arial" w:cs="Arial"/>
              <w:sz w:val="24"/>
              <w:szCs w:val="24"/>
            </w:rPr>
            <w:t>ESTUDIO DEL ASUNTO ……………………………………………………………. 7</w:t>
          </w:r>
        </w:p>
        <w:p w14:paraId="38058214" w14:textId="5A9D0333" w:rsidR="00653582" w:rsidRDefault="00653582" w:rsidP="00653582">
          <w:pPr>
            <w:spacing w:line="360" w:lineRule="auto"/>
            <w:jc w:val="both"/>
            <w:rPr>
              <w:rFonts w:ascii="Arial" w:eastAsiaTheme="minorEastAsia" w:hAnsi="Arial" w:cs="Arial"/>
              <w:sz w:val="26"/>
              <w:szCs w:val="26"/>
              <w:lang w:eastAsia="es-MX"/>
            </w:rPr>
          </w:pPr>
          <w:r w:rsidRPr="00EE4752">
            <w:rPr>
              <w:rFonts w:ascii="Arial" w:hAnsi="Arial" w:cs="Arial"/>
              <w:bCs/>
              <w:sz w:val="24"/>
              <w:szCs w:val="24"/>
              <w:lang w:val="es-ES_tradnl"/>
            </w:rPr>
            <w:fldChar w:fldCharType="end"/>
          </w:r>
          <w:r w:rsidRPr="00EE4752">
            <w:rPr>
              <w:rFonts w:ascii="Arial" w:hAnsi="Arial" w:cs="Arial"/>
              <w:sz w:val="24"/>
              <w:szCs w:val="24"/>
            </w:rPr>
            <w:t>3. RESUELVE</w:t>
          </w:r>
          <w:hyperlink w:anchor="_Toc57989557" w:history="1">
            <w:r w:rsidRPr="00EE4752">
              <w:rPr>
                <w:rFonts w:ascii="Arial" w:hAnsi="Arial" w:cs="Arial"/>
                <w:noProof/>
                <w:webHidden/>
                <w:sz w:val="24"/>
                <w:szCs w:val="24"/>
                <w:lang w:val="es-ES_tradnl"/>
              </w:rPr>
              <w:tab/>
            </w:r>
            <w:r>
              <w:rPr>
                <w:rFonts w:ascii="Arial" w:hAnsi="Arial" w:cs="Arial"/>
                <w:noProof/>
                <w:webHidden/>
                <w:sz w:val="24"/>
                <w:szCs w:val="24"/>
                <w:lang w:val="es-ES_tradnl"/>
              </w:rPr>
              <w:t>1</w:t>
            </w:r>
          </w:hyperlink>
          <w:r w:rsidR="00B82848">
            <w:rPr>
              <w:rFonts w:ascii="Arial" w:hAnsi="Arial" w:cs="Arial"/>
              <w:noProof/>
              <w:sz w:val="24"/>
              <w:szCs w:val="24"/>
              <w:lang w:val="es-ES_tradnl"/>
            </w:rPr>
            <w:t>1</w:t>
          </w:r>
        </w:p>
      </w:sdtContent>
    </w:sdt>
    <w:p w14:paraId="1A85BF39" w14:textId="77777777" w:rsidR="00653582" w:rsidRDefault="00653582" w:rsidP="00702C90">
      <w:pPr>
        <w:spacing w:line="360" w:lineRule="auto"/>
        <w:jc w:val="both"/>
        <w:rPr>
          <w:rFonts w:ascii="Arial" w:eastAsiaTheme="minorEastAsia" w:hAnsi="Arial" w:cs="Arial"/>
          <w:sz w:val="26"/>
          <w:szCs w:val="26"/>
          <w:lang w:eastAsia="es-MX"/>
        </w:rPr>
      </w:pPr>
    </w:p>
    <w:p w14:paraId="0AC13B14" w14:textId="77777777" w:rsidR="00653582" w:rsidRPr="00EE4752" w:rsidRDefault="00653582" w:rsidP="00653582">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653582" w:rsidRPr="00EE4752" w14:paraId="16C33AF9" w14:textId="77777777" w:rsidTr="00EB15E7">
        <w:tc>
          <w:tcPr>
            <w:tcW w:w="3256" w:type="dxa"/>
          </w:tcPr>
          <w:p w14:paraId="32041993" w14:textId="77777777" w:rsidR="00653582" w:rsidRPr="00EE4752" w:rsidRDefault="00653582" w:rsidP="00EB15E7">
            <w:pPr>
              <w:tabs>
                <w:tab w:val="center" w:pos="4418"/>
                <w:tab w:val="left" w:pos="6330"/>
              </w:tabs>
              <w:jc w:val="center"/>
              <w:rPr>
                <w:rFonts w:ascii="Arial" w:hAnsi="Arial" w:cs="Arial"/>
                <w:b/>
                <w:i/>
                <w:sz w:val="24"/>
                <w:szCs w:val="24"/>
              </w:rPr>
            </w:pPr>
            <w:r>
              <w:rPr>
                <w:rFonts w:ascii="Arial" w:hAnsi="Arial" w:cs="Arial"/>
                <w:b/>
                <w:i/>
                <w:sz w:val="24"/>
                <w:szCs w:val="24"/>
              </w:rPr>
              <w:lastRenderedPageBreak/>
              <w:t>Constitución Federal</w:t>
            </w:r>
          </w:p>
        </w:tc>
        <w:tc>
          <w:tcPr>
            <w:tcW w:w="5571" w:type="dxa"/>
          </w:tcPr>
          <w:p w14:paraId="6255F5CA" w14:textId="77777777" w:rsidR="00653582" w:rsidRPr="00EE4752" w:rsidRDefault="00653582" w:rsidP="00EB15E7">
            <w:pPr>
              <w:tabs>
                <w:tab w:val="center" w:pos="4418"/>
                <w:tab w:val="left" w:pos="6330"/>
              </w:tabs>
              <w:jc w:val="center"/>
              <w:rPr>
                <w:rFonts w:ascii="Arial" w:hAnsi="Arial" w:cs="Arial"/>
                <w:sz w:val="24"/>
                <w:szCs w:val="24"/>
              </w:rPr>
            </w:pPr>
            <w:r>
              <w:rPr>
                <w:rFonts w:ascii="Arial" w:hAnsi="Arial" w:cs="Arial"/>
                <w:sz w:val="24"/>
                <w:szCs w:val="24"/>
              </w:rPr>
              <w:t>Constitución Política de los Estados Unidos Mexicanos.</w:t>
            </w:r>
          </w:p>
        </w:tc>
      </w:tr>
      <w:tr w:rsidR="00653582" w:rsidRPr="00EE4752" w14:paraId="0D903D1B" w14:textId="77777777" w:rsidTr="00EB15E7">
        <w:tc>
          <w:tcPr>
            <w:tcW w:w="3256" w:type="dxa"/>
          </w:tcPr>
          <w:p w14:paraId="5ABA2E35" w14:textId="77777777" w:rsidR="00653582" w:rsidRPr="00EE4752" w:rsidRDefault="00653582" w:rsidP="00EB15E7">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338B9998" w14:textId="77777777" w:rsidR="00653582" w:rsidRPr="00EE4752" w:rsidRDefault="00653582" w:rsidP="00EB15E7">
            <w:pPr>
              <w:tabs>
                <w:tab w:val="center" w:pos="4418"/>
                <w:tab w:val="left" w:pos="6330"/>
              </w:tabs>
              <w:jc w:val="center"/>
              <w:rPr>
                <w:rFonts w:ascii="Arial" w:hAnsi="Arial" w:cs="Arial"/>
                <w:sz w:val="24"/>
                <w:szCs w:val="24"/>
              </w:rPr>
            </w:pPr>
            <w:r w:rsidRPr="00EE4752">
              <w:rPr>
                <w:rFonts w:ascii="Arial" w:hAnsi="Arial" w:cs="Arial"/>
                <w:sz w:val="24"/>
                <w:szCs w:val="24"/>
              </w:rPr>
              <w:t>Constitución Política del Estado Libre y Soberano de Oaxaca.</w:t>
            </w:r>
          </w:p>
        </w:tc>
      </w:tr>
      <w:tr w:rsidR="00653582" w:rsidRPr="00EE4752" w14:paraId="3C9C7507" w14:textId="77777777" w:rsidTr="00EB15E7">
        <w:tc>
          <w:tcPr>
            <w:tcW w:w="3256" w:type="dxa"/>
          </w:tcPr>
          <w:p w14:paraId="7184E2F6" w14:textId="77777777" w:rsidR="00653582" w:rsidRPr="00EE4752" w:rsidRDefault="00653582" w:rsidP="00EB15E7">
            <w:pPr>
              <w:tabs>
                <w:tab w:val="center" w:pos="4418"/>
                <w:tab w:val="left" w:pos="6330"/>
              </w:tabs>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1203F360" w14:textId="77777777" w:rsidR="00653582" w:rsidRPr="00451BAD" w:rsidRDefault="00653582" w:rsidP="00EB15E7">
            <w:pPr>
              <w:tabs>
                <w:tab w:val="center" w:pos="4418"/>
                <w:tab w:val="left" w:pos="6330"/>
              </w:tabs>
              <w:jc w:val="center"/>
              <w:rPr>
                <w:rFonts w:ascii="Arial" w:hAnsi="Arial" w:cs="Arial"/>
                <w:sz w:val="24"/>
                <w:szCs w:val="24"/>
              </w:rPr>
            </w:pPr>
            <w:r w:rsidRPr="00451BAD">
              <w:rPr>
                <w:rFonts w:ascii="Arial" w:hAnsi="Arial" w:cs="Arial"/>
                <w:sz w:val="24"/>
                <w:szCs w:val="24"/>
              </w:rPr>
              <w:t>Ley de Procedimiento y Justicia Administrativa para el Estado de Oaxaca.</w:t>
            </w:r>
          </w:p>
        </w:tc>
      </w:tr>
      <w:tr w:rsidR="00653582" w:rsidRPr="00EE4752" w14:paraId="698A5E6E" w14:textId="77777777" w:rsidTr="00EB15E7">
        <w:tc>
          <w:tcPr>
            <w:tcW w:w="3256" w:type="dxa"/>
          </w:tcPr>
          <w:p w14:paraId="59426E80" w14:textId="77777777" w:rsidR="00653582" w:rsidRPr="00EE4752" w:rsidRDefault="00653582" w:rsidP="00EB15E7">
            <w:pPr>
              <w:tabs>
                <w:tab w:val="center" w:pos="4418"/>
                <w:tab w:val="left" w:pos="6330"/>
              </w:tabs>
              <w:jc w:val="center"/>
              <w:rPr>
                <w:rFonts w:ascii="Arial" w:hAnsi="Arial" w:cs="Arial"/>
                <w:b/>
                <w:i/>
                <w:sz w:val="24"/>
                <w:szCs w:val="24"/>
              </w:rPr>
            </w:pPr>
            <w:r>
              <w:rPr>
                <w:rFonts w:ascii="Arial" w:hAnsi="Arial" w:cs="Arial"/>
                <w:b/>
                <w:i/>
                <w:sz w:val="24"/>
                <w:szCs w:val="24"/>
              </w:rPr>
              <w:t>Ley Orgánica:</w:t>
            </w:r>
          </w:p>
        </w:tc>
        <w:tc>
          <w:tcPr>
            <w:tcW w:w="5571" w:type="dxa"/>
          </w:tcPr>
          <w:p w14:paraId="6495FFFC" w14:textId="77777777" w:rsidR="00653582" w:rsidRPr="00451BAD" w:rsidRDefault="00653582" w:rsidP="00EB15E7">
            <w:pPr>
              <w:tabs>
                <w:tab w:val="center" w:pos="4418"/>
                <w:tab w:val="left" w:pos="6330"/>
              </w:tabs>
              <w:jc w:val="center"/>
              <w:rPr>
                <w:rFonts w:ascii="Arial" w:hAnsi="Arial" w:cs="Arial"/>
                <w:sz w:val="24"/>
                <w:szCs w:val="24"/>
              </w:rPr>
            </w:pPr>
            <w:r w:rsidRPr="00451BAD">
              <w:rPr>
                <w:rFonts w:ascii="Arial" w:hAnsi="Arial" w:cs="Arial"/>
                <w:sz w:val="24"/>
                <w:szCs w:val="24"/>
              </w:rPr>
              <w:t>Ley Orgánica del Tribunal de Justicia Administrativa</w:t>
            </w:r>
            <w:r>
              <w:rPr>
                <w:rFonts w:ascii="Arial" w:hAnsi="Arial" w:cs="Arial"/>
                <w:sz w:val="24"/>
                <w:szCs w:val="24"/>
              </w:rPr>
              <w:t xml:space="preserve"> del Estado de Oaxaca</w:t>
            </w:r>
          </w:p>
        </w:tc>
      </w:tr>
    </w:tbl>
    <w:p w14:paraId="64FA1BEE" w14:textId="77777777" w:rsidR="00653582" w:rsidRPr="002001B2" w:rsidRDefault="00653582" w:rsidP="00702C90">
      <w:pPr>
        <w:spacing w:line="360" w:lineRule="auto"/>
        <w:jc w:val="both"/>
        <w:rPr>
          <w:rFonts w:ascii="Arial" w:eastAsiaTheme="minorEastAsia" w:hAnsi="Arial" w:cs="Arial"/>
          <w:sz w:val="26"/>
          <w:szCs w:val="26"/>
          <w:lang w:eastAsia="es-MX"/>
        </w:rPr>
      </w:pPr>
    </w:p>
    <w:p w14:paraId="01DA53EE" w14:textId="77777777" w:rsidR="002001B2" w:rsidRDefault="002001B2" w:rsidP="002001B2">
      <w:pPr>
        <w:spacing w:before="240" w:line="360" w:lineRule="auto"/>
        <w:jc w:val="center"/>
        <w:rPr>
          <w:rFonts w:ascii="Arial" w:eastAsiaTheme="minorEastAsia" w:hAnsi="Arial" w:cs="Arial"/>
          <w:b/>
          <w:bCs/>
          <w:sz w:val="26"/>
          <w:szCs w:val="26"/>
          <w:lang w:eastAsia="es-MX"/>
        </w:rPr>
      </w:pPr>
      <w:r w:rsidRPr="002001B2">
        <w:rPr>
          <w:rFonts w:ascii="Arial" w:eastAsiaTheme="minorEastAsia" w:hAnsi="Arial" w:cs="Arial"/>
          <w:b/>
          <w:bCs/>
          <w:sz w:val="26"/>
          <w:szCs w:val="26"/>
          <w:lang w:eastAsia="es-MX"/>
        </w:rPr>
        <w:t>R E S U L T A N D O</w:t>
      </w:r>
    </w:p>
    <w:p w14:paraId="2FD28C0E" w14:textId="620862F1" w:rsidR="002001B2" w:rsidRPr="002001B2" w:rsidRDefault="00B75A41" w:rsidP="002001B2">
      <w:pPr>
        <w:spacing w:before="240" w:line="360" w:lineRule="auto"/>
        <w:ind w:firstLine="709"/>
        <w:jc w:val="both"/>
        <w:rPr>
          <w:rFonts w:ascii="Arial" w:eastAsiaTheme="minorEastAsia" w:hAnsi="Arial" w:cs="Arial"/>
          <w:sz w:val="26"/>
          <w:szCs w:val="26"/>
          <w:lang w:eastAsia="es-MX"/>
        </w:rPr>
      </w:pPr>
      <w:r>
        <w:rPr>
          <w:rFonts w:ascii="Arial" w:eastAsiaTheme="minorEastAsia" w:hAnsi="Arial" w:cs="Arial"/>
          <w:b/>
          <w:bCs/>
          <w:sz w:val="26"/>
          <w:szCs w:val="26"/>
          <w:lang w:eastAsia="es-MX"/>
        </w:rPr>
        <w:t xml:space="preserve">2.- </w:t>
      </w:r>
      <w:r w:rsidR="002001B2" w:rsidRPr="002001B2">
        <w:rPr>
          <w:rFonts w:ascii="Arial" w:eastAsiaTheme="minorEastAsia" w:hAnsi="Arial" w:cs="Arial"/>
          <w:b/>
          <w:bCs/>
          <w:sz w:val="26"/>
          <w:szCs w:val="26"/>
          <w:lang w:eastAsia="es-MX"/>
        </w:rPr>
        <w:t xml:space="preserve">PRIMERO. </w:t>
      </w:r>
      <w:r w:rsidR="005C59DD">
        <w:rPr>
          <w:rFonts w:ascii="Arial" w:eastAsiaTheme="minorEastAsia" w:hAnsi="Arial" w:cs="Arial"/>
          <w:b/>
          <w:bCs/>
          <w:sz w:val="26"/>
          <w:szCs w:val="26"/>
          <w:lang w:eastAsia="es-MX"/>
        </w:rPr>
        <w:t xml:space="preserve"> ACTO RECLAMADO. </w:t>
      </w:r>
      <w:r w:rsidR="002001B2" w:rsidRPr="002001B2">
        <w:rPr>
          <w:rFonts w:ascii="Arial" w:eastAsiaTheme="minorEastAsia" w:hAnsi="Arial" w:cs="Arial"/>
          <w:sz w:val="26"/>
          <w:szCs w:val="26"/>
          <w:lang w:eastAsia="es-MX"/>
        </w:rPr>
        <w:t>La Sala Superior de este Tribunal, el veintisiete de abril de dos mil veintidós, dictó resolución, en cuyos puntos resolutivos determinó</w:t>
      </w:r>
      <w:r w:rsidR="004F2E8D">
        <w:rPr>
          <w:rFonts w:ascii="Arial" w:eastAsiaTheme="minorEastAsia" w:hAnsi="Arial" w:cs="Arial"/>
          <w:sz w:val="26"/>
          <w:szCs w:val="26"/>
          <w:lang w:eastAsia="es-MX"/>
        </w:rPr>
        <w:t>:</w:t>
      </w:r>
    </w:p>
    <w:p w14:paraId="19757FEE" w14:textId="211644C4" w:rsidR="002001B2" w:rsidRPr="002001B2" w:rsidRDefault="004F2E8D" w:rsidP="004F2E8D">
      <w:pPr>
        <w:spacing w:before="100" w:beforeAutospacing="1" w:after="0" w:line="360" w:lineRule="auto"/>
        <w:ind w:left="567" w:right="757"/>
        <w:jc w:val="both"/>
        <w:rPr>
          <w:rFonts w:ascii="Arial" w:eastAsiaTheme="minorEastAsia" w:hAnsi="Arial" w:cs="Arial"/>
          <w:i/>
          <w:color w:val="000000"/>
          <w:lang w:val="es-ES" w:eastAsia="es-MX"/>
        </w:rPr>
      </w:pPr>
      <w:r w:rsidRPr="004F2E8D">
        <w:rPr>
          <w:rFonts w:ascii="Arial" w:eastAsiaTheme="minorEastAsia" w:hAnsi="Arial" w:cs="Arial"/>
          <w:i/>
          <w:lang w:eastAsia="es-MX"/>
        </w:rPr>
        <w:t>“</w:t>
      </w:r>
      <w:r w:rsidR="002001B2" w:rsidRPr="002001B2">
        <w:rPr>
          <w:rFonts w:ascii="Arial" w:eastAsiaTheme="minorEastAsia" w:hAnsi="Arial" w:cs="Arial"/>
          <w:b/>
          <w:i/>
          <w:color w:val="000000"/>
          <w:lang w:val="es-ES" w:eastAsia="es-MX"/>
        </w:rPr>
        <w:t>PRIMERO</w:t>
      </w:r>
      <w:r w:rsidR="002001B2" w:rsidRPr="002001B2">
        <w:rPr>
          <w:rFonts w:ascii="Arial" w:eastAsiaTheme="minorEastAsia" w:hAnsi="Arial" w:cs="Arial"/>
          <w:i/>
          <w:color w:val="000000"/>
          <w:lang w:val="es-ES" w:eastAsia="es-MX"/>
        </w:rPr>
        <w:t xml:space="preserve">. Se </w:t>
      </w:r>
      <w:r w:rsidR="002001B2" w:rsidRPr="002001B2">
        <w:rPr>
          <w:rFonts w:ascii="Arial" w:eastAsiaTheme="minorEastAsia" w:hAnsi="Arial" w:cs="Arial"/>
          <w:b/>
          <w:bCs/>
          <w:i/>
          <w:color w:val="000000"/>
          <w:lang w:val="es-ES" w:eastAsia="es-MX"/>
        </w:rPr>
        <w:t xml:space="preserve">CONFIRMA </w:t>
      </w:r>
      <w:r w:rsidR="002001B2" w:rsidRPr="002001B2">
        <w:rPr>
          <w:rFonts w:ascii="Arial" w:eastAsiaTheme="minorEastAsia" w:hAnsi="Arial" w:cs="Arial"/>
          <w:i/>
          <w:color w:val="000000"/>
          <w:lang w:val="es-ES" w:eastAsia="es-MX"/>
        </w:rPr>
        <w:t xml:space="preserve">el acuerdo de </w:t>
      </w:r>
      <w:r>
        <w:rPr>
          <w:rFonts w:ascii="Arial" w:eastAsiaTheme="minorEastAsia" w:hAnsi="Arial" w:cs="Arial"/>
          <w:i/>
          <w:color w:val="000000"/>
          <w:lang w:val="es-ES" w:eastAsia="es-MX"/>
        </w:rPr>
        <w:t xml:space="preserve">nueve de marzo </w:t>
      </w:r>
      <w:r w:rsidR="002001B2" w:rsidRPr="002001B2">
        <w:rPr>
          <w:rFonts w:ascii="Arial" w:eastAsiaTheme="minorEastAsia" w:hAnsi="Arial" w:cs="Arial"/>
          <w:i/>
          <w:color w:val="000000"/>
          <w:lang w:val="es-ES" w:eastAsia="es-MX"/>
        </w:rPr>
        <w:t>de dos mil veintiuno</w:t>
      </w:r>
      <w:r>
        <w:rPr>
          <w:rFonts w:ascii="Arial" w:eastAsiaTheme="minorEastAsia" w:hAnsi="Arial" w:cs="Arial"/>
          <w:i/>
          <w:color w:val="000000"/>
          <w:lang w:val="es-ES" w:eastAsia="es-MX"/>
        </w:rPr>
        <w:t xml:space="preserve"> recurrido</w:t>
      </w:r>
      <w:r w:rsidR="002001B2" w:rsidRPr="002001B2">
        <w:rPr>
          <w:rFonts w:ascii="Arial" w:eastAsiaTheme="minorEastAsia" w:hAnsi="Arial" w:cs="Arial"/>
          <w:i/>
          <w:color w:val="000000"/>
          <w:lang w:val="es-ES" w:eastAsia="es-MX"/>
        </w:rPr>
        <w:t xml:space="preserve">, por las razones expuestas en el considerando que antecede. </w:t>
      </w:r>
    </w:p>
    <w:p w14:paraId="28D04F20" w14:textId="33A74FD2" w:rsidR="002001B2" w:rsidRPr="004F2E8D" w:rsidRDefault="002001B2" w:rsidP="004F2E8D">
      <w:pPr>
        <w:spacing w:before="240" w:after="0" w:line="360" w:lineRule="auto"/>
        <w:ind w:left="567" w:right="758"/>
        <w:jc w:val="both"/>
        <w:rPr>
          <w:rFonts w:ascii="Arial" w:eastAsiaTheme="minorEastAsia" w:hAnsi="Arial" w:cs="Arial"/>
          <w:i/>
          <w:color w:val="000000"/>
          <w:lang w:val="es-ES" w:eastAsia="es-MX"/>
        </w:rPr>
      </w:pPr>
      <w:r w:rsidRPr="002001B2">
        <w:rPr>
          <w:rFonts w:ascii="Arial" w:eastAsiaTheme="minorEastAsia" w:hAnsi="Arial" w:cs="Arial"/>
          <w:b/>
          <w:bCs/>
          <w:i/>
          <w:color w:val="000000"/>
          <w:lang w:val="es-ES" w:eastAsia="es-MX"/>
        </w:rPr>
        <w:t>SEGUNDO. NOTIFÍQUESE Y CÚMPLASE</w:t>
      </w:r>
      <w:r w:rsidRPr="002001B2">
        <w:rPr>
          <w:rFonts w:ascii="Arial" w:eastAsiaTheme="minorEastAsia" w:hAnsi="Arial" w:cs="Arial"/>
          <w:i/>
          <w:color w:val="000000"/>
          <w:lang w:val="es-ES" w:eastAsia="es-MX"/>
        </w:rPr>
        <w:t xml:space="preserve">; </w:t>
      </w:r>
      <w:r w:rsidR="004F2E8D">
        <w:rPr>
          <w:rFonts w:ascii="Arial" w:eastAsiaTheme="minorEastAsia" w:hAnsi="Arial" w:cs="Arial"/>
          <w:i/>
          <w:color w:val="000000"/>
          <w:lang w:val="es-ES" w:eastAsia="es-MX"/>
        </w:rPr>
        <w:t xml:space="preserve">remítase </w:t>
      </w:r>
      <w:r w:rsidRPr="002001B2">
        <w:rPr>
          <w:rFonts w:ascii="Arial" w:eastAsiaTheme="minorEastAsia" w:hAnsi="Arial" w:cs="Arial"/>
          <w:i/>
          <w:color w:val="000000"/>
          <w:lang w:val="es-ES" w:eastAsia="es-MX"/>
        </w:rPr>
        <w:t>copia certifi</w:t>
      </w:r>
      <w:r w:rsidR="004F2E8D">
        <w:rPr>
          <w:rFonts w:ascii="Arial" w:eastAsiaTheme="minorEastAsia" w:hAnsi="Arial" w:cs="Arial"/>
          <w:i/>
          <w:color w:val="000000"/>
          <w:lang w:val="es-ES" w:eastAsia="es-MX"/>
        </w:rPr>
        <w:t xml:space="preserve">cada de la presente resolución </w:t>
      </w:r>
      <w:r w:rsidRPr="002001B2">
        <w:rPr>
          <w:rFonts w:ascii="Arial" w:eastAsiaTheme="minorEastAsia" w:hAnsi="Arial" w:cs="Arial"/>
          <w:i/>
          <w:color w:val="000000"/>
          <w:lang w:val="es-ES" w:eastAsia="es-MX"/>
        </w:rPr>
        <w:t>a la Segunda Sala Unitaria</w:t>
      </w:r>
      <w:r w:rsidR="004F2E8D">
        <w:rPr>
          <w:rFonts w:ascii="Arial" w:eastAsiaTheme="minorEastAsia" w:hAnsi="Arial" w:cs="Arial"/>
          <w:i/>
          <w:color w:val="000000"/>
          <w:lang w:val="es-ES" w:eastAsia="es-MX"/>
        </w:rPr>
        <w:t xml:space="preserve"> de Primera Instancia</w:t>
      </w:r>
      <w:r w:rsidRPr="002001B2">
        <w:rPr>
          <w:rFonts w:ascii="Arial" w:eastAsiaTheme="minorEastAsia" w:hAnsi="Arial" w:cs="Arial"/>
          <w:i/>
          <w:color w:val="000000"/>
          <w:lang w:val="es-ES" w:eastAsia="es-MX"/>
        </w:rPr>
        <w:t xml:space="preserve"> de este Tribunal, y en su oportunidad archívese el cuaderno de revisión como asunto concluido</w:t>
      </w:r>
      <w:r w:rsidR="004F2E8D" w:rsidRPr="004F2E8D">
        <w:rPr>
          <w:rFonts w:ascii="Arial" w:eastAsiaTheme="minorEastAsia" w:hAnsi="Arial" w:cs="Arial"/>
          <w:i/>
          <w:color w:val="000000"/>
          <w:lang w:val="es-ES" w:eastAsia="es-MX"/>
        </w:rPr>
        <w:t>.”</w:t>
      </w:r>
    </w:p>
    <w:p w14:paraId="08AD765F" w14:textId="77777777" w:rsidR="004F2E8D" w:rsidRPr="002001B2" w:rsidRDefault="004F2E8D" w:rsidP="004F2E8D">
      <w:pPr>
        <w:spacing w:before="240" w:after="0" w:line="360" w:lineRule="auto"/>
        <w:ind w:left="567" w:right="758"/>
        <w:jc w:val="both"/>
        <w:rPr>
          <w:rFonts w:ascii="Arial" w:eastAsiaTheme="minorEastAsia" w:hAnsi="Arial" w:cs="Arial"/>
          <w:i/>
          <w:lang w:eastAsia="es-MX"/>
        </w:rPr>
      </w:pPr>
    </w:p>
    <w:p w14:paraId="5A78498D" w14:textId="16047259" w:rsidR="002001B2" w:rsidRPr="002001B2" w:rsidRDefault="00B75A41" w:rsidP="002001B2">
      <w:pPr>
        <w:spacing w:line="360" w:lineRule="auto"/>
        <w:ind w:firstLine="709"/>
        <w:jc w:val="both"/>
        <w:rPr>
          <w:rFonts w:ascii="Arial" w:eastAsiaTheme="minorEastAsia" w:hAnsi="Arial" w:cs="Arial"/>
          <w:bCs/>
          <w:sz w:val="26"/>
          <w:szCs w:val="26"/>
          <w:lang w:eastAsia="es-MX"/>
        </w:rPr>
      </w:pPr>
      <w:r>
        <w:rPr>
          <w:rFonts w:ascii="Arial" w:eastAsiaTheme="minorEastAsia" w:hAnsi="Arial" w:cs="Arial"/>
          <w:b/>
          <w:bCs/>
          <w:sz w:val="26"/>
          <w:szCs w:val="26"/>
          <w:lang w:eastAsia="es-MX"/>
        </w:rPr>
        <w:t xml:space="preserve">3.- </w:t>
      </w:r>
      <w:r w:rsidR="002001B2" w:rsidRPr="002001B2">
        <w:rPr>
          <w:rFonts w:ascii="Arial" w:eastAsiaTheme="minorEastAsia" w:hAnsi="Arial" w:cs="Arial"/>
          <w:b/>
          <w:bCs/>
          <w:sz w:val="26"/>
          <w:szCs w:val="26"/>
          <w:lang w:eastAsia="es-MX"/>
        </w:rPr>
        <w:t xml:space="preserve">SEGUNDO. </w:t>
      </w:r>
      <w:r w:rsidR="005C59DD">
        <w:rPr>
          <w:rFonts w:ascii="Arial" w:eastAsiaTheme="minorEastAsia" w:hAnsi="Arial" w:cs="Arial"/>
          <w:b/>
          <w:bCs/>
          <w:sz w:val="26"/>
          <w:szCs w:val="26"/>
          <w:lang w:eastAsia="es-MX"/>
        </w:rPr>
        <w:t xml:space="preserve">EFECTOS DE LA EJECUTORIA DE AMPARO. </w:t>
      </w:r>
      <w:r w:rsidR="002001B2" w:rsidRPr="002001B2">
        <w:rPr>
          <w:rFonts w:ascii="Arial" w:eastAsiaTheme="minorEastAsia" w:hAnsi="Arial" w:cs="Arial"/>
          <w:bCs/>
          <w:sz w:val="26"/>
          <w:szCs w:val="26"/>
          <w:lang w:eastAsia="es-MX"/>
        </w:rPr>
        <w:t>En contra de</w:t>
      </w:r>
      <w:r w:rsidR="00960CA2">
        <w:rPr>
          <w:rFonts w:ascii="Arial" w:eastAsiaTheme="minorEastAsia" w:hAnsi="Arial" w:cs="Arial"/>
          <w:bCs/>
          <w:sz w:val="26"/>
          <w:szCs w:val="26"/>
          <w:lang w:eastAsia="es-MX"/>
        </w:rPr>
        <w:t xml:space="preserve"> la resolución de veintisiete de abril de dos mil veintidós, el demandante </w:t>
      </w:r>
      <w:r w:rsidR="004428CF">
        <w:rPr>
          <w:rFonts w:ascii="Arial" w:eastAsiaTheme="minorEastAsia" w:hAnsi="Arial" w:cs="Arial"/>
          <w:b/>
          <w:sz w:val="26"/>
          <w:szCs w:val="26"/>
          <w:lang w:eastAsia="es-MX"/>
        </w:rPr>
        <w:t>**********</w:t>
      </w:r>
      <w:r w:rsidR="004428CF">
        <w:rPr>
          <w:rFonts w:ascii="Arial" w:eastAsiaTheme="minorEastAsia" w:hAnsi="Arial" w:cs="Arial"/>
          <w:b/>
          <w:sz w:val="26"/>
          <w:szCs w:val="26"/>
          <w:lang w:eastAsia="es-MX"/>
        </w:rPr>
        <w:t xml:space="preserve"> </w:t>
      </w:r>
      <w:r w:rsidR="002001B2" w:rsidRPr="002001B2">
        <w:rPr>
          <w:rFonts w:ascii="Arial" w:eastAsiaTheme="minorEastAsia" w:hAnsi="Arial" w:cs="Arial"/>
          <w:bCs/>
          <w:sz w:val="26"/>
          <w:szCs w:val="26"/>
          <w:lang w:eastAsia="es-MX"/>
        </w:rPr>
        <w:t xml:space="preserve">promovió </w:t>
      </w:r>
      <w:r w:rsidR="00960CA2">
        <w:rPr>
          <w:rFonts w:ascii="Arial" w:eastAsiaTheme="minorEastAsia" w:hAnsi="Arial" w:cs="Arial"/>
          <w:bCs/>
          <w:sz w:val="26"/>
          <w:szCs w:val="26"/>
          <w:lang w:eastAsia="es-MX"/>
        </w:rPr>
        <w:t>juicio de garantías</w:t>
      </w:r>
      <w:r w:rsidR="002001B2" w:rsidRPr="002001B2">
        <w:rPr>
          <w:rFonts w:ascii="Arial" w:eastAsiaTheme="minorEastAsia" w:hAnsi="Arial" w:cs="Arial"/>
          <w:bCs/>
          <w:sz w:val="26"/>
          <w:szCs w:val="26"/>
          <w:lang w:eastAsia="es-MX"/>
        </w:rPr>
        <w:t xml:space="preserve">, en el que </w:t>
      </w:r>
      <w:r w:rsidR="002001B2" w:rsidRPr="002001B2">
        <w:rPr>
          <w:rFonts w:ascii="Arial" w:eastAsiaTheme="minorEastAsia" w:hAnsi="Arial" w:cs="Arial"/>
          <w:sz w:val="26"/>
          <w:szCs w:val="26"/>
          <w:lang w:eastAsia="es-MX"/>
        </w:rPr>
        <w:t xml:space="preserve">el </w:t>
      </w:r>
      <w:r w:rsidR="00960CA2">
        <w:rPr>
          <w:rFonts w:ascii="Arial" w:eastAsiaTheme="minorEastAsia" w:hAnsi="Arial" w:cs="Arial"/>
          <w:sz w:val="26"/>
          <w:szCs w:val="26"/>
          <w:lang w:eastAsia="es-MX"/>
        </w:rPr>
        <w:t>Primer</w:t>
      </w:r>
      <w:r w:rsidR="002001B2" w:rsidRPr="002001B2">
        <w:rPr>
          <w:rFonts w:ascii="Arial" w:eastAsiaTheme="minorEastAsia" w:hAnsi="Arial" w:cs="Arial"/>
          <w:sz w:val="26"/>
          <w:szCs w:val="26"/>
          <w:lang w:eastAsia="es-MX"/>
        </w:rPr>
        <w:t xml:space="preserve"> Tribunal Colegiado en Materia</w:t>
      </w:r>
      <w:r w:rsidR="00960CA2">
        <w:rPr>
          <w:rFonts w:ascii="Arial" w:eastAsiaTheme="minorEastAsia" w:hAnsi="Arial" w:cs="Arial"/>
          <w:sz w:val="26"/>
          <w:szCs w:val="26"/>
          <w:lang w:eastAsia="es-MX"/>
        </w:rPr>
        <w:t>s</w:t>
      </w:r>
      <w:r w:rsidR="002001B2" w:rsidRPr="002001B2">
        <w:rPr>
          <w:rFonts w:ascii="Arial" w:eastAsiaTheme="minorEastAsia" w:hAnsi="Arial" w:cs="Arial"/>
          <w:sz w:val="26"/>
          <w:szCs w:val="26"/>
          <w:lang w:eastAsia="es-MX"/>
        </w:rPr>
        <w:t xml:space="preserve"> Civil y Administrativa del Decimotercer Circuito en el Estado de Oaxaca, </w:t>
      </w:r>
      <w:r w:rsidR="002001B2" w:rsidRPr="002001B2">
        <w:rPr>
          <w:rFonts w:ascii="Arial" w:eastAsiaTheme="minorEastAsia" w:hAnsi="Arial" w:cs="Arial"/>
          <w:bCs/>
          <w:sz w:val="26"/>
          <w:szCs w:val="26"/>
          <w:lang w:eastAsia="es-MX"/>
        </w:rPr>
        <w:t xml:space="preserve">concedió el </w:t>
      </w:r>
      <w:r w:rsidR="002001B2" w:rsidRPr="002001B2">
        <w:rPr>
          <w:rFonts w:ascii="Arial" w:eastAsiaTheme="minorEastAsia" w:hAnsi="Arial" w:cs="Arial"/>
          <w:b/>
          <w:bCs/>
          <w:sz w:val="26"/>
          <w:szCs w:val="26"/>
          <w:lang w:eastAsia="es-MX"/>
        </w:rPr>
        <w:t>AMPARO Y PROTECCIÓN DE LA JUSTICIA FEDERAL</w:t>
      </w:r>
      <w:r w:rsidR="002001B2" w:rsidRPr="002001B2">
        <w:rPr>
          <w:rFonts w:ascii="Arial" w:eastAsiaTheme="minorEastAsia" w:hAnsi="Arial" w:cs="Arial"/>
          <w:bCs/>
          <w:sz w:val="26"/>
          <w:szCs w:val="26"/>
          <w:lang w:eastAsia="es-MX"/>
        </w:rPr>
        <w:t xml:space="preserve"> al quejoso</w:t>
      </w:r>
      <w:r w:rsidR="00960CA2">
        <w:rPr>
          <w:rFonts w:ascii="Arial" w:eastAsiaTheme="minorEastAsia" w:hAnsi="Arial" w:cs="Arial"/>
          <w:bCs/>
          <w:sz w:val="26"/>
          <w:szCs w:val="26"/>
          <w:lang w:eastAsia="es-MX"/>
        </w:rPr>
        <w:t>, en la</w:t>
      </w:r>
      <w:r w:rsidR="002001B2" w:rsidRPr="002001B2">
        <w:rPr>
          <w:rFonts w:ascii="Arial" w:eastAsiaTheme="minorEastAsia" w:hAnsi="Arial" w:cs="Arial"/>
          <w:bCs/>
          <w:sz w:val="26"/>
          <w:szCs w:val="26"/>
          <w:lang w:eastAsia="es-MX"/>
        </w:rPr>
        <w:t xml:space="preserve"> ejecutoria de </w:t>
      </w:r>
      <w:r w:rsidR="00960CA2">
        <w:rPr>
          <w:rFonts w:ascii="Arial" w:eastAsiaTheme="minorEastAsia" w:hAnsi="Arial" w:cs="Arial"/>
          <w:bCs/>
          <w:sz w:val="26"/>
          <w:szCs w:val="26"/>
          <w:lang w:eastAsia="es-MX"/>
        </w:rPr>
        <w:t>trece de jul</w:t>
      </w:r>
      <w:r w:rsidR="002001B2" w:rsidRPr="002001B2">
        <w:rPr>
          <w:rFonts w:ascii="Arial" w:eastAsiaTheme="minorEastAsia" w:hAnsi="Arial" w:cs="Arial"/>
          <w:bCs/>
          <w:sz w:val="26"/>
          <w:szCs w:val="26"/>
          <w:lang w:eastAsia="es-MX"/>
        </w:rPr>
        <w:t xml:space="preserve">io de dos mil veintitrés, en el expediente de amparo </w:t>
      </w:r>
      <w:r w:rsidR="00960CA2">
        <w:rPr>
          <w:rFonts w:ascii="Arial" w:eastAsiaTheme="minorEastAsia" w:hAnsi="Arial" w:cs="Arial"/>
          <w:bCs/>
          <w:sz w:val="26"/>
          <w:szCs w:val="26"/>
          <w:lang w:eastAsia="es-MX"/>
        </w:rPr>
        <w:t>directo</w:t>
      </w:r>
      <w:r w:rsidR="002001B2" w:rsidRPr="002001B2">
        <w:rPr>
          <w:rFonts w:ascii="Arial" w:eastAsiaTheme="minorEastAsia" w:hAnsi="Arial" w:cs="Arial"/>
          <w:bCs/>
          <w:sz w:val="26"/>
          <w:szCs w:val="26"/>
          <w:lang w:eastAsia="es-MX"/>
        </w:rPr>
        <w:t xml:space="preserve"> </w:t>
      </w:r>
      <w:r w:rsidR="002001B2" w:rsidRPr="002001B2">
        <w:rPr>
          <w:rFonts w:ascii="Arial" w:eastAsiaTheme="minorEastAsia" w:hAnsi="Arial" w:cs="Arial"/>
          <w:b/>
          <w:bCs/>
          <w:sz w:val="26"/>
          <w:szCs w:val="26"/>
          <w:lang w:eastAsia="es-MX"/>
        </w:rPr>
        <w:t>2</w:t>
      </w:r>
      <w:r w:rsidR="00960CA2">
        <w:rPr>
          <w:rFonts w:ascii="Arial" w:eastAsiaTheme="minorEastAsia" w:hAnsi="Arial" w:cs="Arial"/>
          <w:b/>
          <w:bCs/>
          <w:sz w:val="26"/>
          <w:szCs w:val="26"/>
          <w:lang w:eastAsia="es-MX"/>
        </w:rPr>
        <w:t>49</w:t>
      </w:r>
      <w:r w:rsidR="002001B2" w:rsidRPr="002001B2">
        <w:rPr>
          <w:rFonts w:ascii="Arial" w:eastAsiaTheme="minorEastAsia" w:hAnsi="Arial" w:cs="Arial"/>
          <w:b/>
          <w:bCs/>
          <w:sz w:val="26"/>
          <w:szCs w:val="26"/>
          <w:lang w:eastAsia="es-MX"/>
        </w:rPr>
        <w:t>/2022</w:t>
      </w:r>
      <w:r w:rsidR="002001B2" w:rsidRPr="002001B2">
        <w:rPr>
          <w:rFonts w:ascii="Arial" w:eastAsiaTheme="minorEastAsia" w:hAnsi="Arial" w:cs="Arial"/>
          <w:bCs/>
          <w:sz w:val="26"/>
          <w:szCs w:val="26"/>
          <w:lang w:eastAsia="es-MX"/>
        </w:rPr>
        <w:t>,</w:t>
      </w:r>
      <w:r w:rsidR="00D76AEB">
        <w:rPr>
          <w:rFonts w:ascii="Arial" w:eastAsiaTheme="minorEastAsia" w:hAnsi="Arial" w:cs="Arial"/>
          <w:bCs/>
          <w:sz w:val="26"/>
          <w:szCs w:val="26"/>
          <w:lang w:eastAsia="es-MX"/>
        </w:rPr>
        <w:t xml:space="preserve"> en la que resolvió</w:t>
      </w:r>
      <w:r w:rsidR="002001B2" w:rsidRPr="002001B2">
        <w:rPr>
          <w:rFonts w:ascii="Arial" w:eastAsiaTheme="minorEastAsia" w:hAnsi="Arial" w:cs="Arial"/>
          <w:bCs/>
          <w:sz w:val="26"/>
          <w:szCs w:val="26"/>
          <w:lang w:eastAsia="es-MX"/>
        </w:rPr>
        <w:t xml:space="preserve">: </w:t>
      </w:r>
    </w:p>
    <w:p w14:paraId="53AA98A3" w14:textId="67600F88" w:rsidR="002001B2" w:rsidRDefault="00D76AEB" w:rsidP="002001B2">
      <w:pPr>
        <w:spacing w:line="360" w:lineRule="auto"/>
        <w:ind w:left="709" w:right="758" w:hanging="1"/>
        <w:jc w:val="both"/>
        <w:rPr>
          <w:rFonts w:ascii="Arial" w:eastAsiaTheme="minorEastAsia" w:hAnsi="Arial" w:cs="Arial"/>
          <w:i/>
          <w:lang w:eastAsia="es-MX"/>
        </w:rPr>
      </w:pPr>
      <w:r>
        <w:rPr>
          <w:rFonts w:ascii="Arial" w:eastAsiaTheme="minorEastAsia" w:hAnsi="Arial" w:cs="Arial"/>
          <w:i/>
          <w:lang w:eastAsia="es-MX"/>
        </w:rPr>
        <w:t>“OCTAVO. ESTUDIO. (…)</w:t>
      </w:r>
    </w:p>
    <w:p w14:paraId="6B40C09A" w14:textId="43882EE9" w:rsidR="00D76AEB" w:rsidRDefault="00D76AEB" w:rsidP="002001B2">
      <w:pPr>
        <w:spacing w:line="360" w:lineRule="auto"/>
        <w:ind w:left="709" w:right="758" w:hanging="1"/>
        <w:jc w:val="both"/>
        <w:rPr>
          <w:rFonts w:ascii="Arial" w:eastAsiaTheme="minorEastAsia" w:hAnsi="Arial" w:cs="Arial"/>
          <w:i/>
          <w:lang w:eastAsia="es-MX"/>
        </w:rPr>
      </w:pPr>
      <w:r>
        <w:rPr>
          <w:rFonts w:ascii="Arial" w:eastAsiaTheme="minorEastAsia" w:hAnsi="Arial" w:cs="Arial"/>
          <w:i/>
          <w:lang w:eastAsia="es-MX"/>
        </w:rPr>
        <w:t>Los anteriores argumentos, analizados en su conjunto, son fundados y suficientes para conceder al quejoso la protección constitucional.</w:t>
      </w:r>
    </w:p>
    <w:p w14:paraId="75A12EAA" w14:textId="5F523DC8" w:rsidR="00D76AEB" w:rsidRDefault="00D76AEB" w:rsidP="002001B2">
      <w:pPr>
        <w:spacing w:line="360" w:lineRule="auto"/>
        <w:ind w:left="709" w:right="758" w:hanging="1"/>
        <w:jc w:val="both"/>
        <w:rPr>
          <w:rFonts w:ascii="Arial" w:eastAsiaTheme="minorEastAsia" w:hAnsi="Arial" w:cs="Arial"/>
          <w:i/>
          <w:lang w:eastAsia="es-MX"/>
        </w:rPr>
      </w:pPr>
      <w:r>
        <w:rPr>
          <w:rFonts w:ascii="Arial" w:eastAsiaTheme="minorEastAsia" w:hAnsi="Arial" w:cs="Arial"/>
          <w:i/>
          <w:lang w:eastAsia="es-MX"/>
        </w:rPr>
        <w:t xml:space="preserve">Es así porque la Sala Superior responsable, en la sentencia que constituye el acto reclamado, esencialmente consideró que, como lo sostuvo el magistrado instructor, el actor –aquí quejoso-, al no haber exhibido el original o copia certificada de la tarjeta de circulación del vehículo involucrado, como le fue requerido, no acreditó su interés jurídico o legítimo para impugnar la boleta de infracción de que se trata, por lo que sobrevino el desechamiento de su demanda, de acuerdo con lo establecido en los artículos 179 y 182, </w:t>
      </w:r>
      <w:r>
        <w:rPr>
          <w:rFonts w:ascii="Arial" w:eastAsiaTheme="minorEastAsia" w:hAnsi="Arial" w:cs="Arial"/>
          <w:i/>
          <w:lang w:eastAsia="es-MX"/>
        </w:rPr>
        <w:lastRenderedPageBreak/>
        <w:t>fracción II, de la Ley de Procedimiento y Justicia Administrativa para el Estado de Oaxaca.</w:t>
      </w:r>
    </w:p>
    <w:p w14:paraId="20CFCF59" w14:textId="6A90CECA" w:rsidR="00D76AEB" w:rsidRDefault="00D76AEB" w:rsidP="002001B2">
      <w:pPr>
        <w:spacing w:line="360" w:lineRule="auto"/>
        <w:ind w:left="709" w:right="758" w:hanging="1"/>
        <w:jc w:val="both"/>
        <w:rPr>
          <w:rFonts w:ascii="Arial" w:eastAsiaTheme="minorEastAsia" w:hAnsi="Arial" w:cs="Arial"/>
          <w:i/>
          <w:lang w:eastAsia="es-MX"/>
        </w:rPr>
      </w:pPr>
      <w:r>
        <w:rPr>
          <w:rFonts w:ascii="Arial" w:eastAsiaTheme="minorEastAsia" w:hAnsi="Arial" w:cs="Arial"/>
          <w:i/>
          <w:lang w:eastAsia="es-MX"/>
        </w:rPr>
        <w:t>Sin embargo, este órgano colegiado considera que cuando el acto imp</w:t>
      </w:r>
      <w:r w:rsidR="001F17B5">
        <w:rPr>
          <w:rFonts w:ascii="Arial" w:eastAsiaTheme="minorEastAsia" w:hAnsi="Arial" w:cs="Arial"/>
          <w:i/>
          <w:lang w:eastAsia="es-MX"/>
        </w:rPr>
        <w:t>ugnado en un juicio de nulidad, consiste fundamentalmente en una “boleta de infracción” y su calificación contenida en el mismo documento, por supuesta violación a las leyes de tránsito terrestre, en el que no se identifica plenamente al conductor del vehículo automotor o a su propietario, se precisa quién de ellos es el obligado para efectos de la observancia de su contenido y sanción correspondientes, debe considerarse que ambos pueden promover el juicio de nulidad contra tales actos administrativos.</w:t>
      </w:r>
    </w:p>
    <w:p w14:paraId="229C8B18" w14:textId="28D66CA7" w:rsidR="001F17B5" w:rsidRDefault="001F17B5" w:rsidP="002001B2">
      <w:pPr>
        <w:spacing w:line="360" w:lineRule="auto"/>
        <w:ind w:left="709" w:right="758" w:hanging="1"/>
        <w:jc w:val="both"/>
        <w:rPr>
          <w:rFonts w:ascii="Arial" w:eastAsiaTheme="minorEastAsia" w:hAnsi="Arial" w:cs="Arial"/>
          <w:i/>
          <w:lang w:eastAsia="es-MX"/>
        </w:rPr>
      </w:pPr>
      <w:r>
        <w:rPr>
          <w:rFonts w:ascii="Arial" w:eastAsiaTheme="minorEastAsia" w:hAnsi="Arial" w:cs="Arial"/>
          <w:i/>
          <w:lang w:eastAsia="es-MX"/>
        </w:rPr>
        <w:t>Lo anterior porque, de admitirse una posición contraria, se vulneraría la garantía de seguridad jurídica de los gobernados, establecida principalmente en los artículos 14 y 16 de la Constitución Política de los Estados Unidos Mexicanos, en la medida de que una boleta de infracción (y su calificación) redactada en las condiciones indicadas genera una situación de falta de certeza para los gobernados, sobre quién es el sujeto con capacidad legal de impugnarla mediante juicio de nulidad. Y frente a ello, debe regir dicha garantía como principio que informa todo el orden jurídico, incluso al criterio judicial, en términos del artículo 1º de la citada ley fundamental.</w:t>
      </w:r>
    </w:p>
    <w:p w14:paraId="24854C8C" w14:textId="4C4C3B55" w:rsidR="001F17B5" w:rsidRDefault="001F17B5" w:rsidP="002001B2">
      <w:pPr>
        <w:spacing w:line="360" w:lineRule="auto"/>
        <w:ind w:left="709" w:right="758" w:hanging="1"/>
        <w:jc w:val="both"/>
        <w:rPr>
          <w:rFonts w:ascii="Arial" w:eastAsiaTheme="minorEastAsia" w:hAnsi="Arial" w:cs="Arial"/>
          <w:i/>
          <w:lang w:eastAsia="es-MX"/>
        </w:rPr>
      </w:pPr>
      <w:r>
        <w:rPr>
          <w:rFonts w:ascii="Arial" w:eastAsiaTheme="minorEastAsia" w:hAnsi="Arial" w:cs="Arial"/>
          <w:i/>
          <w:lang w:eastAsia="es-MX"/>
        </w:rPr>
        <w:t>Así las cosas, en el caso concreto se estima que, contra lo sostenido por la responsable, en el juicio de nulidad no se actualiza la causal de improcedencia relativa a la falta de interés jurídico del demandante, prevista en el artículo 164 de la Ley de Procedimiento y Justicia Administrativa para el Estado de Oaxaca, pues el ahora quejoso, quien a</w:t>
      </w:r>
      <w:r w:rsidR="00C663A5">
        <w:rPr>
          <w:rFonts w:ascii="Arial" w:eastAsiaTheme="minorEastAsia" w:hAnsi="Arial" w:cs="Arial"/>
          <w:i/>
          <w:lang w:eastAsia="es-MX"/>
        </w:rPr>
        <w:t>firma ser conductor de la unidad de motor infraccionada, por ahora sí tiene interés jurídico para demandar la nulidad de los actos que señaló como impugnados.</w:t>
      </w:r>
    </w:p>
    <w:p w14:paraId="6278B889" w14:textId="41B4E4DF" w:rsidR="00C663A5" w:rsidRDefault="00C663A5" w:rsidP="002001B2">
      <w:pPr>
        <w:spacing w:line="360" w:lineRule="auto"/>
        <w:ind w:left="709" w:right="758" w:hanging="1"/>
        <w:jc w:val="both"/>
        <w:rPr>
          <w:rFonts w:ascii="Arial" w:eastAsiaTheme="minorEastAsia" w:hAnsi="Arial" w:cs="Arial"/>
          <w:i/>
          <w:lang w:eastAsia="es-MX"/>
        </w:rPr>
      </w:pPr>
      <w:r>
        <w:rPr>
          <w:rFonts w:ascii="Arial" w:eastAsiaTheme="minorEastAsia" w:hAnsi="Arial" w:cs="Arial"/>
          <w:i/>
          <w:lang w:eastAsia="es-MX"/>
        </w:rPr>
        <w:t>No obsta para lo anterior, el que la actualización de las causas de improcedencia del juicio de nulidad sea una cuestión que esté sujeta a su demostraci</w:t>
      </w:r>
      <w:r w:rsidR="001F0422">
        <w:rPr>
          <w:rFonts w:ascii="Arial" w:eastAsiaTheme="minorEastAsia" w:hAnsi="Arial" w:cs="Arial"/>
          <w:i/>
          <w:lang w:eastAsia="es-MX"/>
        </w:rPr>
        <w:t xml:space="preserve">ón </w:t>
      </w:r>
      <w:r w:rsidR="00CF4F72">
        <w:rPr>
          <w:rFonts w:ascii="Arial" w:eastAsiaTheme="minorEastAsia" w:hAnsi="Arial" w:cs="Arial"/>
          <w:i/>
          <w:lang w:eastAsia="es-MX"/>
        </w:rPr>
        <w:t>fehaciente, al traducirse en un límite al acceso a la jurisdicción en su vertiente de derecho a obtener una sentencia que resuelva el fondo del asunto (tutela judicial), previsto en el artículo 17 de la Constitución Federal; sin embargo, en la especie ello no ocurre, considerándose la razón expuesta, pues al no haber certeza de quién debe pagar la infracción, es evidente que el ahora quejoso por ahora sí cuenta con interés jurídico para impugnar este acto, así como su calificación.</w:t>
      </w:r>
    </w:p>
    <w:p w14:paraId="591CD219" w14:textId="338E2630" w:rsidR="00CF4F72" w:rsidRDefault="00CF4F72" w:rsidP="002001B2">
      <w:pPr>
        <w:spacing w:line="360" w:lineRule="auto"/>
        <w:ind w:left="709" w:right="758" w:hanging="1"/>
        <w:jc w:val="both"/>
        <w:rPr>
          <w:rFonts w:ascii="Arial" w:eastAsiaTheme="minorEastAsia" w:hAnsi="Arial" w:cs="Arial"/>
          <w:i/>
          <w:lang w:eastAsia="es-MX"/>
        </w:rPr>
      </w:pPr>
      <w:r>
        <w:rPr>
          <w:rFonts w:ascii="Arial" w:eastAsiaTheme="minorEastAsia" w:hAnsi="Arial" w:cs="Arial"/>
          <w:i/>
          <w:lang w:eastAsia="es-MX"/>
        </w:rPr>
        <w:t>Lo considerado no soslaya que en el acta de infracción folio 6312 impugnada, de dieciséis de octubre de dos mil veinte, tanto en el rubro correspondiente al nombre del propietario o poseedor, como en el nombre del infractor, aparece la leyenda “SE DESCONOCE”.</w:t>
      </w:r>
    </w:p>
    <w:p w14:paraId="3371E5EB" w14:textId="25B6BEDC" w:rsidR="00CF4F72" w:rsidRDefault="00CF4F72" w:rsidP="002001B2">
      <w:pPr>
        <w:spacing w:line="360" w:lineRule="auto"/>
        <w:ind w:left="709" w:right="758" w:hanging="1"/>
        <w:jc w:val="both"/>
        <w:rPr>
          <w:rFonts w:ascii="Arial" w:eastAsiaTheme="minorEastAsia" w:hAnsi="Arial" w:cs="Arial"/>
          <w:i/>
          <w:lang w:eastAsia="es-MX"/>
        </w:rPr>
      </w:pPr>
      <w:r>
        <w:rPr>
          <w:rFonts w:ascii="Arial" w:eastAsiaTheme="minorEastAsia" w:hAnsi="Arial" w:cs="Arial"/>
          <w:i/>
          <w:lang w:eastAsia="es-MX"/>
        </w:rPr>
        <w:t xml:space="preserve">Lo cual no limita el derecho del ahora quejoso para demandar la nulidad </w:t>
      </w:r>
      <w:r w:rsidR="009D0AF3">
        <w:rPr>
          <w:rFonts w:ascii="Arial" w:eastAsiaTheme="minorEastAsia" w:hAnsi="Arial" w:cs="Arial"/>
          <w:i/>
          <w:lang w:eastAsia="es-MX"/>
        </w:rPr>
        <w:t xml:space="preserve">del acto señalado como impugnado, porque su aptitud jurídica para ese efecto </w:t>
      </w:r>
      <w:r w:rsidR="009D0AF3">
        <w:rPr>
          <w:rFonts w:ascii="Arial" w:eastAsiaTheme="minorEastAsia" w:hAnsi="Arial" w:cs="Arial"/>
          <w:i/>
          <w:lang w:eastAsia="es-MX"/>
        </w:rPr>
        <w:lastRenderedPageBreak/>
        <w:t>no está dada por quien aparezca como propietario, poseedor o infractor en la citada boleta, sino por su ambigüedad y calificación en cuanto a la identificación del sujeto que cuenta con esa facultad.</w:t>
      </w:r>
    </w:p>
    <w:p w14:paraId="58B1527F" w14:textId="1F60E1B6" w:rsidR="009D0AF3" w:rsidRDefault="009D0AF3" w:rsidP="002001B2">
      <w:pPr>
        <w:spacing w:line="360" w:lineRule="auto"/>
        <w:ind w:left="709" w:right="758" w:hanging="1"/>
        <w:jc w:val="both"/>
        <w:rPr>
          <w:rFonts w:ascii="Arial" w:eastAsiaTheme="minorEastAsia" w:hAnsi="Arial" w:cs="Arial"/>
          <w:i/>
          <w:lang w:eastAsia="es-MX"/>
        </w:rPr>
      </w:pPr>
      <w:r>
        <w:rPr>
          <w:rFonts w:ascii="Arial" w:eastAsiaTheme="minorEastAsia" w:hAnsi="Arial" w:cs="Arial"/>
          <w:i/>
          <w:lang w:eastAsia="es-MX"/>
        </w:rPr>
        <w:t>Además, será en el curso del procedimiento cuando pueda probar y se analice su interés jurídico, pero no puede estimarse que este sea un requisito de admisibilidad; lo cual no prejuzga que en otro momento procesal pueda actualizarse dicha causal, u otra.</w:t>
      </w:r>
    </w:p>
    <w:p w14:paraId="771FF0AC" w14:textId="31AE9FE2" w:rsidR="009D0AF3" w:rsidRDefault="009D0AF3" w:rsidP="002001B2">
      <w:pPr>
        <w:spacing w:line="360" w:lineRule="auto"/>
        <w:ind w:left="709" w:right="758" w:hanging="1"/>
        <w:jc w:val="both"/>
        <w:rPr>
          <w:rFonts w:ascii="Arial" w:eastAsiaTheme="minorEastAsia" w:hAnsi="Arial" w:cs="Arial"/>
          <w:i/>
          <w:lang w:eastAsia="es-MX"/>
        </w:rPr>
      </w:pPr>
      <w:r>
        <w:rPr>
          <w:rFonts w:ascii="Arial" w:eastAsiaTheme="minorEastAsia" w:hAnsi="Arial" w:cs="Arial"/>
          <w:i/>
          <w:lang w:eastAsia="es-MX"/>
        </w:rPr>
        <w:t>Así, que ante lo fundado de los conceptos de violación analizados y a fin de restituir a la parte quejosa en el goce de las garantías constitucionales transgredidas, procede concederle el amparo solicitado para el efecto de que la responsable:</w:t>
      </w:r>
    </w:p>
    <w:p w14:paraId="133875B3" w14:textId="5476B9AF" w:rsidR="009D0AF3" w:rsidRDefault="009D0AF3" w:rsidP="009D0AF3">
      <w:pPr>
        <w:pStyle w:val="Prrafodelista"/>
        <w:numPr>
          <w:ilvl w:val="0"/>
          <w:numId w:val="15"/>
        </w:numPr>
        <w:spacing w:line="360" w:lineRule="auto"/>
        <w:ind w:right="758"/>
        <w:jc w:val="both"/>
        <w:rPr>
          <w:rFonts w:ascii="Arial" w:eastAsiaTheme="minorEastAsia" w:hAnsi="Arial" w:cs="Arial"/>
          <w:i/>
          <w:lang w:eastAsia="es-MX"/>
        </w:rPr>
      </w:pPr>
      <w:r>
        <w:rPr>
          <w:rFonts w:ascii="Arial" w:eastAsiaTheme="minorEastAsia" w:hAnsi="Arial" w:cs="Arial"/>
          <w:i/>
          <w:lang w:eastAsia="es-MX"/>
        </w:rPr>
        <w:t>Deje insubsistente la sentencia reclamada.</w:t>
      </w:r>
    </w:p>
    <w:p w14:paraId="6FEF9010" w14:textId="599A133A" w:rsidR="009D0AF3" w:rsidRDefault="009D0AF3" w:rsidP="009D0AF3">
      <w:pPr>
        <w:pStyle w:val="Prrafodelista"/>
        <w:numPr>
          <w:ilvl w:val="0"/>
          <w:numId w:val="15"/>
        </w:numPr>
        <w:spacing w:line="360" w:lineRule="auto"/>
        <w:ind w:right="758"/>
        <w:jc w:val="both"/>
        <w:rPr>
          <w:rFonts w:ascii="Arial" w:eastAsiaTheme="minorEastAsia" w:hAnsi="Arial" w:cs="Arial"/>
          <w:i/>
          <w:lang w:eastAsia="es-MX"/>
        </w:rPr>
      </w:pPr>
      <w:r>
        <w:rPr>
          <w:rFonts w:ascii="Arial" w:eastAsiaTheme="minorEastAsia" w:hAnsi="Arial" w:cs="Arial"/>
          <w:i/>
          <w:lang w:eastAsia="es-MX"/>
        </w:rPr>
        <w:t xml:space="preserve">Dicte una nueva, en la que siguiendo los lineamientos de esta ejecutoria, deberá estimar que en el juicio contencioso administrativo no se actualiza la causal de improcedencia relativa a la falta de interés jurídico del demandante, prevista en el artículo 164 de la Ley de Procedimiento y Justicia Administrativa para el Estado de Oaxaca, y, </w:t>
      </w:r>
    </w:p>
    <w:p w14:paraId="7AA651B9" w14:textId="6781F0A3" w:rsidR="009D0AF3" w:rsidRDefault="009D0AF3" w:rsidP="009D0AF3">
      <w:pPr>
        <w:pStyle w:val="Prrafodelista"/>
        <w:numPr>
          <w:ilvl w:val="0"/>
          <w:numId w:val="15"/>
        </w:numPr>
        <w:spacing w:line="360" w:lineRule="auto"/>
        <w:ind w:right="758"/>
        <w:jc w:val="both"/>
        <w:rPr>
          <w:rFonts w:ascii="Arial" w:eastAsiaTheme="minorEastAsia" w:hAnsi="Arial" w:cs="Arial"/>
          <w:i/>
          <w:lang w:eastAsia="es-MX"/>
        </w:rPr>
      </w:pPr>
      <w:r>
        <w:rPr>
          <w:rFonts w:ascii="Arial" w:eastAsiaTheme="minorEastAsia" w:hAnsi="Arial" w:cs="Arial"/>
          <w:i/>
          <w:lang w:eastAsia="es-MX"/>
        </w:rPr>
        <w:t>Resuelva lo que conforme a derecho proceda.”</w:t>
      </w:r>
    </w:p>
    <w:p w14:paraId="7EF99C84" w14:textId="77777777" w:rsidR="009D0AF3" w:rsidRPr="009D0AF3" w:rsidRDefault="009D0AF3" w:rsidP="009D0AF3">
      <w:pPr>
        <w:spacing w:line="360" w:lineRule="auto"/>
        <w:ind w:left="708" w:right="758"/>
        <w:jc w:val="both"/>
        <w:rPr>
          <w:rFonts w:ascii="Arial" w:eastAsiaTheme="minorEastAsia" w:hAnsi="Arial" w:cs="Arial"/>
          <w:i/>
          <w:lang w:eastAsia="es-MX"/>
        </w:rPr>
      </w:pPr>
    </w:p>
    <w:p w14:paraId="4C4D52FA" w14:textId="3D32EF8D" w:rsidR="002001B2" w:rsidRPr="002001B2" w:rsidRDefault="00B75A41" w:rsidP="002001B2">
      <w:pPr>
        <w:spacing w:before="240" w:after="0" w:line="360" w:lineRule="auto"/>
        <w:ind w:right="49" w:firstLine="709"/>
        <w:jc w:val="both"/>
        <w:rPr>
          <w:rFonts w:ascii="Arial" w:eastAsia="Times New Roman" w:hAnsi="Arial" w:cs="Arial"/>
          <w:b/>
          <w:bCs/>
          <w:iCs/>
          <w:sz w:val="26"/>
          <w:szCs w:val="26"/>
          <w:lang w:eastAsia="es-ES"/>
        </w:rPr>
      </w:pPr>
      <w:r>
        <w:rPr>
          <w:rFonts w:ascii="Arial" w:eastAsiaTheme="minorEastAsia" w:hAnsi="Arial" w:cs="Arial"/>
          <w:b/>
          <w:bCs/>
          <w:sz w:val="26"/>
          <w:szCs w:val="26"/>
          <w:lang w:val="es-ES" w:eastAsia="es-MX"/>
        </w:rPr>
        <w:t xml:space="preserve">4.- </w:t>
      </w:r>
      <w:r w:rsidR="002001B2" w:rsidRPr="002001B2">
        <w:rPr>
          <w:rFonts w:ascii="Arial" w:eastAsiaTheme="minorEastAsia" w:hAnsi="Arial" w:cs="Arial"/>
          <w:b/>
          <w:bCs/>
          <w:sz w:val="26"/>
          <w:szCs w:val="26"/>
          <w:lang w:val="es-ES" w:eastAsia="es-MX"/>
        </w:rPr>
        <w:t>TERCERO.</w:t>
      </w:r>
      <w:r w:rsidR="005C59DD">
        <w:rPr>
          <w:rFonts w:ascii="Arial" w:eastAsiaTheme="minorEastAsia" w:hAnsi="Arial" w:cs="Arial"/>
          <w:b/>
          <w:bCs/>
          <w:sz w:val="26"/>
          <w:szCs w:val="26"/>
          <w:lang w:val="es-ES" w:eastAsia="es-MX"/>
        </w:rPr>
        <w:t xml:space="preserve"> REQUERIMIENTO DE CUMPLIMIENTO.</w:t>
      </w:r>
      <w:r w:rsidR="002001B2" w:rsidRPr="002001B2">
        <w:rPr>
          <w:rFonts w:ascii="Arial" w:eastAsiaTheme="minorEastAsia" w:hAnsi="Arial" w:cs="Arial"/>
          <w:b/>
          <w:bCs/>
          <w:sz w:val="26"/>
          <w:szCs w:val="26"/>
          <w:lang w:val="es-ES" w:eastAsia="es-MX"/>
        </w:rPr>
        <w:t xml:space="preserve"> </w:t>
      </w:r>
      <w:r w:rsidR="002001B2" w:rsidRPr="002001B2">
        <w:rPr>
          <w:rFonts w:ascii="Arial" w:eastAsiaTheme="minorEastAsia" w:hAnsi="Arial" w:cs="Arial"/>
          <w:bCs/>
          <w:sz w:val="26"/>
          <w:szCs w:val="26"/>
          <w:lang w:val="es-ES" w:eastAsia="es-MX"/>
        </w:rPr>
        <w:t xml:space="preserve">Mediante oficio número </w:t>
      </w:r>
      <w:r w:rsidR="002678C2" w:rsidRPr="00B75A41">
        <w:rPr>
          <w:rFonts w:ascii="Arial" w:eastAsiaTheme="minorEastAsia" w:hAnsi="Arial" w:cs="Arial"/>
          <w:b/>
          <w:bCs/>
          <w:sz w:val="26"/>
          <w:szCs w:val="26"/>
          <w:lang w:val="es-ES" w:eastAsia="es-MX"/>
        </w:rPr>
        <w:t>1874</w:t>
      </w:r>
      <w:r w:rsidR="002001B2" w:rsidRPr="00B75A41">
        <w:rPr>
          <w:rFonts w:ascii="Arial" w:eastAsiaTheme="minorEastAsia" w:hAnsi="Arial" w:cs="Arial"/>
          <w:b/>
          <w:bCs/>
          <w:sz w:val="26"/>
          <w:szCs w:val="26"/>
          <w:lang w:val="es-ES" w:eastAsia="es-MX"/>
        </w:rPr>
        <w:t>/2023</w:t>
      </w:r>
      <w:r w:rsidR="002001B2" w:rsidRPr="002001B2">
        <w:rPr>
          <w:rFonts w:ascii="Arial" w:eastAsiaTheme="minorEastAsia" w:hAnsi="Arial" w:cs="Arial"/>
          <w:bCs/>
          <w:sz w:val="26"/>
          <w:szCs w:val="26"/>
          <w:lang w:val="es-ES" w:eastAsia="es-MX"/>
        </w:rPr>
        <w:t xml:space="preserve">, de </w:t>
      </w:r>
      <w:r w:rsidR="002678C2">
        <w:rPr>
          <w:rFonts w:ascii="Arial" w:eastAsiaTheme="minorEastAsia" w:hAnsi="Arial" w:cs="Arial"/>
          <w:bCs/>
          <w:sz w:val="26"/>
          <w:szCs w:val="26"/>
          <w:lang w:val="es-ES" w:eastAsia="es-MX"/>
        </w:rPr>
        <w:t>dieciocho de jul</w:t>
      </w:r>
      <w:r w:rsidR="002001B2" w:rsidRPr="002001B2">
        <w:rPr>
          <w:rFonts w:ascii="Arial" w:eastAsiaTheme="minorEastAsia" w:hAnsi="Arial" w:cs="Arial"/>
          <w:bCs/>
          <w:sz w:val="26"/>
          <w:szCs w:val="26"/>
          <w:lang w:val="es-ES" w:eastAsia="es-MX"/>
        </w:rPr>
        <w:t xml:space="preserve">io de dos mil veintitrés, emitido por el </w:t>
      </w:r>
      <w:r w:rsidR="002678C2">
        <w:rPr>
          <w:rFonts w:ascii="Arial" w:eastAsiaTheme="minorEastAsia" w:hAnsi="Arial" w:cs="Arial"/>
          <w:sz w:val="26"/>
          <w:szCs w:val="26"/>
          <w:lang w:val="es-ES" w:eastAsia="es-MX"/>
        </w:rPr>
        <w:t xml:space="preserve">Primer </w:t>
      </w:r>
      <w:r w:rsidR="002001B2" w:rsidRPr="002001B2">
        <w:rPr>
          <w:rFonts w:ascii="Arial" w:eastAsiaTheme="minorEastAsia" w:hAnsi="Arial" w:cs="Arial"/>
          <w:sz w:val="26"/>
          <w:szCs w:val="26"/>
          <w:lang w:val="es-ES" w:eastAsia="es-MX"/>
        </w:rPr>
        <w:t>Tribunal Colegiado en Materia</w:t>
      </w:r>
      <w:r w:rsidR="002678C2">
        <w:rPr>
          <w:rFonts w:ascii="Arial" w:eastAsiaTheme="minorEastAsia" w:hAnsi="Arial" w:cs="Arial"/>
          <w:sz w:val="26"/>
          <w:szCs w:val="26"/>
          <w:lang w:val="es-ES" w:eastAsia="es-MX"/>
        </w:rPr>
        <w:t>s</w:t>
      </w:r>
      <w:r w:rsidR="002001B2" w:rsidRPr="002001B2">
        <w:rPr>
          <w:rFonts w:ascii="Arial" w:eastAsiaTheme="minorEastAsia" w:hAnsi="Arial" w:cs="Arial"/>
          <w:sz w:val="26"/>
          <w:szCs w:val="26"/>
          <w:lang w:val="es-ES" w:eastAsia="es-MX"/>
        </w:rPr>
        <w:t xml:space="preserve"> Civil y Administrativa del Decimotercer Circuito en el Estado de Oaxaca</w:t>
      </w:r>
      <w:r w:rsidR="002001B2" w:rsidRPr="002001B2">
        <w:rPr>
          <w:rFonts w:ascii="Arial" w:eastAsiaTheme="minorEastAsia" w:hAnsi="Arial" w:cs="Arial"/>
          <w:bCs/>
          <w:sz w:val="26"/>
          <w:szCs w:val="26"/>
          <w:lang w:val="es-ES" w:eastAsia="es-MX"/>
        </w:rPr>
        <w:t>, se requirió a este Tribunal de Justicia Administrativa</w:t>
      </w:r>
      <w:r w:rsidR="002678C2">
        <w:rPr>
          <w:rFonts w:ascii="Arial" w:eastAsiaTheme="minorEastAsia" w:hAnsi="Arial" w:cs="Arial"/>
          <w:bCs/>
          <w:sz w:val="26"/>
          <w:szCs w:val="26"/>
          <w:lang w:val="es-ES" w:eastAsia="es-MX"/>
        </w:rPr>
        <w:t xml:space="preserve"> y Combate a la Corrupción</w:t>
      </w:r>
      <w:r w:rsidR="002001B2" w:rsidRPr="002001B2">
        <w:rPr>
          <w:rFonts w:ascii="Arial" w:eastAsiaTheme="minorEastAsia" w:hAnsi="Arial" w:cs="Arial"/>
          <w:bCs/>
          <w:sz w:val="26"/>
          <w:szCs w:val="26"/>
          <w:lang w:val="es-ES" w:eastAsia="es-MX"/>
        </w:rPr>
        <w:t xml:space="preserve"> del Estado de Oaxaca para que dentro del plazo de tres días cumpla con la ejecutoria que otorgó el Amparo y Protección de la Justicia Federal a</w:t>
      </w:r>
      <w:r w:rsidR="004428CF">
        <w:rPr>
          <w:rFonts w:ascii="Arial" w:eastAsiaTheme="minorEastAsia" w:hAnsi="Arial" w:cs="Arial"/>
          <w:b/>
          <w:sz w:val="26"/>
          <w:szCs w:val="26"/>
          <w:lang w:val="es-ES" w:eastAsia="es-MX"/>
        </w:rPr>
        <w:t xml:space="preserve"> **********</w:t>
      </w:r>
      <w:r w:rsidR="002678C2" w:rsidRPr="002001B2">
        <w:rPr>
          <w:rFonts w:ascii="Arial" w:eastAsiaTheme="minorEastAsia" w:hAnsi="Arial" w:cs="Arial"/>
          <w:b/>
          <w:sz w:val="26"/>
          <w:szCs w:val="26"/>
          <w:lang w:val="es-ES" w:eastAsia="es-MX"/>
        </w:rPr>
        <w:t xml:space="preserve">, </w:t>
      </w:r>
      <w:r w:rsidR="002001B2" w:rsidRPr="002001B2">
        <w:rPr>
          <w:rFonts w:ascii="Arial" w:eastAsia="Times New Roman" w:hAnsi="Arial" w:cs="Arial"/>
          <w:bCs/>
          <w:iCs/>
          <w:sz w:val="26"/>
          <w:szCs w:val="26"/>
          <w:lang w:eastAsia="es-ES"/>
        </w:rPr>
        <w:t xml:space="preserve">en el juicio de amparo </w:t>
      </w:r>
      <w:r w:rsidR="00C83B12" w:rsidRPr="00C83B12">
        <w:rPr>
          <w:rFonts w:ascii="Arial" w:eastAsia="Times New Roman" w:hAnsi="Arial" w:cs="Arial"/>
          <w:b/>
          <w:bCs/>
          <w:iCs/>
          <w:sz w:val="26"/>
          <w:szCs w:val="26"/>
          <w:lang w:eastAsia="es-ES"/>
        </w:rPr>
        <w:t>0</w:t>
      </w:r>
      <w:r w:rsidR="002678C2" w:rsidRPr="00B33CCB">
        <w:rPr>
          <w:rFonts w:ascii="Arial" w:eastAsia="Times New Roman" w:hAnsi="Arial" w:cs="Arial"/>
          <w:b/>
          <w:bCs/>
          <w:iCs/>
          <w:sz w:val="26"/>
          <w:szCs w:val="26"/>
          <w:lang w:eastAsia="es-ES"/>
        </w:rPr>
        <w:t>249</w:t>
      </w:r>
      <w:r w:rsidR="002001B2" w:rsidRPr="002001B2">
        <w:rPr>
          <w:rFonts w:ascii="Arial" w:eastAsia="Times New Roman" w:hAnsi="Arial" w:cs="Arial"/>
          <w:b/>
          <w:bCs/>
          <w:iCs/>
          <w:sz w:val="26"/>
          <w:szCs w:val="26"/>
          <w:lang w:eastAsia="es-ES"/>
        </w:rPr>
        <w:t xml:space="preserve">/2022. </w:t>
      </w:r>
    </w:p>
    <w:p w14:paraId="4D7523F3" w14:textId="0C3A7F29" w:rsidR="002001B2" w:rsidRPr="002001B2" w:rsidRDefault="00810821" w:rsidP="002001B2">
      <w:pPr>
        <w:spacing w:before="240" w:line="360" w:lineRule="auto"/>
        <w:jc w:val="center"/>
        <w:rPr>
          <w:rFonts w:ascii="Arial" w:eastAsiaTheme="minorEastAsia" w:hAnsi="Arial" w:cs="Arial"/>
          <w:b/>
          <w:bCs/>
          <w:sz w:val="26"/>
          <w:szCs w:val="26"/>
          <w:lang w:eastAsia="es-MX"/>
        </w:rPr>
      </w:pPr>
      <w:r>
        <w:rPr>
          <w:rFonts w:ascii="Arial" w:eastAsiaTheme="minorEastAsia" w:hAnsi="Arial" w:cs="Arial"/>
          <w:b/>
          <w:bCs/>
          <w:sz w:val="26"/>
          <w:szCs w:val="26"/>
          <w:lang w:eastAsia="es-MX"/>
        </w:rPr>
        <w:t>C</w:t>
      </w:r>
      <w:r w:rsidR="002001B2" w:rsidRPr="002001B2">
        <w:rPr>
          <w:rFonts w:ascii="Arial" w:eastAsiaTheme="minorEastAsia" w:hAnsi="Arial" w:cs="Arial"/>
          <w:b/>
          <w:bCs/>
          <w:sz w:val="26"/>
          <w:szCs w:val="26"/>
          <w:lang w:eastAsia="es-MX"/>
        </w:rPr>
        <w:t xml:space="preserve"> O N S I D E R A N D O</w:t>
      </w:r>
    </w:p>
    <w:p w14:paraId="21F10708" w14:textId="4BA4972B" w:rsidR="002001B2" w:rsidRPr="002001B2" w:rsidRDefault="00B75A41" w:rsidP="002001B2">
      <w:pPr>
        <w:widowControl w:val="0"/>
        <w:spacing w:before="240" w:after="0" w:line="360" w:lineRule="auto"/>
        <w:ind w:right="18" w:firstLine="708"/>
        <w:jc w:val="both"/>
        <w:rPr>
          <w:rFonts w:ascii="Arial" w:eastAsia="Times New Roman" w:hAnsi="Arial" w:cs="Arial"/>
          <w:bCs/>
          <w:iCs/>
          <w:sz w:val="26"/>
          <w:szCs w:val="26"/>
          <w:lang w:eastAsia="es-ES"/>
        </w:rPr>
      </w:pPr>
      <w:r>
        <w:rPr>
          <w:rFonts w:ascii="Arial" w:eastAsia="Times New Roman" w:hAnsi="Arial" w:cs="Arial"/>
          <w:b/>
          <w:bCs/>
          <w:iCs/>
          <w:sz w:val="26"/>
          <w:szCs w:val="26"/>
          <w:lang w:eastAsia="es-ES"/>
        </w:rPr>
        <w:t xml:space="preserve">5.- </w:t>
      </w:r>
      <w:r w:rsidR="002001B2" w:rsidRPr="002001B2">
        <w:rPr>
          <w:rFonts w:ascii="Arial" w:eastAsia="Times New Roman" w:hAnsi="Arial" w:cs="Arial"/>
          <w:b/>
          <w:bCs/>
          <w:iCs/>
          <w:sz w:val="26"/>
          <w:szCs w:val="26"/>
          <w:lang w:eastAsia="es-ES"/>
        </w:rPr>
        <w:t>PRIMERO.</w:t>
      </w:r>
      <w:r w:rsidR="005C59DD">
        <w:rPr>
          <w:rFonts w:ascii="Arial" w:eastAsia="Times New Roman" w:hAnsi="Arial" w:cs="Arial"/>
          <w:b/>
          <w:bCs/>
          <w:iCs/>
          <w:sz w:val="26"/>
          <w:szCs w:val="26"/>
          <w:lang w:eastAsia="es-ES"/>
        </w:rPr>
        <w:t xml:space="preserve"> CUMPLIMIENTO</w:t>
      </w:r>
      <w:r w:rsidR="00BB322B">
        <w:rPr>
          <w:rFonts w:ascii="Arial" w:eastAsia="Times New Roman" w:hAnsi="Arial" w:cs="Arial"/>
          <w:b/>
          <w:bCs/>
          <w:iCs/>
          <w:sz w:val="26"/>
          <w:szCs w:val="26"/>
          <w:lang w:eastAsia="es-ES"/>
        </w:rPr>
        <w:t xml:space="preserve">. </w:t>
      </w:r>
      <w:r w:rsidR="002001B2" w:rsidRPr="002001B2">
        <w:rPr>
          <w:rFonts w:ascii="Arial" w:eastAsia="Times New Roman" w:hAnsi="Arial" w:cs="Arial"/>
          <w:bCs/>
          <w:iCs/>
          <w:sz w:val="26"/>
          <w:szCs w:val="26"/>
          <w:lang w:eastAsia="es-ES"/>
        </w:rPr>
        <w:t xml:space="preserve">En cumplimiento a la referida ejecutoria de amparo de </w:t>
      </w:r>
      <w:r w:rsidR="00FF6113">
        <w:rPr>
          <w:rFonts w:ascii="Arial" w:eastAsia="Times New Roman" w:hAnsi="Arial" w:cs="Arial"/>
          <w:bCs/>
          <w:sz w:val="26"/>
          <w:szCs w:val="26"/>
          <w:lang w:eastAsia="es-ES"/>
        </w:rPr>
        <w:t>trece de jul</w:t>
      </w:r>
      <w:r w:rsidR="002001B2" w:rsidRPr="002001B2">
        <w:rPr>
          <w:rFonts w:ascii="Arial" w:eastAsia="Times New Roman" w:hAnsi="Arial" w:cs="Arial"/>
          <w:bCs/>
          <w:sz w:val="26"/>
          <w:szCs w:val="26"/>
          <w:lang w:eastAsia="es-ES"/>
        </w:rPr>
        <w:t>io de dos mil veintitrés</w:t>
      </w:r>
      <w:r w:rsidR="002001B2" w:rsidRPr="002001B2">
        <w:rPr>
          <w:rFonts w:ascii="Arial" w:eastAsia="Times New Roman" w:hAnsi="Arial" w:cs="Arial"/>
          <w:bCs/>
          <w:iCs/>
          <w:sz w:val="26"/>
          <w:szCs w:val="26"/>
          <w:lang w:eastAsia="es-ES"/>
        </w:rPr>
        <w:t xml:space="preserve">, se </w:t>
      </w:r>
      <w:r w:rsidR="002001B2" w:rsidRPr="002001B2">
        <w:rPr>
          <w:rFonts w:ascii="Arial" w:eastAsia="Times New Roman" w:hAnsi="Arial" w:cs="Arial"/>
          <w:b/>
          <w:bCs/>
          <w:iCs/>
          <w:sz w:val="26"/>
          <w:szCs w:val="26"/>
          <w:lang w:eastAsia="es-ES"/>
        </w:rPr>
        <w:t xml:space="preserve">deja insubsistente </w:t>
      </w:r>
      <w:r w:rsidR="002001B2" w:rsidRPr="002001B2">
        <w:rPr>
          <w:rFonts w:ascii="Arial" w:eastAsia="Times New Roman" w:hAnsi="Arial" w:cs="Arial"/>
          <w:bCs/>
          <w:iCs/>
          <w:sz w:val="26"/>
          <w:szCs w:val="26"/>
          <w:lang w:eastAsia="es-ES"/>
        </w:rPr>
        <w:t xml:space="preserve">la resolución de veintisiete de abril de dos mil veintidós, dictada por </w:t>
      </w:r>
      <w:r w:rsidR="00FF6113">
        <w:rPr>
          <w:rFonts w:ascii="Arial" w:eastAsia="Times New Roman" w:hAnsi="Arial" w:cs="Arial"/>
          <w:bCs/>
          <w:iCs/>
          <w:sz w:val="26"/>
          <w:szCs w:val="26"/>
          <w:lang w:eastAsia="es-ES"/>
        </w:rPr>
        <w:t>la</w:t>
      </w:r>
      <w:r w:rsidR="002001B2" w:rsidRPr="002001B2">
        <w:rPr>
          <w:rFonts w:ascii="Arial" w:eastAsia="Times New Roman" w:hAnsi="Arial" w:cs="Arial"/>
          <w:bCs/>
          <w:iCs/>
          <w:sz w:val="26"/>
          <w:szCs w:val="26"/>
          <w:lang w:eastAsia="es-ES"/>
        </w:rPr>
        <w:t xml:space="preserve"> Sala Superior del</w:t>
      </w:r>
      <w:r w:rsidR="00FF6113">
        <w:rPr>
          <w:rFonts w:ascii="Arial" w:eastAsia="Times New Roman" w:hAnsi="Arial" w:cs="Arial"/>
          <w:bCs/>
          <w:iCs/>
          <w:sz w:val="26"/>
          <w:szCs w:val="26"/>
          <w:lang w:eastAsia="es-ES"/>
        </w:rPr>
        <w:t xml:space="preserve"> entonces</w:t>
      </w:r>
      <w:r w:rsidR="002001B2" w:rsidRPr="002001B2">
        <w:rPr>
          <w:rFonts w:ascii="Arial" w:eastAsia="Times New Roman" w:hAnsi="Arial" w:cs="Arial"/>
          <w:bCs/>
          <w:iCs/>
          <w:sz w:val="26"/>
          <w:szCs w:val="26"/>
          <w:lang w:eastAsia="es-ES"/>
        </w:rPr>
        <w:t xml:space="preserve"> Tribunal de Justicia Administrativa del Estado de Oaxaca en el recurso de revisión </w:t>
      </w:r>
      <w:r w:rsidR="002001B2" w:rsidRPr="002001B2">
        <w:rPr>
          <w:rFonts w:ascii="Arial" w:eastAsia="Times New Roman" w:hAnsi="Arial" w:cs="Arial"/>
          <w:b/>
          <w:bCs/>
          <w:iCs/>
          <w:sz w:val="26"/>
          <w:szCs w:val="26"/>
          <w:lang w:eastAsia="es-ES"/>
        </w:rPr>
        <w:t>0</w:t>
      </w:r>
      <w:r w:rsidR="00FF6113">
        <w:rPr>
          <w:rFonts w:ascii="Arial" w:eastAsia="Times New Roman" w:hAnsi="Arial" w:cs="Arial"/>
          <w:b/>
          <w:bCs/>
          <w:iCs/>
          <w:sz w:val="26"/>
          <w:szCs w:val="26"/>
          <w:lang w:eastAsia="es-ES"/>
        </w:rPr>
        <w:t>102</w:t>
      </w:r>
      <w:r w:rsidR="002001B2" w:rsidRPr="002001B2">
        <w:rPr>
          <w:rFonts w:ascii="Arial" w:eastAsia="Times New Roman" w:hAnsi="Arial" w:cs="Arial"/>
          <w:b/>
          <w:bCs/>
          <w:iCs/>
          <w:sz w:val="26"/>
          <w:szCs w:val="26"/>
          <w:lang w:eastAsia="es-ES"/>
        </w:rPr>
        <w:t>/2021.</w:t>
      </w:r>
    </w:p>
    <w:p w14:paraId="36A78B02" w14:textId="675DE836" w:rsidR="002001B2" w:rsidRPr="002001B2" w:rsidRDefault="00B75A41" w:rsidP="00BB322B">
      <w:pPr>
        <w:spacing w:before="100" w:beforeAutospacing="1" w:after="0" w:line="360" w:lineRule="auto"/>
        <w:ind w:firstLine="708"/>
        <w:jc w:val="both"/>
        <w:rPr>
          <w:rFonts w:ascii="Arial" w:eastAsiaTheme="minorEastAsia" w:hAnsi="Arial" w:cs="Arial"/>
          <w:bCs/>
          <w:iCs/>
          <w:sz w:val="26"/>
          <w:szCs w:val="26"/>
          <w:lang w:val="es-ES" w:eastAsia="es-MX"/>
        </w:rPr>
      </w:pPr>
      <w:r>
        <w:rPr>
          <w:rFonts w:ascii="Arial" w:eastAsiaTheme="minorEastAsia" w:hAnsi="Arial" w:cs="Arial"/>
          <w:b/>
          <w:bCs/>
          <w:sz w:val="26"/>
          <w:szCs w:val="26"/>
          <w:lang w:val="es-ES" w:eastAsia="es-MX"/>
        </w:rPr>
        <w:t xml:space="preserve">6.- </w:t>
      </w:r>
      <w:r w:rsidR="002001B2" w:rsidRPr="002001B2">
        <w:rPr>
          <w:rFonts w:ascii="Arial" w:eastAsiaTheme="minorEastAsia" w:hAnsi="Arial" w:cs="Arial"/>
          <w:b/>
          <w:bCs/>
          <w:sz w:val="26"/>
          <w:szCs w:val="26"/>
          <w:lang w:val="es-ES" w:eastAsia="es-MX"/>
        </w:rPr>
        <w:t>SEGUNDO.</w:t>
      </w:r>
      <w:r w:rsidR="002001B2" w:rsidRPr="002001B2">
        <w:rPr>
          <w:rFonts w:ascii="Arial" w:eastAsiaTheme="minorEastAsia" w:hAnsi="Arial" w:cs="Arial"/>
          <w:bCs/>
          <w:sz w:val="26"/>
          <w:szCs w:val="26"/>
          <w:lang w:val="es-ES" w:eastAsia="es-MX"/>
        </w:rPr>
        <w:t xml:space="preserve"> </w:t>
      </w:r>
      <w:r w:rsidR="00BB322B" w:rsidRPr="002F7489">
        <w:rPr>
          <w:rFonts w:ascii="Arial" w:eastAsiaTheme="minorEastAsia" w:hAnsi="Arial" w:cs="Arial"/>
          <w:b/>
          <w:bCs/>
          <w:sz w:val="26"/>
          <w:szCs w:val="26"/>
          <w:lang w:val="es-ES" w:eastAsia="es-MX"/>
        </w:rPr>
        <w:t>COMPETENCIA.</w:t>
      </w:r>
      <w:r w:rsidR="00BB322B">
        <w:rPr>
          <w:rFonts w:ascii="Arial" w:eastAsiaTheme="minorEastAsia" w:hAnsi="Arial" w:cs="Arial"/>
          <w:bCs/>
          <w:sz w:val="26"/>
          <w:szCs w:val="26"/>
          <w:lang w:val="es-ES" w:eastAsia="es-MX"/>
        </w:rPr>
        <w:t xml:space="preserve"> </w:t>
      </w:r>
      <w:r w:rsidR="002001B2" w:rsidRPr="002001B2">
        <w:rPr>
          <w:rFonts w:ascii="Arial" w:eastAsiaTheme="minorEastAsia" w:hAnsi="Arial" w:cs="Arial"/>
          <w:bCs/>
          <w:iCs/>
          <w:sz w:val="26"/>
          <w:szCs w:val="26"/>
          <w:lang w:val="es-ES" w:eastAsia="es-MX"/>
        </w:rPr>
        <w:t xml:space="preserve">Esta Sala Superior es competente para conocer del presente asunto, conforme a lo dispuesto por los artículos 114 QUÁTER de la Constitución Política del Estado Libre y Soberano de Oaxaca; 1 párrafo segundo, 2, 4, fracción VIII, 23, 24, fracción I, 25, fracción </w:t>
      </w:r>
      <w:r w:rsidR="002001B2" w:rsidRPr="002001B2">
        <w:rPr>
          <w:rFonts w:ascii="Arial" w:eastAsiaTheme="minorEastAsia" w:hAnsi="Arial" w:cs="Arial"/>
          <w:bCs/>
          <w:iCs/>
          <w:sz w:val="26"/>
          <w:szCs w:val="26"/>
          <w:lang w:val="es-ES" w:eastAsia="es-MX"/>
        </w:rPr>
        <w:lastRenderedPageBreak/>
        <w:t>I y 27 de la Ley Orgánica del Tribunal de Justicia Administrativa del Estado de Oaxaca, vigente; así como los diversos 120, 125, 127, 129, 130, fracción I, 131, 231, 236 y 238 de la Ley de Procedimiento y Justicia Administrativa para el Estado de Oaxaca,</w:t>
      </w:r>
      <w:r w:rsidR="002001B2" w:rsidRPr="002001B2">
        <w:rPr>
          <w:rFonts w:ascii="Arial" w:eastAsiaTheme="minorEastAsia" w:hAnsi="Arial" w:cs="Arial"/>
          <w:sz w:val="26"/>
          <w:szCs w:val="26"/>
          <w:lang w:val="es-ES" w:eastAsia="es-MX"/>
        </w:rPr>
        <w:t xml:space="preserve"> dado que se trata de un recurso de revisión interpuesto en </w:t>
      </w:r>
      <w:r w:rsidR="002001B2" w:rsidRPr="002001B2">
        <w:rPr>
          <w:rFonts w:ascii="Arial" w:eastAsiaTheme="minorEastAsia" w:hAnsi="Arial" w:cs="Arial"/>
          <w:bCs/>
          <w:iCs/>
          <w:sz w:val="26"/>
          <w:szCs w:val="26"/>
          <w:lang w:val="es-ES" w:eastAsia="es-MX"/>
        </w:rPr>
        <w:t xml:space="preserve">contra del acuerdo </w:t>
      </w:r>
      <w:r w:rsidR="002001B2" w:rsidRPr="002001B2">
        <w:rPr>
          <w:rFonts w:ascii="Arial" w:eastAsiaTheme="minorEastAsia" w:hAnsi="Arial" w:cs="Arial"/>
          <w:sz w:val="26"/>
          <w:szCs w:val="26"/>
          <w:lang w:val="es-ES" w:eastAsia="es-MX"/>
        </w:rPr>
        <w:t xml:space="preserve">de </w:t>
      </w:r>
      <w:r w:rsidR="00C6533C">
        <w:rPr>
          <w:rFonts w:ascii="Arial" w:eastAsiaTheme="minorEastAsia" w:hAnsi="Arial" w:cs="Arial"/>
          <w:sz w:val="26"/>
          <w:szCs w:val="26"/>
          <w:lang w:val="es-ES" w:eastAsia="es-MX"/>
        </w:rPr>
        <w:t>nueve de marzo</w:t>
      </w:r>
      <w:r w:rsidR="002001B2" w:rsidRPr="002001B2">
        <w:rPr>
          <w:rFonts w:ascii="Arial" w:eastAsiaTheme="minorEastAsia" w:hAnsi="Arial" w:cs="Arial"/>
          <w:sz w:val="26"/>
          <w:szCs w:val="26"/>
          <w:lang w:val="es-ES" w:eastAsia="es-MX"/>
        </w:rPr>
        <w:t xml:space="preserve"> de dos mil veintiuno</w:t>
      </w:r>
      <w:r w:rsidR="002001B2" w:rsidRPr="002001B2">
        <w:rPr>
          <w:rFonts w:ascii="Arial" w:eastAsiaTheme="minorEastAsia" w:hAnsi="Arial" w:cs="Arial"/>
          <w:bCs/>
          <w:iCs/>
          <w:sz w:val="26"/>
          <w:szCs w:val="26"/>
          <w:lang w:val="es-ES" w:eastAsia="es-MX"/>
        </w:rPr>
        <w:t xml:space="preserve">, </w:t>
      </w:r>
      <w:r w:rsidR="002001B2" w:rsidRPr="002001B2">
        <w:rPr>
          <w:rFonts w:ascii="Arial" w:eastAsiaTheme="minorEastAsia" w:hAnsi="Arial" w:cs="Arial"/>
          <w:sz w:val="26"/>
          <w:szCs w:val="26"/>
          <w:lang w:val="es-ES" w:eastAsia="es-MX"/>
        </w:rPr>
        <w:t xml:space="preserve">dictado por la Segunda Sala Unitaria de Primera Instancia en el juicio de nulidad </w:t>
      </w:r>
      <w:r w:rsidR="002001B2" w:rsidRPr="002001B2">
        <w:rPr>
          <w:rFonts w:ascii="Arial" w:eastAsiaTheme="minorEastAsia" w:hAnsi="Arial" w:cs="Arial"/>
          <w:b/>
          <w:sz w:val="26"/>
          <w:szCs w:val="26"/>
          <w:lang w:val="es-ES" w:eastAsia="es-MX"/>
        </w:rPr>
        <w:t>0</w:t>
      </w:r>
      <w:r w:rsidR="00C6533C">
        <w:rPr>
          <w:rFonts w:ascii="Arial" w:eastAsiaTheme="minorEastAsia" w:hAnsi="Arial" w:cs="Arial"/>
          <w:b/>
          <w:sz w:val="26"/>
          <w:szCs w:val="26"/>
          <w:lang w:val="es-ES" w:eastAsia="es-MX"/>
        </w:rPr>
        <w:t>159</w:t>
      </w:r>
      <w:r w:rsidR="002001B2" w:rsidRPr="002001B2">
        <w:rPr>
          <w:rFonts w:ascii="Arial" w:eastAsiaTheme="minorEastAsia" w:hAnsi="Arial" w:cs="Arial"/>
          <w:b/>
          <w:sz w:val="26"/>
          <w:szCs w:val="26"/>
          <w:lang w:val="es-ES" w:eastAsia="es-MX"/>
        </w:rPr>
        <w:t>/2020</w:t>
      </w:r>
      <w:r w:rsidR="002001B2" w:rsidRPr="002001B2">
        <w:rPr>
          <w:rFonts w:ascii="Arial" w:eastAsiaTheme="minorEastAsia" w:hAnsi="Arial" w:cs="Arial"/>
          <w:bCs/>
          <w:iCs/>
          <w:sz w:val="26"/>
          <w:szCs w:val="26"/>
          <w:lang w:val="es-ES" w:eastAsia="es-MX"/>
        </w:rPr>
        <w:t xml:space="preserve">. </w:t>
      </w:r>
    </w:p>
    <w:p w14:paraId="548CA20B" w14:textId="0AF9241A" w:rsidR="002001B2" w:rsidRPr="002001B2" w:rsidRDefault="00B75A41" w:rsidP="002001B2">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b/>
          <w:sz w:val="26"/>
          <w:szCs w:val="26"/>
          <w:lang w:eastAsia="es-MX"/>
        </w:rPr>
        <w:t xml:space="preserve">7.- </w:t>
      </w:r>
      <w:r w:rsidR="002001B2" w:rsidRPr="002001B2">
        <w:rPr>
          <w:rFonts w:ascii="Arial" w:eastAsiaTheme="minorEastAsia" w:hAnsi="Arial" w:cs="Arial"/>
          <w:b/>
          <w:sz w:val="26"/>
          <w:szCs w:val="26"/>
          <w:lang w:eastAsia="es-MX"/>
        </w:rPr>
        <w:t>TERCERO</w:t>
      </w:r>
      <w:r w:rsidR="002001B2" w:rsidRPr="002001B2">
        <w:rPr>
          <w:rFonts w:ascii="Arial" w:eastAsiaTheme="minorEastAsia" w:hAnsi="Arial" w:cs="Arial"/>
          <w:sz w:val="26"/>
          <w:szCs w:val="26"/>
          <w:lang w:eastAsia="es-MX"/>
        </w:rPr>
        <w:t xml:space="preserve">. </w:t>
      </w:r>
      <w:r w:rsidRPr="00B75A41">
        <w:rPr>
          <w:rFonts w:ascii="Arial" w:eastAsiaTheme="minorEastAsia" w:hAnsi="Arial" w:cs="Arial"/>
          <w:b/>
          <w:sz w:val="26"/>
          <w:szCs w:val="26"/>
          <w:lang w:eastAsia="es-MX"/>
        </w:rPr>
        <w:t>AGRAVIOS.</w:t>
      </w:r>
      <w:r>
        <w:rPr>
          <w:rFonts w:ascii="Arial" w:eastAsiaTheme="minorEastAsia" w:hAnsi="Arial" w:cs="Arial"/>
          <w:sz w:val="26"/>
          <w:szCs w:val="26"/>
          <w:lang w:eastAsia="es-MX"/>
        </w:rPr>
        <w:t xml:space="preserve"> </w:t>
      </w:r>
      <w:r w:rsidR="002001B2" w:rsidRPr="002001B2">
        <w:rPr>
          <w:rFonts w:ascii="Arial" w:eastAsiaTheme="minorEastAsia" w:hAnsi="Arial" w:cs="Arial"/>
          <w:sz w:val="26"/>
          <w:szCs w:val="26"/>
          <w:lang w:eastAsia="es-MX"/>
        </w:rPr>
        <w:t xml:space="preserve">Los </w:t>
      </w:r>
      <w:r>
        <w:rPr>
          <w:rFonts w:ascii="Arial" w:eastAsiaTheme="minorEastAsia" w:hAnsi="Arial" w:cs="Arial"/>
          <w:sz w:val="26"/>
          <w:szCs w:val="26"/>
          <w:lang w:eastAsia="es-MX"/>
        </w:rPr>
        <w:t xml:space="preserve">argumentos </w:t>
      </w:r>
      <w:r w:rsidR="002001B2" w:rsidRPr="002001B2">
        <w:rPr>
          <w:rFonts w:ascii="Arial" w:eastAsiaTheme="minorEastAsia" w:hAnsi="Arial" w:cs="Arial"/>
          <w:sz w:val="26"/>
          <w:szCs w:val="26"/>
          <w:lang w:eastAsia="es-MX"/>
        </w:rPr>
        <w:t>hechos valer se encuentran expuestos en el escrito respectivo del recurrente, por lo que no existe necesidad de transcribirlos, al no transgredirse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Mayo de 2010, página 830, materia común, de rubro y texto siguientes:</w:t>
      </w:r>
    </w:p>
    <w:p w14:paraId="3231636D" w14:textId="77777777" w:rsidR="002001B2" w:rsidRPr="002001B2" w:rsidRDefault="002001B2" w:rsidP="002001B2">
      <w:pPr>
        <w:spacing w:after="0" w:line="360" w:lineRule="auto"/>
        <w:ind w:left="709" w:right="758"/>
        <w:jc w:val="both"/>
        <w:rPr>
          <w:rFonts w:ascii="Arial" w:eastAsiaTheme="minorEastAsia" w:hAnsi="Arial" w:cs="Arial"/>
          <w:b/>
          <w:i/>
          <w:lang w:eastAsia="es-MX"/>
        </w:rPr>
      </w:pPr>
      <w:r w:rsidRPr="002001B2">
        <w:rPr>
          <w:rFonts w:ascii="Arial" w:eastAsiaTheme="minorEastAsia" w:hAnsi="Arial" w:cs="Arial"/>
          <w:sz w:val="26"/>
          <w:szCs w:val="26"/>
          <w:lang w:eastAsia="es-MX"/>
        </w:rPr>
        <w:t>“</w:t>
      </w:r>
      <w:r w:rsidRPr="002001B2">
        <w:rPr>
          <w:rFonts w:ascii="Arial" w:eastAsiaTheme="minorEastAsia" w:hAnsi="Arial" w:cs="Arial"/>
          <w:b/>
          <w:i/>
          <w:lang w:eastAsia="es-MX"/>
        </w:rPr>
        <w:t>CONCEPTOS DE VIOLACIÓN O AGRAVIOS. PARA CUMPLIR CON LOS PRINCIPIOS DE CONGRUENCIA Y EXHAUSTIVIDAD EN LAS SENTENCIAS DE AMPARO ES INNECESARIA SU TRANSCRIPCIÓN.</w:t>
      </w:r>
    </w:p>
    <w:p w14:paraId="2BC027DD" w14:textId="77777777" w:rsidR="002001B2" w:rsidRPr="002001B2" w:rsidRDefault="002001B2" w:rsidP="002001B2">
      <w:pPr>
        <w:spacing w:after="0" w:line="360" w:lineRule="auto"/>
        <w:ind w:left="709" w:right="758"/>
        <w:jc w:val="both"/>
        <w:rPr>
          <w:rFonts w:ascii="Arial" w:eastAsiaTheme="minorEastAsia" w:hAnsi="Arial" w:cs="Arial"/>
          <w:sz w:val="26"/>
          <w:szCs w:val="26"/>
          <w:lang w:eastAsia="es-MX"/>
        </w:rPr>
      </w:pPr>
      <w:r w:rsidRPr="002001B2">
        <w:rPr>
          <w:rFonts w:ascii="Arial" w:eastAsiaTheme="minorEastAsia" w:hAnsi="Arial" w:cs="Arial"/>
          <w:i/>
          <w:lang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2001B2">
        <w:rPr>
          <w:rFonts w:ascii="Arial" w:eastAsiaTheme="minorEastAsia" w:hAnsi="Arial" w:cs="Arial"/>
          <w:sz w:val="26"/>
          <w:szCs w:val="26"/>
          <w:lang w:eastAsia="es-MX"/>
        </w:rPr>
        <w:t xml:space="preserve">” </w:t>
      </w:r>
    </w:p>
    <w:p w14:paraId="23B43289" w14:textId="27D2B202" w:rsidR="006C75A6" w:rsidRDefault="00B75A41" w:rsidP="008F00D3">
      <w:pPr>
        <w:spacing w:before="240" w:line="360" w:lineRule="auto"/>
        <w:ind w:firstLine="708"/>
        <w:jc w:val="both"/>
        <w:rPr>
          <w:rFonts w:ascii="Arial" w:eastAsia="Calibri" w:hAnsi="Arial" w:cs="Arial"/>
          <w:b/>
          <w:sz w:val="26"/>
          <w:szCs w:val="26"/>
          <w:lang w:eastAsia="es-MX"/>
        </w:rPr>
      </w:pPr>
      <w:r>
        <w:rPr>
          <w:rFonts w:ascii="Arial" w:eastAsia="Calibri" w:hAnsi="Arial" w:cs="Arial"/>
          <w:b/>
          <w:sz w:val="26"/>
          <w:szCs w:val="26"/>
          <w:lang w:eastAsia="es-MX"/>
        </w:rPr>
        <w:t xml:space="preserve">8.- </w:t>
      </w:r>
      <w:r w:rsidR="002001B2" w:rsidRPr="002001B2">
        <w:rPr>
          <w:rFonts w:ascii="Arial" w:eastAsia="Calibri" w:hAnsi="Arial" w:cs="Arial"/>
          <w:b/>
          <w:sz w:val="26"/>
          <w:szCs w:val="26"/>
          <w:lang w:eastAsia="es-MX"/>
        </w:rPr>
        <w:t>CUARTO.</w:t>
      </w:r>
      <w:r w:rsidR="008E0D54">
        <w:rPr>
          <w:rFonts w:ascii="Arial" w:eastAsia="Calibri" w:hAnsi="Arial" w:cs="Arial"/>
          <w:b/>
          <w:sz w:val="26"/>
          <w:szCs w:val="26"/>
          <w:lang w:eastAsia="es-MX"/>
        </w:rPr>
        <w:t xml:space="preserve">- </w:t>
      </w:r>
      <w:r w:rsidR="00E96D7B">
        <w:rPr>
          <w:rFonts w:ascii="Arial" w:eastAsia="Calibri" w:hAnsi="Arial" w:cs="Arial"/>
          <w:b/>
          <w:sz w:val="26"/>
          <w:szCs w:val="26"/>
          <w:lang w:eastAsia="es-MX"/>
        </w:rPr>
        <w:t xml:space="preserve">ESTUDIO DEL ASUNTO. </w:t>
      </w:r>
      <w:r w:rsidR="006C75A6">
        <w:rPr>
          <w:rFonts w:ascii="Arial" w:eastAsiaTheme="minorEastAsia" w:hAnsi="Arial" w:cs="Arial"/>
          <w:bCs/>
          <w:iCs/>
          <w:sz w:val="26"/>
          <w:szCs w:val="26"/>
          <w:lang w:eastAsia="es-MX"/>
        </w:rPr>
        <w:t>Ahora bien</w:t>
      </w:r>
      <w:r w:rsidR="006C75A6" w:rsidRPr="002001B2">
        <w:rPr>
          <w:rFonts w:ascii="Arial" w:eastAsiaTheme="minorEastAsia" w:hAnsi="Arial" w:cs="Arial"/>
          <w:bCs/>
          <w:iCs/>
          <w:sz w:val="26"/>
          <w:szCs w:val="26"/>
          <w:lang w:eastAsia="es-MX"/>
        </w:rPr>
        <w:t xml:space="preserve">, </w:t>
      </w:r>
      <w:r w:rsidR="00B3235A">
        <w:rPr>
          <w:rFonts w:ascii="Arial" w:eastAsiaTheme="minorEastAsia" w:hAnsi="Arial" w:cs="Arial"/>
          <w:bCs/>
          <w:iCs/>
          <w:sz w:val="26"/>
          <w:szCs w:val="26"/>
          <w:lang w:eastAsia="es-MX"/>
        </w:rPr>
        <w:t xml:space="preserve">los agravios expresados por el recurrente </w:t>
      </w:r>
      <w:r w:rsidR="00E96D7B">
        <w:rPr>
          <w:rFonts w:ascii="Arial" w:eastAsiaTheme="minorEastAsia" w:hAnsi="Arial" w:cs="Arial"/>
          <w:bCs/>
          <w:iCs/>
          <w:sz w:val="26"/>
          <w:szCs w:val="26"/>
          <w:lang w:eastAsia="es-MX"/>
        </w:rPr>
        <w:t xml:space="preserve">serán analizados </w:t>
      </w:r>
      <w:r w:rsidR="006C75A6" w:rsidRPr="002001B2">
        <w:rPr>
          <w:rFonts w:ascii="Arial" w:eastAsiaTheme="minorEastAsia" w:hAnsi="Arial" w:cs="Arial"/>
          <w:bCs/>
          <w:iCs/>
          <w:sz w:val="26"/>
          <w:szCs w:val="26"/>
          <w:lang w:eastAsia="es-MX"/>
        </w:rPr>
        <w:t xml:space="preserve">en estricto acatamiento </w:t>
      </w:r>
      <w:r w:rsidR="00BC17D1">
        <w:rPr>
          <w:rFonts w:ascii="Arial" w:eastAsiaTheme="minorEastAsia" w:hAnsi="Arial" w:cs="Arial"/>
          <w:bCs/>
          <w:iCs/>
          <w:sz w:val="26"/>
          <w:szCs w:val="26"/>
          <w:lang w:eastAsia="es-MX"/>
        </w:rPr>
        <w:t xml:space="preserve">a los lineamientos establecidos en la </w:t>
      </w:r>
      <w:r w:rsidR="006C75A6" w:rsidRPr="002001B2">
        <w:rPr>
          <w:rFonts w:ascii="Arial" w:eastAsiaTheme="minorEastAsia" w:hAnsi="Arial" w:cs="Arial"/>
          <w:bCs/>
          <w:iCs/>
          <w:sz w:val="26"/>
          <w:szCs w:val="26"/>
          <w:lang w:eastAsia="es-MX"/>
        </w:rPr>
        <w:t xml:space="preserve">ejecutoria de amparo de </w:t>
      </w:r>
      <w:r w:rsidR="006C75A6">
        <w:rPr>
          <w:rFonts w:ascii="Arial" w:eastAsiaTheme="minorEastAsia" w:hAnsi="Arial" w:cs="Arial"/>
          <w:bCs/>
          <w:sz w:val="26"/>
          <w:szCs w:val="26"/>
          <w:lang w:eastAsia="es-MX"/>
        </w:rPr>
        <w:t xml:space="preserve">trece de julio </w:t>
      </w:r>
      <w:r w:rsidR="006C75A6" w:rsidRPr="002001B2">
        <w:rPr>
          <w:rFonts w:ascii="Arial" w:eastAsiaTheme="minorEastAsia" w:hAnsi="Arial" w:cs="Arial"/>
          <w:bCs/>
          <w:sz w:val="26"/>
          <w:szCs w:val="26"/>
          <w:lang w:eastAsia="es-MX"/>
        </w:rPr>
        <w:t>de dos mil veintitrés</w:t>
      </w:r>
      <w:r w:rsidR="008F00D3">
        <w:rPr>
          <w:rFonts w:ascii="Arial" w:eastAsiaTheme="minorEastAsia" w:hAnsi="Arial" w:cs="Arial"/>
          <w:bCs/>
          <w:iCs/>
          <w:sz w:val="26"/>
          <w:szCs w:val="26"/>
          <w:lang w:eastAsia="es-MX"/>
        </w:rPr>
        <w:t>, en la</w:t>
      </w:r>
      <w:r w:rsidR="00BC17D1">
        <w:rPr>
          <w:rFonts w:ascii="Arial" w:eastAsiaTheme="minorEastAsia" w:hAnsi="Arial" w:cs="Arial"/>
          <w:bCs/>
          <w:iCs/>
          <w:sz w:val="26"/>
          <w:szCs w:val="26"/>
          <w:lang w:eastAsia="es-MX"/>
        </w:rPr>
        <w:t xml:space="preserve"> que el Primer Tribunal Colegiado en Materias Civil y </w:t>
      </w:r>
      <w:r w:rsidR="00BC17D1">
        <w:rPr>
          <w:rFonts w:ascii="Arial" w:eastAsiaTheme="minorEastAsia" w:hAnsi="Arial" w:cs="Arial"/>
          <w:bCs/>
          <w:iCs/>
          <w:sz w:val="26"/>
          <w:szCs w:val="26"/>
          <w:lang w:eastAsia="es-MX"/>
        </w:rPr>
        <w:lastRenderedPageBreak/>
        <w:t xml:space="preserve">Administrativa del Décimo tercer circuito, ha ordenado dictar una nueva sentencia </w:t>
      </w:r>
      <w:r w:rsidR="004E4562">
        <w:rPr>
          <w:rFonts w:ascii="Arial" w:eastAsiaTheme="minorEastAsia" w:hAnsi="Arial" w:cs="Arial"/>
          <w:bCs/>
          <w:iCs/>
          <w:sz w:val="26"/>
          <w:szCs w:val="26"/>
          <w:lang w:eastAsia="es-MX"/>
        </w:rPr>
        <w:t>en la que se estime que no se actualiza la causal de improcedencia relativa a la falta de interés jurídico del demandante, prevista en el artículo 164 de la Ley de Procedimiento y Justicia Administrativa para el Estado de Oaxaca, porque de acuerdo a ese Tribunal Colegiado</w:t>
      </w:r>
      <w:r w:rsidR="00B3235A">
        <w:rPr>
          <w:rFonts w:ascii="Arial" w:eastAsiaTheme="minorEastAsia" w:hAnsi="Arial" w:cs="Arial"/>
          <w:bCs/>
          <w:iCs/>
          <w:sz w:val="26"/>
          <w:szCs w:val="26"/>
          <w:lang w:eastAsia="es-MX"/>
        </w:rPr>
        <w:t xml:space="preserve"> </w:t>
      </w:r>
      <w:r w:rsidR="004E4562">
        <w:rPr>
          <w:rFonts w:ascii="Arial" w:eastAsiaTheme="minorEastAsia" w:hAnsi="Arial" w:cs="Arial"/>
          <w:bCs/>
          <w:iCs/>
          <w:sz w:val="26"/>
          <w:szCs w:val="26"/>
          <w:lang w:eastAsia="es-MX"/>
        </w:rPr>
        <w:t>no puede estimarse que el interés jurídico sea</w:t>
      </w:r>
      <w:r w:rsidR="00B3235A">
        <w:rPr>
          <w:rFonts w:ascii="Arial" w:eastAsiaTheme="minorEastAsia" w:hAnsi="Arial" w:cs="Arial"/>
          <w:bCs/>
          <w:iCs/>
          <w:sz w:val="26"/>
          <w:szCs w:val="26"/>
          <w:lang w:eastAsia="es-MX"/>
        </w:rPr>
        <w:t xml:space="preserve"> un requisito </w:t>
      </w:r>
      <w:r w:rsidR="008F00D3">
        <w:rPr>
          <w:rFonts w:ascii="Arial" w:eastAsiaTheme="minorEastAsia" w:hAnsi="Arial" w:cs="Arial"/>
          <w:bCs/>
          <w:iCs/>
          <w:sz w:val="26"/>
          <w:szCs w:val="26"/>
          <w:lang w:eastAsia="es-MX"/>
        </w:rPr>
        <w:t>de admisibilidad de la demanda.</w:t>
      </w:r>
    </w:p>
    <w:p w14:paraId="58245294" w14:textId="7DAAF2CA" w:rsidR="00D9333D" w:rsidRDefault="00B75A41" w:rsidP="002001B2">
      <w:pPr>
        <w:spacing w:before="240" w:line="360" w:lineRule="auto"/>
        <w:ind w:firstLine="708"/>
        <w:jc w:val="both"/>
        <w:rPr>
          <w:rFonts w:ascii="Arial" w:eastAsia="Calibri" w:hAnsi="Arial" w:cs="Arial"/>
          <w:sz w:val="26"/>
          <w:szCs w:val="26"/>
          <w:lang w:eastAsia="es-MX"/>
        </w:rPr>
      </w:pPr>
      <w:r w:rsidRPr="001B1C6B">
        <w:rPr>
          <w:rFonts w:ascii="Arial" w:eastAsia="Calibri" w:hAnsi="Arial" w:cs="Arial"/>
          <w:b/>
          <w:sz w:val="26"/>
          <w:szCs w:val="26"/>
          <w:lang w:eastAsia="es-MX"/>
        </w:rPr>
        <w:t>9.-</w:t>
      </w:r>
      <w:r>
        <w:rPr>
          <w:rFonts w:ascii="Arial" w:eastAsia="Calibri" w:hAnsi="Arial" w:cs="Arial"/>
          <w:sz w:val="26"/>
          <w:szCs w:val="26"/>
          <w:lang w:eastAsia="es-MX"/>
        </w:rPr>
        <w:t xml:space="preserve"> </w:t>
      </w:r>
      <w:r w:rsidR="008F00D3" w:rsidRPr="008F00D3">
        <w:rPr>
          <w:rFonts w:ascii="Arial" w:eastAsia="Calibri" w:hAnsi="Arial" w:cs="Arial"/>
          <w:sz w:val="26"/>
          <w:szCs w:val="26"/>
          <w:lang w:eastAsia="es-MX"/>
        </w:rPr>
        <w:t xml:space="preserve">Bajo esa consideración, se observa que </w:t>
      </w:r>
      <w:r w:rsidR="008F00D3">
        <w:rPr>
          <w:rFonts w:ascii="Arial" w:eastAsia="Calibri" w:hAnsi="Arial" w:cs="Arial"/>
          <w:sz w:val="26"/>
          <w:szCs w:val="26"/>
          <w:lang w:eastAsia="es-MX"/>
        </w:rPr>
        <w:t>e</w:t>
      </w:r>
      <w:r w:rsidR="00D9333D">
        <w:rPr>
          <w:rFonts w:ascii="Arial" w:eastAsia="Calibri" w:hAnsi="Arial" w:cs="Arial"/>
          <w:sz w:val="26"/>
          <w:szCs w:val="26"/>
          <w:lang w:eastAsia="es-MX"/>
        </w:rPr>
        <w:t xml:space="preserve">n el </w:t>
      </w:r>
      <w:r w:rsidR="00D9333D" w:rsidRPr="006E537C">
        <w:rPr>
          <w:rFonts w:ascii="Arial" w:eastAsia="Calibri" w:hAnsi="Arial" w:cs="Arial"/>
          <w:b/>
          <w:sz w:val="26"/>
          <w:szCs w:val="26"/>
          <w:lang w:eastAsia="es-MX"/>
        </w:rPr>
        <w:t>primer agravio</w:t>
      </w:r>
      <w:r w:rsidR="00D9333D">
        <w:rPr>
          <w:rFonts w:ascii="Arial" w:eastAsia="Calibri" w:hAnsi="Arial" w:cs="Arial"/>
          <w:sz w:val="26"/>
          <w:szCs w:val="26"/>
          <w:lang w:eastAsia="es-MX"/>
        </w:rPr>
        <w:t>, el recurrente alega que el magistrado instructor viola en su perjuicio el principio de exhaustividad previsto en el artículo 16 constitucional, porque en el acto impugnado omitió estudiar los razonamientos que vertió por escrito recibido el ocho de marzo de dos mil veintiuno, con el folio 67/2021 y con los que afirma haber dado cumplimiento al requerimiento formulado en auto de veinte de noviembre de dos mil veinte.</w:t>
      </w:r>
    </w:p>
    <w:p w14:paraId="03C7F29E" w14:textId="5534B111" w:rsidR="00D9333D" w:rsidRPr="00334D6D" w:rsidRDefault="00B75A41" w:rsidP="002001B2">
      <w:pPr>
        <w:spacing w:before="240" w:line="360" w:lineRule="auto"/>
        <w:ind w:firstLine="708"/>
        <w:jc w:val="both"/>
        <w:rPr>
          <w:rFonts w:ascii="Arial" w:eastAsia="Calibri" w:hAnsi="Arial" w:cs="Arial"/>
          <w:i/>
          <w:sz w:val="26"/>
          <w:szCs w:val="26"/>
          <w:lang w:eastAsia="es-MX"/>
        </w:rPr>
      </w:pPr>
      <w:r>
        <w:rPr>
          <w:rFonts w:ascii="Arial" w:eastAsia="Calibri" w:hAnsi="Arial" w:cs="Arial"/>
          <w:sz w:val="26"/>
          <w:szCs w:val="26"/>
          <w:lang w:eastAsia="es-MX"/>
        </w:rPr>
        <w:t xml:space="preserve">10.- </w:t>
      </w:r>
      <w:r w:rsidR="00D9333D">
        <w:rPr>
          <w:rFonts w:ascii="Arial" w:eastAsia="Calibri" w:hAnsi="Arial" w:cs="Arial"/>
          <w:sz w:val="26"/>
          <w:szCs w:val="26"/>
          <w:lang w:eastAsia="es-MX"/>
        </w:rPr>
        <w:t xml:space="preserve">Refiere que en el auto </w:t>
      </w:r>
      <w:r w:rsidR="008C7650">
        <w:rPr>
          <w:rFonts w:ascii="Arial" w:eastAsia="Calibri" w:hAnsi="Arial" w:cs="Arial"/>
          <w:sz w:val="26"/>
          <w:szCs w:val="26"/>
          <w:lang w:eastAsia="es-MX"/>
        </w:rPr>
        <w:t xml:space="preserve">de veinte de noviembre de dos mil veinte, se le requirió para que acreditara su interés jurídico para acudir a juicio, por lo que expuso en su escrito de cumplimiento, que el interés jurídico para comparecer a juicio lo acreditó con la exhibición del original del acta de infracción, pero que la A quo no entró al estudio de los mismos y por ello violó el principio de exhaustividad,  ya que el instructor estaba obligado a resolver todas las consideraciones sometidas a su conocimiento. Invoca la tesis de rubro: </w:t>
      </w:r>
      <w:r w:rsidR="008C7650" w:rsidRPr="00334D6D">
        <w:rPr>
          <w:rFonts w:ascii="Arial" w:eastAsia="Calibri" w:hAnsi="Arial" w:cs="Arial"/>
          <w:i/>
          <w:sz w:val="26"/>
          <w:szCs w:val="26"/>
          <w:lang w:eastAsia="es-MX"/>
        </w:rPr>
        <w:t>CONCEPTOS DE VIOLACIÓN. PARA QUE SE ESTUDIEN, BASTA CON EXPRESAR CLARAMENTE EN LA DEMANDA DE GARANTÍAS, LA CAUSA DE PEDIR”.</w:t>
      </w:r>
    </w:p>
    <w:p w14:paraId="13154DEF" w14:textId="16707FA2" w:rsidR="008C7650" w:rsidRPr="00334D6D" w:rsidRDefault="00B75A41" w:rsidP="002001B2">
      <w:pPr>
        <w:spacing w:before="240" w:line="360" w:lineRule="auto"/>
        <w:ind w:firstLine="708"/>
        <w:jc w:val="both"/>
        <w:rPr>
          <w:rFonts w:ascii="Arial" w:eastAsia="Calibri" w:hAnsi="Arial" w:cs="Arial"/>
          <w:i/>
          <w:sz w:val="26"/>
          <w:szCs w:val="26"/>
          <w:lang w:eastAsia="es-MX"/>
        </w:rPr>
      </w:pPr>
      <w:r>
        <w:rPr>
          <w:rFonts w:ascii="Arial" w:eastAsia="Calibri" w:hAnsi="Arial" w:cs="Arial"/>
          <w:sz w:val="26"/>
          <w:szCs w:val="26"/>
          <w:lang w:eastAsia="es-MX"/>
        </w:rPr>
        <w:t xml:space="preserve">11.- </w:t>
      </w:r>
      <w:r w:rsidR="008C7650">
        <w:rPr>
          <w:rFonts w:ascii="Arial" w:eastAsia="Calibri" w:hAnsi="Arial" w:cs="Arial"/>
          <w:sz w:val="26"/>
          <w:szCs w:val="26"/>
          <w:lang w:eastAsia="es-MX"/>
        </w:rPr>
        <w:t xml:space="preserve">En el </w:t>
      </w:r>
      <w:r w:rsidR="008C7650" w:rsidRPr="006E537C">
        <w:rPr>
          <w:rFonts w:ascii="Arial" w:eastAsia="Calibri" w:hAnsi="Arial" w:cs="Arial"/>
          <w:b/>
          <w:sz w:val="26"/>
          <w:szCs w:val="26"/>
          <w:lang w:eastAsia="es-MX"/>
        </w:rPr>
        <w:t>segundo agravio</w:t>
      </w:r>
      <w:r w:rsidR="008C7650">
        <w:rPr>
          <w:rFonts w:ascii="Arial" w:eastAsia="Calibri" w:hAnsi="Arial" w:cs="Arial"/>
          <w:sz w:val="26"/>
          <w:szCs w:val="26"/>
          <w:lang w:eastAsia="es-MX"/>
        </w:rPr>
        <w:t xml:space="preserve">, sostiene el inconforme que el acuerdo impugnado es violatorio del artículo 16 constitucional, </w:t>
      </w:r>
      <w:r w:rsidR="00DC4EDD">
        <w:rPr>
          <w:rFonts w:ascii="Arial" w:eastAsia="Calibri" w:hAnsi="Arial" w:cs="Arial"/>
          <w:sz w:val="26"/>
          <w:szCs w:val="26"/>
          <w:lang w:eastAsia="es-MX"/>
        </w:rPr>
        <w:t>porque el Magistrado de la Segunda Sala le requirió para que exhibiera la tarjeta de circulación del vehículo infraccionado o copia certificada de la misma, esto, para acreditar el interés legítimo y el interés jur</w:t>
      </w:r>
      <w:r w:rsidR="005158D0">
        <w:rPr>
          <w:rFonts w:ascii="Arial" w:eastAsia="Calibri" w:hAnsi="Arial" w:cs="Arial"/>
          <w:sz w:val="26"/>
          <w:szCs w:val="26"/>
          <w:lang w:eastAsia="es-MX"/>
        </w:rPr>
        <w:t xml:space="preserve">ídico, pero que el magistrado instructor no indicó el precepto y el ordenamiento legal, en el que prevé que sólo con la tarjeta de circulación se acredita el interés para promover el juicio de nulidad, por lo cual sostiene el recurrente que el requerimiento y apercibimiento carezcan de la debida </w:t>
      </w:r>
      <w:r w:rsidR="00410081">
        <w:rPr>
          <w:rFonts w:ascii="Arial" w:eastAsia="Calibri" w:hAnsi="Arial" w:cs="Arial"/>
          <w:sz w:val="26"/>
          <w:szCs w:val="26"/>
          <w:lang w:eastAsia="es-MX"/>
        </w:rPr>
        <w:t xml:space="preserve">fundamentación y motivación que está obligado a observar el inferior y al no hacerlo, es evidente que su determinación es ilegal. Cita la tesis de rubro: </w:t>
      </w:r>
      <w:r w:rsidR="00410081" w:rsidRPr="00334D6D">
        <w:rPr>
          <w:rFonts w:ascii="Arial" w:eastAsia="Calibri" w:hAnsi="Arial" w:cs="Arial"/>
          <w:i/>
          <w:sz w:val="26"/>
          <w:szCs w:val="26"/>
          <w:lang w:eastAsia="es-MX"/>
        </w:rPr>
        <w:t>“FUNDAMENTACIÓN Y MOTIVACION DE LAS RESOLUCIONES JURISDICCIONALES, DEBEN ANALIZARSE A LA LUZ DE LOS ARTÍCULOS 14 Y 16 DE LA CONSTITUCION POLÍTICA DE LOS ESTADOS UNIDOS MEXICANOS, RESPECTIVAMENTE”.</w:t>
      </w:r>
    </w:p>
    <w:p w14:paraId="59A6EAA5" w14:textId="7EC673FE" w:rsidR="00DC4EDD" w:rsidRPr="00197A87" w:rsidRDefault="00B75A41" w:rsidP="002001B2">
      <w:pPr>
        <w:spacing w:before="240" w:line="360" w:lineRule="auto"/>
        <w:ind w:firstLine="708"/>
        <w:jc w:val="both"/>
        <w:rPr>
          <w:rFonts w:ascii="Arial" w:eastAsia="Calibri" w:hAnsi="Arial" w:cs="Arial"/>
          <w:b/>
          <w:sz w:val="26"/>
          <w:szCs w:val="26"/>
          <w:lang w:eastAsia="es-MX"/>
        </w:rPr>
      </w:pPr>
      <w:r>
        <w:rPr>
          <w:rFonts w:ascii="Arial" w:eastAsia="Calibri" w:hAnsi="Arial" w:cs="Arial"/>
          <w:sz w:val="26"/>
          <w:szCs w:val="26"/>
          <w:lang w:eastAsia="es-MX"/>
        </w:rPr>
        <w:lastRenderedPageBreak/>
        <w:t xml:space="preserve">12.- </w:t>
      </w:r>
      <w:r w:rsidR="002C5091">
        <w:rPr>
          <w:rFonts w:ascii="Arial" w:eastAsia="Calibri" w:hAnsi="Arial" w:cs="Arial"/>
          <w:sz w:val="26"/>
          <w:szCs w:val="26"/>
          <w:lang w:eastAsia="es-MX"/>
        </w:rPr>
        <w:t xml:space="preserve">En cumplimiento a la ejecutoria de amparo, esta Sala Superior califica como </w:t>
      </w:r>
      <w:r w:rsidR="002C5091" w:rsidRPr="00BC211E">
        <w:rPr>
          <w:rFonts w:ascii="Arial" w:eastAsia="Calibri" w:hAnsi="Arial" w:cs="Arial"/>
          <w:b/>
          <w:sz w:val="26"/>
          <w:szCs w:val="26"/>
          <w:lang w:eastAsia="es-MX"/>
        </w:rPr>
        <w:t>fundados</w:t>
      </w:r>
      <w:r w:rsidR="002C5091">
        <w:rPr>
          <w:rFonts w:ascii="Arial" w:eastAsia="Calibri" w:hAnsi="Arial" w:cs="Arial"/>
          <w:sz w:val="26"/>
          <w:szCs w:val="26"/>
          <w:lang w:eastAsia="es-MX"/>
        </w:rPr>
        <w:t xml:space="preserve"> </w:t>
      </w:r>
      <w:r w:rsidR="00600794">
        <w:rPr>
          <w:rFonts w:ascii="Arial" w:eastAsia="Calibri" w:hAnsi="Arial" w:cs="Arial"/>
          <w:sz w:val="26"/>
          <w:szCs w:val="26"/>
          <w:lang w:eastAsia="es-MX"/>
        </w:rPr>
        <w:t>los agravios del recurrente</w:t>
      </w:r>
      <w:r w:rsidR="00600794" w:rsidRPr="002C5091">
        <w:rPr>
          <w:rFonts w:ascii="Arial" w:eastAsia="Calibri" w:hAnsi="Arial" w:cs="Arial"/>
          <w:sz w:val="26"/>
          <w:szCs w:val="26"/>
          <w:lang w:eastAsia="es-MX"/>
        </w:rPr>
        <w:t>.</w:t>
      </w:r>
    </w:p>
    <w:p w14:paraId="0978D484" w14:textId="1C57DF34" w:rsidR="00600794" w:rsidRDefault="00600794" w:rsidP="00600794">
      <w:pPr>
        <w:spacing w:before="240" w:line="360" w:lineRule="auto"/>
        <w:jc w:val="both"/>
        <w:rPr>
          <w:rFonts w:ascii="Arial" w:eastAsia="Calibri" w:hAnsi="Arial" w:cs="Arial"/>
          <w:sz w:val="26"/>
          <w:szCs w:val="26"/>
          <w:lang w:eastAsia="es-MX"/>
        </w:rPr>
      </w:pPr>
      <w:r>
        <w:rPr>
          <w:rFonts w:ascii="Arial" w:eastAsia="Calibri" w:hAnsi="Arial" w:cs="Arial"/>
          <w:sz w:val="26"/>
          <w:szCs w:val="26"/>
          <w:lang w:eastAsia="es-MX"/>
        </w:rPr>
        <w:tab/>
      </w:r>
      <w:r w:rsidR="00B75A41">
        <w:rPr>
          <w:rFonts w:ascii="Arial" w:eastAsia="Calibri" w:hAnsi="Arial" w:cs="Arial"/>
          <w:sz w:val="26"/>
          <w:szCs w:val="26"/>
          <w:lang w:eastAsia="es-MX"/>
        </w:rPr>
        <w:t xml:space="preserve">13.- </w:t>
      </w:r>
      <w:r>
        <w:rPr>
          <w:rFonts w:ascii="Arial" w:eastAsia="Calibri" w:hAnsi="Arial" w:cs="Arial"/>
          <w:sz w:val="26"/>
          <w:szCs w:val="26"/>
          <w:lang w:eastAsia="es-MX"/>
        </w:rPr>
        <w:t>Para empezar</w:t>
      </w:r>
      <w:r w:rsidR="009314DA">
        <w:rPr>
          <w:rFonts w:ascii="Arial" w:eastAsia="Calibri" w:hAnsi="Arial" w:cs="Arial"/>
          <w:sz w:val="26"/>
          <w:szCs w:val="26"/>
          <w:lang w:eastAsia="es-MX"/>
        </w:rPr>
        <w:t>, es pertinente señalar que,</w:t>
      </w:r>
      <w:r w:rsidR="006852F4" w:rsidRPr="006852F4">
        <w:rPr>
          <w:rFonts w:ascii="Arial" w:eastAsia="Calibri" w:hAnsi="Arial" w:cs="Arial"/>
          <w:sz w:val="26"/>
          <w:szCs w:val="26"/>
          <w:lang w:eastAsia="es-MX"/>
        </w:rPr>
        <w:t xml:space="preserve"> de las constancias procesales que integran el expediente de Primera Instancia, remitido a esta Sala Superior para la tramitación del presente recurso de revisión, al cual se le confiere valor probatorio pleno en términ</w:t>
      </w:r>
      <w:r w:rsidR="009314DA">
        <w:rPr>
          <w:rFonts w:ascii="Arial" w:eastAsia="Calibri" w:hAnsi="Arial" w:cs="Arial"/>
          <w:sz w:val="26"/>
          <w:szCs w:val="26"/>
          <w:lang w:eastAsia="es-MX"/>
        </w:rPr>
        <w:t>os del artículo 203 fracción I</w:t>
      </w:r>
      <w:r w:rsidR="009314DA">
        <w:rPr>
          <w:rStyle w:val="Refdenotaalpie"/>
          <w:rFonts w:ascii="Arial" w:eastAsia="Calibri" w:hAnsi="Arial" w:cs="Arial"/>
          <w:sz w:val="26"/>
          <w:szCs w:val="26"/>
          <w:lang w:eastAsia="es-MX"/>
        </w:rPr>
        <w:footnoteReference w:id="1"/>
      </w:r>
      <w:r w:rsidR="009314DA">
        <w:rPr>
          <w:rFonts w:ascii="Arial" w:eastAsia="Calibri" w:hAnsi="Arial" w:cs="Arial"/>
          <w:sz w:val="26"/>
          <w:szCs w:val="26"/>
          <w:lang w:eastAsia="es-MX"/>
        </w:rPr>
        <w:t xml:space="preserve"> </w:t>
      </w:r>
      <w:r w:rsidR="006852F4" w:rsidRPr="006852F4">
        <w:rPr>
          <w:rFonts w:ascii="Arial" w:eastAsia="Calibri" w:hAnsi="Arial" w:cs="Arial"/>
          <w:sz w:val="26"/>
          <w:szCs w:val="26"/>
          <w:lang w:eastAsia="es-MX"/>
        </w:rPr>
        <w:t>de la Ley de Procedimiento y Justicia Administrativa para el Estado de Oaxaca, al tratarse de actuaciones judiciales,</w:t>
      </w:r>
      <w:r w:rsidR="006852F4">
        <w:rPr>
          <w:rFonts w:ascii="Arial" w:eastAsia="Calibri" w:hAnsi="Arial" w:cs="Arial"/>
          <w:sz w:val="26"/>
          <w:szCs w:val="26"/>
          <w:lang w:eastAsia="es-MX"/>
        </w:rPr>
        <w:t xml:space="preserve"> </w:t>
      </w:r>
      <w:r w:rsidR="009314DA">
        <w:rPr>
          <w:rFonts w:ascii="Arial" w:eastAsia="Calibri" w:hAnsi="Arial" w:cs="Arial"/>
          <w:sz w:val="26"/>
          <w:szCs w:val="26"/>
          <w:lang w:eastAsia="es-MX"/>
        </w:rPr>
        <w:t xml:space="preserve">se observa que: </w:t>
      </w:r>
    </w:p>
    <w:p w14:paraId="0B52BE7D" w14:textId="1FCE1D6F" w:rsidR="00E975ED" w:rsidRDefault="00B75A41" w:rsidP="00F5680F">
      <w:pPr>
        <w:spacing w:before="240" w:line="360" w:lineRule="auto"/>
        <w:ind w:firstLine="708"/>
        <w:jc w:val="both"/>
        <w:rPr>
          <w:rFonts w:ascii="Arial" w:eastAsia="Calibri" w:hAnsi="Arial" w:cs="Arial"/>
          <w:sz w:val="26"/>
          <w:szCs w:val="26"/>
          <w:lang w:eastAsia="es-MX"/>
        </w:rPr>
      </w:pPr>
      <w:r>
        <w:rPr>
          <w:rFonts w:ascii="Arial" w:eastAsia="Calibri" w:hAnsi="Arial" w:cs="Arial"/>
          <w:sz w:val="26"/>
          <w:szCs w:val="26"/>
          <w:lang w:eastAsia="es-MX"/>
        </w:rPr>
        <w:t xml:space="preserve">14.- </w:t>
      </w:r>
      <w:r w:rsidR="009314DA" w:rsidRPr="00BB322B">
        <w:rPr>
          <w:rFonts w:ascii="Arial" w:eastAsia="Calibri" w:hAnsi="Arial" w:cs="Arial"/>
          <w:sz w:val="26"/>
          <w:szCs w:val="26"/>
          <w:lang w:eastAsia="es-MX"/>
        </w:rPr>
        <w:t xml:space="preserve">El tres de noviembre de dos mil veinte, </w:t>
      </w:r>
      <w:r w:rsidR="004428CF">
        <w:rPr>
          <w:rFonts w:ascii="Arial" w:eastAsiaTheme="minorEastAsia" w:hAnsi="Arial" w:cs="Arial"/>
          <w:b/>
          <w:sz w:val="26"/>
          <w:szCs w:val="26"/>
          <w:lang w:val="es-ES" w:eastAsia="es-MX"/>
        </w:rPr>
        <w:t>**********</w:t>
      </w:r>
      <w:r w:rsidR="007C7165" w:rsidRPr="00BB322B">
        <w:rPr>
          <w:rFonts w:ascii="Arial" w:eastAsiaTheme="minorEastAsia" w:hAnsi="Arial" w:cs="Arial"/>
          <w:b/>
          <w:bCs/>
          <w:sz w:val="26"/>
          <w:szCs w:val="26"/>
          <w:lang w:eastAsia="es-MX"/>
        </w:rPr>
        <w:t xml:space="preserve">, </w:t>
      </w:r>
      <w:r w:rsidR="002B0736" w:rsidRPr="00BB322B">
        <w:rPr>
          <w:rFonts w:ascii="Arial" w:eastAsiaTheme="minorEastAsia" w:hAnsi="Arial" w:cs="Arial"/>
          <w:bCs/>
          <w:sz w:val="26"/>
          <w:szCs w:val="26"/>
          <w:lang w:eastAsia="es-MX"/>
        </w:rPr>
        <w:t xml:space="preserve">demandó la nulidad </w:t>
      </w:r>
      <w:r w:rsidR="00242E16" w:rsidRPr="00BB322B">
        <w:rPr>
          <w:rFonts w:ascii="Arial" w:eastAsiaTheme="minorEastAsia" w:hAnsi="Arial" w:cs="Arial"/>
          <w:bCs/>
          <w:sz w:val="26"/>
          <w:szCs w:val="26"/>
          <w:lang w:eastAsia="es-MX"/>
        </w:rPr>
        <w:t>del acta de infracción con número de folio 6312</w:t>
      </w:r>
      <w:r w:rsidR="00154772" w:rsidRPr="00BB322B">
        <w:rPr>
          <w:rFonts w:ascii="Arial" w:eastAsiaTheme="minorEastAsia" w:hAnsi="Arial" w:cs="Arial"/>
          <w:bCs/>
          <w:sz w:val="26"/>
          <w:szCs w:val="26"/>
          <w:lang w:eastAsia="es-MX"/>
        </w:rPr>
        <w:t xml:space="preserve"> A</w:t>
      </w:r>
      <w:r w:rsidR="00242E16">
        <w:rPr>
          <w:rStyle w:val="Refdenotaalpie"/>
          <w:rFonts w:ascii="Arial" w:eastAsiaTheme="minorEastAsia" w:hAnsi="Arial" w:cs="Arial"/>
          <w:bCs/>
          <w:sz w:val="26"/>
          <w:szCs w:val="26"/>
          <w:lang w:eastAsia="es-MX"/>
        </w:rPr>
        <w:footnoteReference w:id="2"/>
      </w:r>
      <w:r w:rsidR="00154772" w:rsidRPr="00BB322B">
        <w:rPr>
          <w:rFonts w:ascii="Arial" w:eastAsiaTheme="minorEastAsia" w:hAnsi="Arial" w:cs="Arial"/>
          <w:bCs/>
          <w:sz w:val="26"/>
          <w:szCs w:val="26"/>
          <w:lang w:eastAsia="es-MX"/>
        </w:rPr>
        <w:t>, de dieciséis de octubre de dos mil veinte, levantada por el Policía Vial con número estadístico 249, adscrito a la S</w:t>
      </w:r>
      <w:r w:rsidR="00E975ED" w:rsidRPr="00BB322B">
        <w:rPr>
          <w:rFonts w:ascii="Arial" w:eastAsiaTheme="minorEastAsia" w:hAnsi="Arial" w:cs="Arial"/>
          <w:bCs/>
          <w:sz w:val="26"/>
          <w:szCs w:val="26"/>
          <w:lang w:eastAsia="es-MX"/>
        </w:rPr>
        <w:t>ubdirección de Tránsito y Movilidad del Municipio de Oaxaca de Juárez.</w:t>
      </w:r>
      <w:r w:rsidR="00F5680F">
        <w:rPr>
          <w:rFonts w:ascii="Arial" w:eastAsiaTheme="minorEastAsia" w:hAnsi="Arial" w:cs="Arial"/>
          <w:bCs/>
          <w:sz w:val="26"/>
          <w:szCs w:val="26"/>
          <w:lang w:eastAsia="es-MX"/>
        </w:rPr>
        <w:t xml:space="preserve"> </w:t>
      </w:r>
      <w:r w:rsidR="00E975ED">
        <w:rPr>
          <w:rFonts w:ascii="Arial" w:eastAsia="Calibri" w:hAnsi="Arial" w:cs="Arial"/>
          <w:sz w:val="26"/>
          <w:szCs w:val="26"/>
          <w:lang w:eastAsia="es-MX"/>
        </w:rPr>
        <w:t>Cabe mencionar que del contenido de la demanda, se desprende que el actor manifestó lo siguiente:</w:t>
      </w:r>
    </w:p>
    <w:p w14:paraId="0C760AD9" w14:textId="77777777" w:rsidR="00BB322B" w:rsidRDefault="00E975ED" w:rsidP="00BB322B">
      <w:pPr>
        <w:spacing w:before="240" w:line="360" w:lineRule="auto"/>
        <w:ind w:left="567" w:right="615"/>
        <w:jc w:val="both"/>
        <w:rPr>
          <w:rFonts w:ascii="Arial" w:eastAsia="Calibri" w:hAnsi="Arial" w:cs="Arial"/>
          <w:i/>
          <w:lang w:eastAsia="es-MX"/>
        </w:rPr>
      </w:pPr>
      <w:r w:rsidRPr="00E975ED">
        <w:rPr>
          <w:rFonts w:ascii="Arial" w:eastAsia="Calibri" w:hAnsi="Arial" w:cs="Arial"/>
          <w:i/>
          <w:lang w:eastAsia="es-MX"/>
        </w:rPr>
        <w:t>“Tomando en consideración que exhibo el acta de infracción original, asumo la responsabilidad de la misma y la hago mía, aunado a que en términos de la fracción VII del artículo 130 del Reglamento de Vialidad para el Municipio de Oaxaca de Juárez, la misma se dejara (sic) al infractor en el lugar visible del parabrisas, por lo que, en el caso, la misma está dirigida al suscrito y en consecuencia con la misma, acredito mi interés jurídico para combatirla en la presente instancia en términos del artículo 134 de la Ley de Justicia Administrativa para el Estado de Oaxaca, por ser el suscrito a quien me causa perjuicio dicha infracción.”</w:t>
      </w:r>
    </w:p>
    <w:p w14:paraId="0B5CF62C" w14:textId="312E9898" w:rsidR="00BB322B" w:rsidRPr="00BB322B" w:rsidRDefault="00B75A41" w:rsidP="00BB322B">
      <w:pPr>
        <w:spacing w:before="240" w:line="360" w:lineRule="auto"/>
        <w:ind w:right="48" w:firstLine="567"/>
        <w:jc w:val="both"/>
        <w:rPr>
          <w:rFonts w:ascii="Arial" w:eastAsia="Calibri" w:hAnsi="Arial" w:cs="Arial"/>
          <w:i/>
          <w:lang w:eastAsia="es-MX"/>
        </w:rPr>
      </w:pPr>
      <w:r>
        <w:rPr>
          <w:rFonts w:ascii="Arial" w:eastAsia="Calibri" w:hAnsi="Arial" w:cs="Arial"/>
          <w:sz w:val="26"/>
          <w:szCs w:val="26"/>
          <w:lang w:eastAsia="es-MX"/>
        </w:rPr>
        <w:t xml:space="preserve">15.- </w:t>
      </w:r>
      <w:r w:rsidR="00E975ED">
        <w:rPr>
          <w:rFonts w:ascii="Arial" w:eastAsia="Calibri" w:hAnsi="Arial" w:cs="Arial"/>
          <w:sz w:val="26"/>
          <w:szCs w:val="26"/>
          <w:lang w:eastAsia="es-MX"/>
        </w:rPr>
        <w:t xml:space="preserve">En el proveído de veinte de noviembre de dos mil veinte, </w:t>
      </w:r>
      <w:r w:rsidR="00E50D6C">
        <w:rPr>
          <w:rFonts w:ascii="Arial" w:eastAsia="Calibri" w:hAnsi="Arial" w:cs="Arial"/>
          <w:sz w:val="26"/>
          <w:szCs w:val="26"/>
          <w:lang w:eastAsia="es-MX"/>
        </w:rPr>
        <w:t xml:space="preserve">la Segunda Sala Unitaria tuvo por recibida la demanda referida, pero estimó que </w:t>
      </w:r>
      <w:r w:rsidR="00E50D6C" w:rsidRPr="00D75A3D">
        <w:rPr>
          <w:rFonts w:ascii="Arial" w:eastAsia="Calibri" w:hAnsi="Arial" w:cs="Arial"/>
          <w:i/>
          <w:sz w:val="26"/>
          <w:szCs w:val="26"/>
          <w:lang w:eastAsia="es-MX"/>
        </w:rPr>
        <w:t>“el promovente no acredita el interés legítimo y jurídico … dado que del acta de infracción impugnada se desprende que en la parte de “NOMBRE DEL PROPIETARIO O POSEEDOR” se asentó “SE DESCONOCE”, y en la parte de “NOMBRE DEL INFRACTOR” se indicó “SE DESCONOCE”, por tanto, no se advierte que el promovente tenga el interés legítimo y jurídico de impugnar el acta de infracción 6312 A, de fecha dieciséis de octubre del actual, dado que no aparece su nombre…”,</w:t>
      </w:r>
      <w:r w:rsidR="00E50D6C">
        <w:rPr>
          <w:rFonts w:ascii="Arial" w:eastAsia="Calibri" w:hAnsi="Arial" w:cs="Arial"/>
          <w:sz w:val="26"/>
          <w:szCs w:val="26"/>
          <w:lang w:eastAsia="es-MX"/>
        </w:rPr>
        <w:t xml:space="preserve"> y en consecuencia, le requirió al demandante que exhibiera la tarjeta de circulación del vehículo infraccionado o la copia </w:t>
      </w:r>
      <w:r w:rsidR="00E50D6C">
        <w:rPr>
          <w:rFonts w:ascii="Arial" w:eastAsia="Calibri" w:hAnsi="Arial" w:cs="Arial"/>
          <w:sz w:val="26"/>
          <w:szCs w:val="26"/>
          <w:lang w:eastAsia="es-MX"/>
        </w:rPr>
        <w:lastRenderedPageBreak/>
        <w:t xml:space="preserve">certificada de la misma, bajo el apercibimiento que, de no hacerlo, </w:t>
      </w:r>
      <w:r w:rsidR="00D75A3D">
        <w:rPr>
          <w:rFonts w:ascii="Arial" w:eastAsia="Calibri" w:hAnsi="Arial" w:cs="Arial"/>
          <w:sz w:val="26"/>
          <w:szCs w:val="26"/>
          <w:lang w:eastAsia="es-MX"/>
        </w:rPr>
        <w:t>se desecharía la demanda, conforme a los artículos 164, 179 y 182 fracción II de la Ley de Procedimiento y Justicia Administrativa para el Estado de Oaxaca.</w:t>
      </w:r>
    </w:p>
    <w:p w14:paraId="74C2CEF8" w14:textId="4B305835" w:rsidR="00CD237C" w:rsidRPr="00BB322B" w:rsidRDefault="00B75A41" w:rsidP="00BB322B">
      <w:pPr>
        <w:spacing w:before="240" w:line="360" w:lineRule="auto"/>
        <w:ind w:firstLine="567"/>
        <w:jc w:val="both"/>
        <w:rPr>
          <w:rFonts w:ascii="Arial" w:eastAsia="Calibri" w:hAnsi="Arial" w:cs="Arial"/>
          <w:sz w:val="26"/>
          <w:szCs w:val="26"/>
          <w:lang w:eastAsia="es-MX"/>
        </w:rPr>
      </w:pPr>
      <w:r>
        <w:rPr>
          <w:rFonts w:ascii="Arial" w:eastAsia="Calibri" w:hAnsi="Arial" w:cs="Arial"/>
          <w:sz w:val="26"/>
          <w:szCs w:val="26"/>
          <w:lang w:eastAsia="es-MX"/>
        </w:rPr>
        <w:t xml:space="preserve">16.- </w:t>
      </w:r>
      <w:r w:rsidR="00BB61ED" w:rsidRPr="00BB322B">
        <w:rPr>
          <w:rFonts w:ascii="Arial" w:eastAsia="Calibri" w:hAnsi="Arial" w:cs="Arial"/>
          <w:sz w:val="26"/>
          <w:szCs w:val="26"/>
          <w:lang w:eastAsia="es-MX"/>
        </w:rPr>
        <w:t xml:space="preserve">A través del escrito de </w:t>
      </w:r>
      <w:r w:rsidR="006A1CF2" w:rsidRPr="00BB322B">
        <w:rPr>
          <w:rFonts w:ascii="Arial" w:eastAsia="Calibri" w:hAnsi="Arial" w:cs="Arial"/>
          <w:sz w:val="26"/>
          <w:szCs w:val="26"/>
          <w:lang w:eastAsia="es-MX"/>
        </w:rPr>
        <w:t>diecisiete de noviembre de dos mil veinte</w:t>
      </w:r>
      <w:r w:rsidR="00FA7E91">
        <w:rPr>
          <w:rStyle w:val="Refdenotaalpie"/>
          <w:rFonts w:ascii="Arial" w:eastAsia="Calibri" w:hAnsi="Arial" w:cs="Arial"/>
          <w:sz w:val="26"/>
          <w:szCs w:val="26"/>
          <w:lang w:eastAsia="es-MX"/>
        </w:rPr>
        <w:footnoteReference w:id="3"/>
      </w:r>
      <w:r w:rsidR="006A1CF2" w:rsidRPr="00BB322B">
        <w:rPr>
          <w:rFonts w:ascii="Arial" w:eastAsia="Calibri" w:hAnsi="Arial" w:cs="Arial"/>
          <w:sz w:val="26"/>
          <w:szCs w:val="26"/>
          <w:lang w:eastAsia="es-MX"/>
        </w:rPr>
        <w:t>, el promovente</w:t>
      </w:r>
      <w:r w:rsidR="004428CF">
        <w:rPr>
          <w:rFonts w:ascii="Arial" w:eastAsiaTheme="minorEastAsia" w:hAnsi="Arial" w:cs="Arial"/>
          <w:b/>
          <w:bCs/>
          <w:sz w:val="26"/>
          <w:szCs w:val="26"/>
          <w:lang w:eastAsia="es-MX"/>
        </w:rPr>
        <w:t xml:space="preserve"> </w:t>
      </w:r>
      <w:r w:rsidR="004428CF">
        <w:rPr>
          <w:rFonts w:ascii="Arial" w:eastAsiaTheme="minorEastAsia" w:hAnsi="Arial" w:cs="Arial"/>
          <w:b/>
          <w:sz w:val="26"/>
          <w:szCs w:val="26"/>
          <w:lang w:val="es-ES" w:eastAsia="es-MX"/>
        </w:rPr>
        <w:t>**********</w:t>
      </w:r>
      <w:r w:rsidR="0066745C" w:rsidRPr="00BB322B">
        <w:rPr>
          <w:rFonts w:ascii="Arial" w:eastAsiaTheme="minorEastAsia" w:hAnsi="Arial" w:cs="Arial"/>
          <w:b/>
          <w:bCs/>
          <w:sz w:val="26"/>
          <w:szCs w:val="26"/>
          <w:lang w:eastAsia="es-MX"/>
        </w:rPr>
        <w:t>,</w:t>
      </w:r>
      <w:r w:rsidR="007D0277" w:rsidRPr="00BB322B">
        <w:rPr>
          <w:rFonts w:ascii="Arial" w:eastAsiaTheme="minorEastAsia" w:hAnsi="Arial" w:cs="Arial"/>
          <w:b/>
          <w:bCs/>
          <w:sz w:val="26"/>
          <w:szCs w:val="26"/>
          <w:lang w:eastAsia="es-MX"/>
        </w:rPr>
        <w:t xml:space="preserve"> </w:t>
      </w:r>
      <w:r w:rsidR="007D0277" w:rsidRPr="00BB322B">
        <w:rPr>
          <w:rFonts w:ascii="Arial" w:eastAsiaTheme="minorEastAsia" w:hAnsi="Arial" w:cs="Arial"/>
          <w:bCs/>
          <w:sz w:val="26"/>
          <w:szCs w:val="26"/>
          <w:lang w:eastAsia="es-MX"/>
        </w:rPr>
        <w:t xml:space="preserve">pretendió dar cumplimiento al requerimiento formulado </w:t>
      </w:r>
      <w:r w:rsidR="0066745C" w:rsidRPr="00BB322B">
        <w:rPr>
          <w:rFonts w:ascii="Arial" w:eastAsiaTheme="minorEastAsia" w:hAnsi="Arial" w:cs="Arial"/>
          <w:bCs/>
          <w:sz w:val="26"/>
          <w:szCs w:val="26"/>
          <w:lang w:eastAsia="es-MX"/>
        </w:rPr>
        <w:t>manifest</w:t>
      </w:r>
      <w:r w:rsidR="007D0277" w:rsidRPr="00BB322B">
        <w:rPr>
          <w:rFonts w:ascii="Arial" w:eastAsiaTheme="minorEastAsia" w:hAnsi="Arial" w:cs="Arial"/>
          <w:bCs/>
          <w:sz w:val="26"/>
          <w:szCs w:val="26"/>
          <w:lang w:eastAsia="es-MX"/>
        </w:rPr>
        <w:t>ando</w:t>
      </w:r>
      <w:r w:rsidR="0066745C" w:rsidRPr="00BB322B">
        <w:rPr>
          <w:rFonts w:ascii="Arial" w:eastAsiaTheme="minorEastAsia" w:hAnsi="Arial" w:cs="Arial"/>
          <w:bCs/>
          <w:sz w:val="26"/>
          <w:szCs w:val="26"/>
          <w:lang w:eastAsia="es-MX"/>
        </w:rPr>
        <w:t xml:space="preserve"> que su interés jurídico lo acreditó con la exhibición del original del acta de infracción que ya había acompañado a su demanda,</w:t>
      </w:r>
      <w:r w:rsidR="0066745C" w:rsidRPr="00BB322B">
        <w:rPr>
          <w:rFonts w:ascii="Arial" w:eastAsiaTheme="minorEastAsia" w:hAnsi="Arial" w:cs="Arial"/>
          <w:b/>
          <w:bCs/>
          <w:sz w:val="26"/>
          <w:szCs w:val="26"/>
          <w:lang w:eastAsia="es-MX"/>
        </w:rPr>
        <w:t xml:space="preserve"> </w:t>
      </w:r>
      <w:r w:rsidR="00FA7E91" w:rsidRPr="00BB322B">
        <w:rPr>
          <w:rFonts w:ascii="Arial" w:eastAsiaTheme="minorEastAsia" w:hAnsi="Arial" w:cs="Arial"/>
          <w:bCs/>
          <w:sz w:val="26"/>
          <w:szCs w:val="26"/>
          <w:lang w:eastAsia="es-MX"/>
        </w:rPr>
        <w:t>y que esa documental era suficiente para acreditar no sólo el interés legítimo, sino también el interés leg</w:t>
      </w:r>
      <w:r w:rsidR="007D0277" w:rsidRPr="00BB322B">
        <w:rPr>
          <w:rFonts w:ascii="Arial" w:eastAsiaTheme="minorEastAsia" w:hAnsi="Arial" w:cs="Arial"/>
          <w:bCs/>
          <w:sz w:val="26"/>
          <w:szCs w:val="26"/>
          <w:lang w:eastAsia="es-MX"/>
        </w:rPr>
        <w:t>ítimo para comparecer a juicio, sin embargo, e</w:t>
      </w:r>
      <w:r w:rsidR="00E729CD" w:rsidRPr="00BB322B">
        <w:rPr>
          <w:rFonts w:ascii="Arial" w:eastAsia="Calibri" w:hAnsi="Arial" w:cs="Arial"/>
          <w:sz w:val="26"/>
          <w:szCs w:val="26"/>
          <w:lang w:eastAsia="es-MX"/>
        </w:rPr>
        <w:t>n el acuerdo de nueve de marzo de dos mil veintiuno</w:t>
      </w:r>
      <w:r w:rsidR="005D7E80">
        <w:rPr>
          <w:rStyle w:val="Refdenotaalpie"/>
          <w:rFonts w:ascii="Arial" w:eastAsia="Calibri" w:hAnsi="Arial" w:cs="Arial"/>
          <w:sz w:val="26"/>
          <w:szCs w:val="26"/>
          <w:lang w:eastAsia="es-MX"/>
        </w:rPr>
        <w:footnoteReference w:id="4"/>
      </w:r>
      <w:r w:rsidR="00E729CD" w:rsidRPr="00BB322B">
        <w:rPr>
          <w:rFonts w:ascii="Arial" w:eastAsia="Calibri" w:hAnsi="Arial" w:cs="Arial"/>
          <w:sz w:val="26"/>
          <w:szCs w:val="26"/>
          <w:lang w:eastAsia="es-MX"/>
        </w:rPr>
        <w:t xml:space="preserve">, </w:t>
      </w:r>
      <w:r w:rsidR="005D7E80" w:rsidRPr="00BB322B">
        <w:rPr>
          <w:rFonts w:ascii="Arial" w:eastAsia="Calibri" w:hAnsi="Arial" w:cs="Arial"/>
          <w:sz w:val="26"/>
          <w:szCs w:val="26"/>
          <w:lang w:eastAsia="es-MX"/>
        </w:rPr>
        <w:t xml:space="preserve">la Segunda Sala Unitaria hizo efectivo el apercibimiento referido en el punto anterior y </w:t>
      </w:r>
      <w:r w:rsidR="00BB322B" w:rsidRPr="00BB322B">
        <w:rPr>
          <w:rFonts w:ascii="Arial" w:eastAsiaTheme="minorEastAsia" w:hAnsi="Arial" w:cs="Arial"/>
          <w:bCs/>
          <w:color w:val="000000"/>
          <w:sz w:val="26"/>
          <w:szCs w:val="26"/>
          <w:lang w:eastAsia="es-MX"/>
        </w:rPr>
        <w:t>con fundamento en los artículos 179 y 182, fracción II de la Ley de Procedimiento y Justicia Administ</w:t>
      </w:r>
      <w:r w:rsidR="00BB322B">
        <w:rPr>
          <w:rFonts w:ascii="Arial" w:eastAsiaTheme="minorEastAsia" w:hAnsi="Arial" w:cs="Arial"/>
          <w:bCs/>
          <w:color w:val="000000"/>
          <w:sz w:val="26"/>
          <w:szCs w:val="26"/>
          <w:lang w:eastAsia="es-MX"/>
        </w:rPr>
        <w:t xml:space="preserve">rativa para el Estado de </w:t>
      </w:r>
      <w:r w:rsidR="00BB322B" w:rsidRPr="00BB322B">
        <w:rPr>
          <w:rFonts w:ascii="Arial" w:eastAsiaTheme="minorEastAsia" w:hAnsi="Arial" w:cs="Arial"/>
          <w:bCs/>
          <w:color w:val="000000"/>
          <w:sz w:val="26"/>
          <w:szCs w:val="26"/>
          <w:lang w:eastAsia="es-MX"/>
        </w:rPr>
        <w:t xml:space="preserve">Oaxaca, </w:t>
      </w:r>
      <w:r w:rsidR="005D7E80" w:rsidRPr="00BB322B">
        <w:rPr>
          <w:rFonts w:ascii="Arial" w:eastAsia="Calibri" w:hAnsi="Arial" w:cs="Arial"/>
          <w:sz w:val="26"/>
          <w:szCs w:val="26"/>
          <w:lang w:eastAsia="es-MX"/>
        </w:rPr>
        <w:t xml:space="preserve">desechó </w:t>
      </w:r>
      <w:r w:rsidR="007D0277" w:rsidRPr="00BB322B">
        <w:rPr>
          <w:rFonts w:ascii="Arial" w:eastAsia="Calibri" w:hAnsi="Arial" w:cs="Arial"/>
          <w:sz w:val="26"/>
          <w:szCs w:val="26"/>
          <w:lang w:eastAsia="es-MX"/>
        </w:rPr>
        <w:t>la dema</w:t>
      </w:r>
      <w:r w:rsidR="00BB322B" w:rsidRPr="00BB322B">
        <w:rPr>
          <w:rFonts w:ascii="Arial" w:eastAsia="Calibri" w:hAnsi="Arial" w:cs="Arial"/>
          <w:sz w:val="26"/>
          <w:szCs w:val="26"/>
          <w:lang w:eastAsia="es-MX"/>
        </w:rPr>
        <w:t>nda sometida a su conocimiento, porque la actora no presentó el original o copia certificada de la tarjeta de circulación del vehículo infraccionado.</w:t>
      </w:r>
    </w:p>
    <w:p w14:paraId="2859E92D" w14:textId="0651777F" w:rsidR="007A0ED4" w:rsidRDefault="00B75A41" w:rsidP="002001B2">
      <w:pPr>
        <w:spacing w:before="240" w:line="360" w:lineRule="auto"/>
        <w:ind w:firstLine="708"/>
        <w:jc w:val="both"/>
        <w:rPr>
          <w:rFonts w:ascii="Arial" w:eastAsiaTheme="minorEastAsia" w:hAnsi="Arial" w:cs="Arial"/>
          <w:bCs/>
          <w:color w:val="000000"/>
          <w:sz w:val="26"/>
          <w:szCs w:val="26"/>
          <w:lang w:eastAsia="es-MX"/>
        </w:rPr>
      </w:pPr>
      <w:r>
        <w:rPr>
          <w:rFonts w:ascii="Arial" w:eastAsiaTheme="minorEastAsia" w:hAnsi="Arial" w:cs="Arial"/>
          <w:bCs/>
          <w:color w:val="000000"/>
          <w:sz w:val="26"/>
          <w:szCs w:val="26"/>
          <w:lang w:eastAsia="es-MX"/>
        </w:rPr>
        <w:t xml:space="preserve">17.- </w:t>
      </w:r>
      <w:r w:rsidR="007A0ED4">
        <w:rPr>
          <w:rFonts w:ascii="Arial" w:eastAsiaTheme="minorEastAsia" w:hAnsi="Arial" w:cs="Arial"/>
          <w:bCs/>
          <w:color w:val="000000"/>
          <w:sz w:val="26"/>
          <w:szCs w:val="26"/>
          <w:lang w:eastAsia="es-MX"/>
        </w:rPr>
        <w:t xml:space="preserve">Al respecto, esta instancia revisora señala </w:t>
      </w:r>
      <w:r w:rsidR="00365945">
        <w:rPr>
          <w:rFonts w:ascii="Arial" w:eastAsiaTheme="minorEastAsia" w:hAnsi="Arial" w:cs="Arial"/>
          <w:bCs/>
          <w:color w:val="000000"/>
          <w:sz w:val="26"/>
          <w:szCs w:val="26"/>
          <w:lang w:eastAsia="es-MX"/>
        </w:rPr>
        <w:t>que si bien es cierto que los numerales 163 fracción I inciso a)</w:t>
      </w:r>
      <w:r w:rsidR="00365945">
        <w:rPr>
          <w:rStyle w:val="Refdenotaalpie"/>
          <w:rFonts w:ascii="Arial" w:eastAsiaTheme="minorEastAsia" w:hAnsi="Arial" w:cs="Arial"/>
          <w:bCs/>
          <w:color w:val="000000"/>
          <w:sz w:val="26"/>
          <w:szCs w:val="26"/>
          <w:lang w:eastAsia="es-MX"/>
        </w:rPr>
        <w:footnoteReference w:id="5"/>
      </w:r>
      <w:r w:rsidR="00365945">
        <w:rPr>
          <w:rFonts w:ascii="Arial" w:eastAsiaTheme="minorEastAsia" w:hAnsi="Arial" w:cs="Arial"/>
          <w:bCs/>
          <w:color w:val="000000"/>
          <w:sz w:val="26"/>
          <w:szCs w:val="26"/>
          <w:lang w:eastAsia="es-MX"/>
        </w:rPr>
        <w:t xml:space="preserve"> y 164</w:t>
      </w:r>
      <w:r w:rsidR="00AC4360">
        <w:rPr>
          <w:rStyle w:val="Refdenotaalpie"/>
          <w:rFonts w:ascii="Arial" w:eastAsiaTheme="minorEastAsia" w:hAnsi="Arial" w:cs="Arial"/>
          <w:bCs/>
          <w:color w:val="000000"/>
          <w:sz w:val="26"/>
          <w:szCs w:val="26"/>
          <w:lang w:eastAsia="es-MX"/>
        </w:rPr>
        <w:footnoteReference w:id="6"/>
      </w:r>
      <w:r w:rsidR="00365945">
        <w:rPr>
          <w:rFonts w:ascii="Arial" w:eastAsiaTheme="minorEastAsia" w:hAnsi="Arial" w:cs="Arial"/>
          <w:bCs/>
          <w:color w:val="000000"/>
          <w:sz w:val="26"/>
          <w:szCs w:val="26"/>
          <w:lang w:eastAsia="es-MX"/>
        </w:rPr>
        <w:t xml:space="preserve"> de la Ley de Procedimiento y Justicia Administrativa para el Estado de Oaxaca, </w:t>
      </w:r>
      <w:r w:rsidR="00AC4360">
        <w:rPr>
          <w:rFonts w:ascii="Arial" w:eastAsiaTheme="minorEastAsia" w:hAnsi="Arial" w:cs="Arial"/>
          <w:bCs/>
          <w:color w:val="000000"/>
          <w:sz w:val="26"/>
          <w:szCs w:val="26"/>
          <w:lang w:eastAsia="es-MX"/>
        </w:rPr>
        <w:t xml:space="preserve">prescriben que sólo pueden promover el juicio de nulidad las personas que sustenten su pretensión en un interés jurídico o un interés legítimo, </w:t>
      </w:r>
      <w:r w:rsidR="00EE1EFD">
        <w:rPr>
          <w:rFonts w:ascii="Arial" w:eastAsiaTheme="minorEastAsia" w:hAnsi="Arial" w:cs="Arial"/>
          <w:bCs/>
          <w:color w:val="000000"/>
          <w:sz w:val="26"/>
          <w:szCs w:val="26"/>
          <w:lang w:eastAsia="es-MX"/>
        </w:rPr>
        <w:t xml:space="preserve">también es cierto que la Sala </w:t>
      </w:r>
      <w:r w:rsidR="00EE1EFD" w:rsidRPr="007A0ED4">
        <w:rPr>
          <w:rFonts w:ascii="Arial" w:eastAsiaTheme="minorEastAsia" w:hAnsi="Arial" w:cs="Arial"/>
          <w:bCs/>
          <w:i/>
          <w:color w:val="000000"/>
          <w:sz w:val="26"/>
          <w:szCs w:val="26"/>
          <w:lang w:eastAsia="es-MX"/>
        </w:rPr>
        <w:t>A quo</w:t>
      </w:r>
      <w:r w:rsidR="00EE1EFD">
        <w:rPr>
          <w:rFonts w:ascii="Arial" w:eastAsiaTheme="minorEastAsia" w:hAnsi="Arial" w:cs="Arial"/>
          <w:bCs/>
          <w:color w:val="000000"/>
          <w:sz w:val="26"/>
          <w:szCs w:val="26"/>
          <w:lang w:eastAsia="es-MX"/>
        </w:rPr>
        <w:t xml:space="preserve"> no debió desechar la demanda interpuesta, ya que </w:t>
      </w:r>
      <w:r w:rsidR="00BC211E">
        <w:rPr>
          <w:rFonts w:ascii="Arial" w:eastAsiaTheme="minorEastAsia" w:hAnsi="Arial" w:cs="Arial"/>
          <w:bCs/>
          <w:color w:val="000000"/>
          <w:sz w:val="26"/>
          <w:szCs w:val="26"/>
          <w:lang w:eastAsia="es-MX"/>
        </w:rPr>
        <w:t xml:space="preserve">de acuerdo a la ejecutoria de amparo que hoy se está cumpliendo, </w:t>
      </w:r>
      <w:r w:rsidR="00EE1EFD">
        <w:rPr>
          <w:rFonts w:ascii="Arial" w:eastAsiaTheme="minorEastAsia" w:hAnsi="Arial" w:cs="Arial"/>
          <w:bCs/>
          <w:color w:val="000000"/>
          <w:sz w:val="26"/>
          <w:szCs w:val="26"/>
          <w:lang w:eastAsia="es-MX"/>
        </w:rPr>
        <w:t xml:space="preserve">el interés jurídico es susceptible de comprobarse durante el trámite del juicio, sin que se tenga como requisito indispensable de admisibilidad de la demanda, por lo que el requerimiento de la Sala </w:t>
      </w:r>
      <w:r w:rsidR="00EE1EFD" w:rsidRPr="00BC211E">
        <w:rPr>
          <w:rFonts w:ascii="Arial" w:eastAsiaTheme="minorEastAsia" w:hAnsi="Arial" w:cs="Arial"/>
          <w:bCs/>
          <w:i/>
          <w:color w:val="000000"/>
          <w:sz w:val="26"/>
          <w:szCs w:val="26"/>
          <w:lang w:eastAsia="es-MX"/>
        </w:rPr>
        <w:t>A quo,</w:t>
      </w:r>
      <w:r w:rsidR="00EE1EFD">
        <w:rPr>
          <w:rFonts w:ascii="Arial" w:eastAsiaTheme="minorEastAsia" w:hAnsi="Arial" w:cs="Arial"/>
          <w:bCs/>
          <w:color w:val="000000"/>
          <w:sz w:val="26"/>
          <w:szCs w:val="26"/>
          <w:lang w:eastAsia="es-MX"/>
        </w:rPr>
        <w:t xml:space="preserve"> relativo a que la parte actora exhibiera la tarjeta de circulación para acreditar la lesión a su entorno jurídico </w:t>
      </w:r>
      <w:r w:rsidR="00BC211E">
        <w:rPr>
          <w:rFonts w:ascii="Arial" w:eastAsiaTheme="minorEastAsia" w:hAnsi="Arial" w:cs="Arial"/>
          <w:bCs/>
          <w:color w:val="000000"/>
          <w:sz w:val="26"/>
          <w:szCs w:val="26"/>
          <w:lang w:eastAsia="es-MX"/>
        </w:rPr>
        <w:t xml:space="preserve">tiene que considerarse </w:t>
      </w:r>
      <w:r w:rsidR="00EE1EFD">
        <w:rPr>
          <w:rFonts w:ascii="Arial" w:eastAsiaTheme="minorEastAsia" w:hAnsi="Arial" w:cs="Arial"/>
          <w:bCs/>
          <w:color w:val="000000"/>
          <w:sz w:val="26"/>
          <w:szCs w:val="26"/>
          <w:lang w:eastAsia="es-MX"/>
        </w:rPr>
        <w:t>excesivo.</w:t>
      </w:r>
    </w:p>
    <w:p w14:paraId="0D3F2E7A" w14:textId="54400624" w:rsidR="00EE1EFD" w:rsidRDefault="00B75A41" w:rsidP="003D0660">
      <w:pPr>
        <w:spacing w:before="240" w:line="360" w:lineRule="auto"/>
        <w:ind w:firstLine="708"/>
        <w:jc w:val="both"/>
        <w:rPr>
          <w:rFonts w:ascii="Arial" w:eastAsiaTheme="minorEastAsia" w:hAnsi="Arial" w:cs="Arial"/>
          <w:bCs/>
          <w:color w:val="000000"/>
          <w:sz w:val="26"/>
          <w:szCs w:val="26"/>
          <w:lang w:eastAsia="es-MX"/>
        </w:rPr>
      </w:pPr>
      <w:r>
        <w:rPr>
          <w:rFonts w:ascii="Arial" w:eastAsiaTheme="minorEastAsia" w:hAnsi="Arial" w:cs="Arial"/>
          <w:bCs/>
          <w:color w:val="000000"/>
          <w:sz w:val="26"/>
          <w:szCs w:val="26"/>
          <w:lang w:eastAsia="es-MX"/>
        </w:rPr>
        <w:t xml:space="preserve">18.- </w:t>
      </w:r>
      <w:r w:rsidR="00EE1EFD">
        <w:rPr>
          <w:rFonts w:ascii="Arial" w:eastAsiaTheme="minorEastAsia" w:hAnsi="Arial" w:cs="Arial"/>
          <w:bCs/>
          <w:color w:val="000000"/>
          <w:sz w:val="26"/>
          <w:szCs w:val="26"/>
          <w:lang w:eastAsia="es-MX"/>
        </w:rPr>
        <w:t xml:space="preserve">Lo anterior, porque </w:t>
      </w:r>
      <w:r w:rsidR="003D0660">
        <w:rPr>
          <w:rFonts w:ascii="Arial" w:eastAsiaTheme="minorEastAsia" w:hAnsi="Arial" w:cs="Arial"/>
          <w:bCs/>
          <w:color w:val="000000"/>
          <w:sz w:val="26"/>
          <w:szCs w:val="26"/>
          <w:lang w:eastAsia="es-MX"/>
        </w:rPr>
        <w:t>de acuerdo al numeral</w:t>
      </w:r>
      <w:r w:rsidR="00EE1EFD">
        <w:rPr>
          <w:rFonts w:ascii="Arial" w:eastAsiaTheme="minorEastAsia" w:hAnsi="Arial" w:cs="Arial"/>
          <w:bCs/>
          <w:color w:val="000000"/>
          <w:sz w:val="26"/>
          <w:szCs w:val="26"/>
          <w:lang w:eastAsia="es-MX"/>
        </w:rPr>
        <w:t xml:space="preserve"> 130 fracción VII</w:t>
      </w:r>
      <w:r w:rsidR="00EE1EFD">
        <w:rPr>
          <w:rStyle w:val="Refdenotaalpie"/>
          <w:rFonts w:ascii="Arial" w:eastAsiaTheme="minorEastAsia" w:hAnsi="Arial" w:cs="Arial"/>
          <w:bCs/>
          <w:color w:val="000000"/>
          <w:sz w:val="26"/>
          <w:szCs w:val="26"/>
          <w:lang w:eastAsia="es-MX"/>
        </w:rPr>
        <w:footnoteReference w:id="7"/>
      </w:r>
      <w:r w:rsidR="00EE1EFD">
        <w:rPr>
          <w:rFonts w:ascii="Arial" w:eastAsiaTheme="minorEastAsia" w:hAnsi="Arial" w:cs="Arial"/>
          <w:bCs/>
          <w:color w:val="000000"/>
          <w:sz w:val="26"/>
          <w:szCs w:val="26"/>
          <w:lang w:eastAsia="es-MX"/>
        </w:rPr>
        <w:t xml:space="preserve"> del Reglamento de Vialidad para el Municipio de Oaxaca de Juárez, vigente al </w:t>
      </w:r>
      <w:r w:rsidR="00EE1EFD">
        <w:rPr>
          <w:rFonts w:ascii="Arial" w:eastAsiaTheme="minorEastAsia" w:hAnsi="Arial" w:cs="Arial"/>
          <w:bCs/>
          <w:color w:val="000000"/>
          <w:sz w:val="26"/>
          <w:szCs w:val="26"/>
          <w:lang w:eastAsia="es-MX"/>
        </w:rPr>
        <w:lastRenderedPageBreak/>
        <w:t xml:space="preserve">momento en que acontecieron los hechos, </w:t>
      </w:r>
      <w:r w:rsidR="003D0660">
        <w:rPr>
          <w:rFonts w:ascii="Arial" w:eastAsiaTheme="minorEastAsia" w:hAnsi="Arial" w:cs="Arial"/>
          <w:bCs/>
          <w:color w:val="000000"/>
          <w:sz w:val="26"/>
          <w:szCs w:val="26"/>
          <w:lang w:eastAsia="es-MX"/>
        </w:rPr>
        <w:t xml:space="preserve">establece que en el caso de que el vehículo infraccionado se encuentre estacionado o esté ausente el infractor, los Policías Viales tienen permitido </w:t>
      </w:r>
      <w:r w:rsidR="004F553D">
        <w:rPr>
          <w:rFonts w:ascii="Arial" w:eastAsiaTheme="minorEastAsia" w:hAnsi="Arial" w:cs="Arial"/>
          <w:bCs/>
          <w:color w:val="000000"/>
          <w:sz w:val="26"/>
          <w:szCs w:val="26"/>
          <w:lang w:eastAsia="es-MX"/>
        </w:rPr>
        <w:t xml:space="preserve">formular el acta de infracción correspondiente y dejarla en el parabrisas del vehículo, siendo evidente que no se tendría conocimiento del nombre del infractor, lo cual no obsta para que le sea admitida la demanda en este órgano jurisdiccional. De ahí lo </w:t>
      </w:r>
      <w:r w:rsidR="004F553D" w:rsidRPr="00275270">
        <w:rPr>
          <w:rFonts w:ascii="Arial" w:eastAsiaTheme="minorEastAsia" w:hAnsi="Arial" w:cs="Arial"/>
          <w:b/>
          <w:bCs/>
          <w:color w:val="000000"/>
          <w:sz w:val="26"/>
          <w:szCs w:val="26"/>
          <w:lang w:eastAsia="es-MX"/>
        </w:rPr>
        <w:t xml:space="preserve">fundado </w:t>
      </w:r>
      <w:r w:rsidR="004F553D">
        <w:rPr>
          <w:rFonts w:ascii="Arial" w:eastAsiaTheme="minorEastAsia" w:hAnsi="Arial" w:cs="Arial"/>
          <w:bCs/>
          <w:color w:val="000000"/>
          <w:sz w:val="26"/>
          <w:szCs w:val="26"/>
          <w:lang w:eastAsia="es-MX"/>
        </w:rPr>
        <w:t>de los agravios del recurrente.</w:t>
      </w:r>
    </w:p>
    <w:p w14:paraId="37621BEB" w14:textId="0B10610A" w:rsidR="002001B2" w:rsidRDefault="00B75A41" w:rsidP="002001B2">
      <w:pPr>
        <w:spacing w:before="240" w:line="360" w:lineRule="auto"/>
        <w:ind w:firstLine="708"/>
        <w:jc w:val="both"/>
        <w:rPr>
          <w:rFonts w:ascii="Arial" w:eastAsiaTheme="minorEastAsia" w:hAnsi="Arial" w:cs="Arial"/>
          <w:bCs/>
          <w:color w:val="000000"/>
          <w:sz w:val="26"/>
          <w:szCs w:val="26"/>
          <w:lang w:eastAsia="es-MX"/>
        </w:rPr>
      </w:pPr>
      <w:r>
        <w:rPr>
          <w:rFonts w:ascii="Arial" w:eastAsiaTheme="minorEastAsia" w:hAnsi="Arial" w:cs="Arial"/>
          <w:bCs/>
          <w:color w:val="000000"/>
          <w:sz w:val="26"/>
          <w:szCs w:val="26"/>
          <w:lang w:eastAsia="es-MX"/>
        </w:rPr>
        <w:t xml:space="preserve">19.- </w:t>
      </w:r>
      <w:r w:rsidR="004F553D">
        <w:rPr>
          <w:rFonts w:ascii="Arial" w:eastAsiaTheme="minorEastAsia" w:hAnsi="Arial" w:cs="Arial"/>
          <w:bCs/>
          <w:color w:val="000000"/>
          <w:sz w:val="26"/>
          <w:szCs w:val="26"/>
          <w:lang w:eastAsia="es-MX"/>
        </w:rPr>
        <w:t>En conse</w:t>
      </w:r>
      <w:r w:rsidR="00275270">
        <w:rPr>
          <w:rFonts w:ascii="Arial" w:eastAsiaTheme="minorEastAsia" w:hAnsi="Arial" w:cs="Arial"/>
          <w:bCs/>
          <w:color w:val="000000"/>
          <w:sz w:val="26"/>
          <w:szCs w:val="26"/>
          <w:lang w:eastAsia="es-MX"/>
        </w:rPr>
        <w:t xml:space="preserve">cuencia, para reparar el agravio que ha sido ocasionado a la recurrente, es procedente </w:t>
      </w:r>
      <w:r w:rsidR="00275270" w:rsidRPr="00440C4E">
        <w:rPr>
          <w:rFonts w:ascii="Arial" w:eastAsiaTheme="minorEastAsia" w:hAnsi="Arial" w:cs="Arial"/>
          <w:b/>
          <w:bCs/>
          <w:color w:val="000000"/>
          <w:sz w:val="26"/>
          <w:szCs w:val="26"/>
          <w:lang w:eastAsia="es-MX"/>
        </w:rPr>
        <w:t>REVOCAR</w:t>
      </w:r>
      <w:r w:rsidR="00275270">
        <w:rPr>
          <w:rFonts w:ascii="Arial" w:eastAsiaTheme="minorEastAsia" w:hAnsi="Arial" w:cs="Arial"/>
          <w:bCs/>
          <w:color w:val="000000"/>
          <w:sz w:val="26"/>
          <w:szCs w:val="26"/>
          <w:lang w:eastAsia="es-MX"/>
        </w:rPr>
        <w:t xml:space="preserve"> el acuerdo de nueve de marzo de dos mil veintiuno, y en su lugar dictar uno nuevo del tenor siguiente:</w:t>
      </w:r>
    </w:p>
    <w:p w14:paraId="060A9CBC" w14:textId="7580C678" w:rsidR="00275270" w:rsidRDefault="00275270" w:rsidP="00ED5A44">
      <w:pPr>
        <w:spacing w:before="240" w:line="360" w:lineRule="auto"/>
        <w:ind w:left="567" w:right="616"/>
        <w:jc w:val="both"/>
        <w:rPr>
          <w:rFonts w:ascii="Arial" w:eastAsiaTheme="minorEastAsia" w:hAnsi="Arial" w:cs="Arial"/>
          <w:bCs/>
          <w:i/>
          <w:color w:val="000000"/>
          <w:lang w:eastAsia="es-MX"/>
        </w:rPr>
      </w:pPr>
      <w:r w:rsidRPr="00ED5A44">
        <w:rPr>
          <w:rFonts w:ascii="Arial" w:eastAsiaTheme="minorEastAsia" w:hAnsi="Arial" w:cs="Arial"/>
          <w:bCs/>
          <w:i/>
          <w:color w:val="000000"/>
          <w:lang w:eastAsia="es-MX"/>
        </w:rPr>
        <w:t>“Se tiene por recibida la demanda y anexos presentados por</w:t>
      </w:r>
      <w:r w:rsidR="004428CF">
        <w:rPr>
          <w:rFonts w:ascii="Arial" w:eastAsiaTheme="minorEastAsia" w:hAnsi="Arial" w:cs="Arial"/>
          <w:bCs/>
          <w:i/>
          <w:color w:val="000000"/>
          <w:lang w:eastAsia="es-MX"/>
        </w:rPr>
        <w:t xml:space="preserve"> </w:t>
      </w:r>
      <w:r w:rsidR="004428CF">
        <w:rPr>
          <w:rFonts w:ascii="Arial" w:eastAsiaTheme="minorEastAsia" w:hAnsi="Arial" w:cs="Arial"/>
          <w:b/>
          <w:sz w:val="26"/>
          <w:szCs w:val="26"/>
          <w:lang w:val="es-ES" w:eastAsia="es-MX"/>
        </w:rPr>
        <w:t>**********</w:t>
      </w:r>
      <w:r w:rsidR="00440C4E" w:rsidRPr="00ED5A44">
        <w:rPr>
          <w:rFonts w:ascii="Arial" w:eastAsiaTheme="minorEastAsia" w:hAnsi="Arial" w:cs="Arial"/>
          <w:bCs/>
          <w:i/>
          <w:color w:val="000000"/>
          <w:lang w:eastAsia="es-MX"/>
        </w:rPr>
        <w:t>, en la cual impugna el acta de infracción con número de folio 6312 A de dieciséis de octubre de dos mil veinte, levantada respecto del vehículo con placas TLX-94-93, por el Policía Vial con número estadístico PV- 249, adscrito a la Subdirección de Tránsito y Movilidad del Munici</w:t>
      </w:r>
      <w:r w:rsidR="00ED5A44">
        <w:rPr>
          <w:rFonts w:ascii="Arial" w:eastAsiaTheme="minorEastAsia" w:hAnsi="Arial" w:cs="Arial"/>
          <w:bCs/>
          <w:i/>
          <w:color w:val="000000"/>
          <w:lang w:eastAsia="es-MX"/>
        </w:rPr>
        <w:t xml:space="preserve">pio de Oaxaca de Juárez, Oaxaca. </w:t>
      </w:r>
    </w:p>
    <w:p w14:paraId="24A252D7" w14:textId="77777777" w:rsidR="00326078" w:rsidRDefault="00ED5A44" w:rsidP="00ED5A44">
      <w:pPr>
        <w:spacing w:before="240" w:line="360" w:lineRule="auto"/>
        <w:ind w:left="567" w:right="616"/>
        <w:jc w:val="both"/>
        <w:rPr>
          <w:rFonts w:ascii="Arial" w:eastAsiaTheme="minorEastAsia" w:hAnsi="Arial" w:cs="Arial"/>
          <w:bCs/>
          <w:i/>
          <w:color w:val="000000"/>
          <w:lang w:eastAsia="es-MX"/>
        </w:rPr>
      </w:pPr>
      <w:r>
        <w:rPr>
          <w:rFonts w:ascii="Arial" w:eastAsiaTheme="minorEastAsia" w:hAnsi="Arial" w:cs="Arial"/>
          <w:bCs/>
          <w:i/>
          <w:color w:val="000000"/>
          <w:lang w:eastAsia="es-MX"/>
        </w:rPr>
        <w:t xml:space="preserve">Visto su contenido, con fundamento en los artículos 114 QUÁTER de la Constitución Política del Estado Libre y Soberano de Oaxaca, </w:t>
      </w:r>
      <w:r w:rsidR="00B73688">
        <w:rPr>
          <w:rFonts w:ascii="Arial" w:eastAsiaTheme="minorEastAsia" w:hAnsi="Arial" w:cs="Arial"/>
          <w:bCs/>
          <w:i/>
          <w:color w:val="000000"/>
          <w:lang w:eastAsia="es-MX"/>
        </w:rPr>
        <w:t xml:space="preserve">133 fracción I, 146, 147, 149, 163 fracción I, inciso a) y 183 de la Ley de Procedimiento y Justicia Administrativa para el Estado de Oaxaca, se admite a trámite la demanda y se tienen por ofrecidas las pruebas indicadas en el capítulo correspondiente de su escrito. </w:t>
      </w:r>
      <w:r w:rsidR="00326078">
        <w:rPr>
          <w:rFonts w:ascii="Arial" w:eastAsiaTheme="minorEastAsia" w:hAnsi="Arial" w:cs="Arial"/>
          <w:bCs/>
          <w:i/>
          <w:color w:val="000000"/>
          <w:lang w:eastAsia="es-MX"/>
        </w:rPr>
        <w:t>Se tiene como domicilio para recibir notificaciones el indicado en la demanda y solamente como autorizados en términos del artículo 148 último párrafo de la ley en cita, a los profesionistas que para tal efecto señala, hasta en tanto no hayan registrado su cédula profesional en la Secretaría General de este Tribunal.</w:t>
      </w:r>
    </w:p>
    <w:p w14:paraId="1AC6689C" w14:textId="23A06C83" w:rsidR="00326078" w:rsidRDefault="00326078" w:rsidP="00913F86">
      <w:pPr>
        <w:spacing w:before="240" w:line="360" w:lineRule="auto"/>
        <w:ind w:left="567" w:right="616"/>
        <w:jc w:val="both"/>
        <w:rPr>
          <w:rFonts w:ascii="Arial" w:eastAsiaTheme="minorEastAsia" w:hAnsi="Arial" w:cs="Arial"/>
          <w:bCs/>
          <w:i/>
          <w:color w:val="000000"/>
          <w:lang w:eastAsia="es-MX"/>
        </w:rPr>
      </w:pPr>
      <w:r>
        <w:rPr>
          <w:rFonts w:ascii="Arial" w:eastAsiaTheme="minorEastAsia" w:hAnsi="Arial" w:cs="Arial"/>
          <w:bCs/>
          <w:i/>
          <w:color w:val="000000"/>
          <w:lang w:eastAsia="es-MX"/>
        </w:rPr>
        <w:t xml:space="preserve">Asimismo, se ordena correr traslado al </w:t>
      </w:r>
      <w:r w:rsidRPr="00ED5A44">
        <w:rPr>
          <w:rFonts w:ascii="Arial" w:eastAsiaTheme="minorEastAsia" w:hAnsi="Arial" w:cs="Arial"/>
          <w:bCs/>
          <w:i/>
          <w:color w:val="000000"/>
          <w:lang w:eastAsia="es-MX"/>
        </w:rPr>
        <w:t>el Policía Vial con número estadístico PV- 249, adscrito a la Subdirección de Tránsito y Movilidad del Munici</w:t>
      </w:r>
      <w:r>
        <w:rPr>
          <w:rFonts w:ascii="Arial" w:eastAsiaTheme="minorEastAsia" w:hAnsi="Arial" w:cs="Arial"/>
          <w:bCs/>
          <w:i/>
          <w:color w:val="000000"/>
          <w:lang w:eastAsia="es-MX"/>
        </w:rPr>
        <w:t xml:space="preserve">pio de Oaxaca de Juárez, Oaxaca, para que en el plazo de nueve días hábiles </w:t>
      </w:r>
      <w:r w:rsidR="00913F86">
        <w:rPr>
          <w:rFonts w:ascii="Arial" w:eastAsiaTheme="minorEastAsia" w:hAnsi="Arial" w:cs="Arial"/>
          <w:bCs/>
          <w:i/>
          <w:color w:val="000000"/>
          <w:lang w:eastAsia="es-MX"/>
        </w:rPr>
        <w:t>establecido en el numeral 183 párrafo</w:t>
      </w:r>
      <w:r w:rsidR="006B5F0F">
        <w:rPr>
          <w:rFonts w:ascii="Arial" w:eastAsiaTheme="minorEastAsia" w:hAnsi="Arial" w:cs="Arial"/>
          <w:bCs/>
          <w:i/>
          <w:color w:val="000000"/>
          <w:lang w:eastAsia="es-MX"/>
        </w:rPr>
        <w:t>s</w:t>
      </w:r>
      <w:r w:rsidR="00913F86">
        <w:rPr>
          <w:rFonts w:ascii="Arial" w:eastAsiaTheme="minorEastAsia" w:hAnsi="Arial" w:cs="Arial"/>
          <w:bCs/>
          <w:i/>
          <w:color w:val="000000"/>
          <w:lang w:eastAsia="es-MX"/>
        </w:rPr>
        <w:t xml:space="preserve"> primero</w:t>
      </w:r>
      <w:r w:rsidR="006B5F0F">
        <w:rPr>
          <w:rFonts w:ascii="Arial" w:eastAsiaTheme="minorEastAsia" w:hAnsi="Arial" w:cs="Arial"/>
          <w:bCs/>
          <w:i/>
          <w:color w:val="000000"/>
          <w:lang w:eastAsia="es-MX"/>
        </w:rPr>
        <w:t xml:space="preserve"> y segundo</w:t>
      </w:r>
      <w:r w:rsidR="00913F86">
        <w:rPr>
          <w:rFonts w:ascii="Arial" w:eastAsiaTheme="minorEastAsia" w:hAnsi="Arial" w:cs="Arial"/>
          <w:bCs/>
          <w:i/>
          <w:color w:val="000000"/>
          <w:lang w:eastAsia="es-MX"/>
        </w:rPr>
        <w:t xml:space="preserve"> de la Ley de Procedimiento y Justicia Administrativa para el Estado de Oaxaca, conteste la demanda entablada en su contra, ofrezca pruebas y exprese lo que a su derecho convenga, apercibido que de no hacerlo </w:t>
      </w:r>
      <w:r w:rsidR="006B5F0F">
        <w:rPr>
          <w:rFonts w:ascii="Arial" w:eastAsiaTheme="minorEastAsia" w:hAnsi="Arial" w:cs="Arial"/>
          <w:bCs/>
          <w:i/>
          <w:color w:val="000000"/>
          <w:lang w:eastAsia="es-MX"/>
        </w:rPr>
        <w:t xml:space="preserve">dentro de ese plazo, se tendrá por contestada la demanda en sentido afirmativo, salvo prueba en contrario. Además, deberá adjuntar las copias de su contestación y de los documentos que la acompañen, </w:t>
      </w:r>
      <w:r w:rsidR="00481D7E">
        <w:rPr>
          <w:rFonts w:ascii="Arial" w:eastAsiaTheme="minorEastAsia" w:hAnsi="Arial" w:cs="Arial"/>
          <w:bCs/>
          <w:i/>
          <w:color w:val="000000"/>
          <w:lang w:eastAsia="es-MX"/>
        </w:rPr>
        <w:t xml:space="preserve">para correr traslado a las partes, conforme a lo preceptuado en el artículo 185 de la Ley de Procedimiento y Justicia Administrativa para el Estado de Oaxaca. </w:t>
      </w:r>
    </w:p>
    <w:p w14:paraId="18E4A224" w14:textId="1B19C91D" w:rsidR="00C619FF" w:rsidRPr="00C619FF" w:rsidRDefault="00C619FF" w:rsidP="00C619FF">
      <w:pPr>
        <w:spacing w:before="240" w:line="360" w:lineRule="auto"/>
        <w:ind w:left="567" w:right="616"/>
        <w:jc w:val="both"/>
        <w:rPr>
          <w:rFonts w:ascii="Arial" w:eastAsiaTheme="minorEastAsia" w:hAnsi="Arial" w:cs="Arial"/>
          <w:bCs/>
          <w:i/>
          <w:color w:val="000000"/>
          <w:lang w:eastAsia="es-MX"/>
        </w:rPr>
      </w:pPr>
      <w:r w:rsidRPr="00C619FF">
        <w:rPr>
          <w:rFonts w:ascii="Arial" w:eastAsiaTheme="minorEastAsia" w:hAnsi="Arial" w:cs="Arial"/>
          <w:bCs/>
          <w:i/>
          <w:color w:val="000000"/>
          <w:lang w:eastAsia="es-MX"/>
        </w:rPr>
        <w:t>Finalmente, en cumplimiento a lo dispues</w:t>
      </w:r>
      <w:r w:rsidR="00922A87">
        <w:rPr>
          <w:rFonts w:ascii="Arial" w:eastAsiaTheme="minorEastAsia" w:hAnsi="Arial" w:cs="Arial"/>
          <w:bCs/>
          <w:i/>
          <w:color w:val="000000"/>
          <w:lang w:eastAsia="es-MX"/>
        </w:rPr>
        <w:t xml:space="preserve">to por los artículos 1, 2, 4, 5 </w:t>
      </w:r>
      <w:r w:rsidRPr="00C619FF">
        <w:rPr>
          <w:rFonts w:ascii="Arial" w:eastAsiaTheme="minorEastAsia" w:hAnsi="Arial" w:cs="Arial"/>
          <w:bCs/>
          <w:i/>
          <w:color w:val="000000"/>
          <w:lang w:eastAsia="es-MX"/>
        </w:rPr>
        <w:t xml:space="preserve"> frac</w:t>
      </w:r>
      <w:r w:rsidR="00922A87">
        <w:rPr>
          <w:rFonts w:ascii="Arial" w:eastAsiaTheme="minorEastAsia" w:hAnsi="Arial" w:cs="Arial"/>
          <w:bCs/>
          <w:i/>
          <w:color w:val="000000"/>
          <w:lang w:eastAsia="es-MX"/>
        </w:rPr>
        <w:t>ción V, 6 fracciones VII, XX última parte y XL, 7 fracción II</w:t>
      </w:r>
      <w:r w:rsidRPr="00C619FF">
        <w:rPr>
          <w:rFonts w:ascii="Arial" w:eastAsiaTheme="minorEastAsia" w:hAnsi="Arial" w:cs="Arial"/>
          <w:bCs/>
          <w:i/>
          <w:color w:val="000000"/>
          <w:lang w:eastAsia="es-MX"/>
        </w:rPr>
        <w:t xml:space="preserve"> último párrafo, 10</w:t>
      </w:r>
      <w:r w:rsidR="00922A87">
        <w:rPr>
          <w:rFonts w:ascii="Arial" w:eastAsiaTheme="minorEastAsia" w:hAnsi="Arial" w:cs="Arial"/>
          <w:bCs/>
          <w:i/>
          <w:color w:val="000000"/>
          <w:lang w:eastAsia="es-MX"/>
        </w:rPr>
        <w:t xml:space="preserve"> fracción </w:t>
      </w:r>
      <w:r w:rsidR="00922A87">
        <w:rPr>
          <w:rFonts w:ascii="Arial" w:eastAsiaTheme="minorEastAsia" w:hAnsi="Arial" w:cs="Arial"/>
          <w:bCs/>
          <w:i/>
          <w:color w:val="000000"/>
          <w:lang w:eastAsia="es-MX"/>
        </w:rPr>
        <w:lastRenderedPageBreak/>
        <w:t>III, 12, 49</w:t>
      </w:r>
      <w:r w:rsidRPr="00C619FF">
        <w:rPr>
          <w:rFonts w:ascii="Arial" w:eastAsiaTheme="minorEastAsia" w:hAnsi="Arial" w:cs="Arial"/>
          <w:bCs/>
          <w:i/>
          <w:color w:val="000000"/>
          <w:lang w:eastAsia="es-MX"/>
        </w:rPr>
        <w:t xml:space="preserve"> fracción XI, 50, 56, 57 y 62, de la Ley de Transparencia y Acceso a la Información Pública para el Estado de Oaxaca, misma que entró en vigor el tres de mayo del año dos mil dieciséis, y con el fin de respetar la información de sus datos personales del administrado, hágasele de su conocimiento, que se protegerán de manera indefinida; estará a disposición del público para su consulta, conforme al procedimiento de acceso a la información; así también, comuníquesele al administrado el derecho que le asiste, para oponerse en relación con terceros a la publicación de sus datos personales, haciendo mención expresa de los mismos, en la inteligencia de que la falta de oposición no conlleva su consentimiento para que la sentencia respectiva se publique sin la supresión de estos datos, manifestación que deberá realizar hasta antes de la celebración de la audiencia final.</w:t>
      </w:r>
    </w:p>
    <w:p w14:paraId="5588DB9A" w14:textId="63192670" w:rsidR="00C619FF" w:rsidRPr="00922A87" w:rsidRDefault="00922A87" w:rsidP="00C619FF">
      <w:pPr>
        <w:spacing w:before="240" w:line="360" w:lineRule="auto"/>
        <w:ind w:left="567" w:right="616"/>
        <w:jc w:val="both"/>
        <w:rPr>
          <w:rFonts w:ascii="Arial" w:eastAsiaTheme="minorEastAsia" w:hAnsi="Arial" w:cs="Arial"/>
          <w:bCs/>
          <w:i/>
          <w:color w:val="000000"/>
          <w:lang w:eastAsia="es-MX"/>
        </w:rPr>
      </w:pPr>
      <w:r>
        <w:rPr>
          <w:rFonts w:ascii="Arial" w:eastAsiaTheme="minorEastAsia" w:hAnsi="Arial" w:cs="Arial"/>
          <w:bCs/>
          <w:i/>
          <w:color w:val="000000"/>
          <w:lang w:eastAsia="es-MX"/>
        </w:rPr>
        <w:t>N</w:t>
      </w:r>
      <w:r w:rsidRPr="00922A87">
        <w:rPr>
          <w:rFonts w:ascii="Arial" w:eastAsiaTheme="minorEastAsia" w:hAnsi="Arial" w:cs="Arial"/>
          <w:bCs/>
          <w:i/>
          <w:color w:val="000000"/>
          <w:lang w:eastAsia="es-MX"/>
        </w:rPr>
        <w:t>otifíquese personalmente a la parte actora y por oficio a la autoridad demandada</w:t>
      </w:r>
      <w:r>
        <w:rPr>
          <w:rFonts w:ascii="Arial" w:eastAsiaTheme="minorEastAsia" w:hAnsi="Arial" w:cs="Arial"/>
          <w:bCs/>
          <w:i/>
          <w:color w:val="000000"/>
          <w:lang w:eastAsia="es-MX"/>
        </w:rPr>
        <w:t xml:space="preserve">, de acuerdo al artículo 172 fracción I de la </w:t>
      </w:r>
      <w:r w:rsidRPr="00922A87">
        <w:rPr>
          <w:rFonts w:ascii="Arial" w:eastAsiaTheme="minorEastAsia" w:hAnsi="Arial" w:cs="Arial"/>
          <w:bCs/>
          <w:i/>
          <w:color w:val="000000"/>
          <w:lang w:eastAsia="es-MX"/>
        </w:rPr>
        <w:t>Ley de Procedimiento y Justicia Administrativa para el Estado de Oaxaca</w:t>
      </w:r>
      <w:r>
        <w:rPr>
          <w:rFonts w:ascii="Arial" w:eastAsiaTheme="minorEastAsia" w:hAnsi="Arial" w:cs="Arial"/>
          <w:bCs/>
          <w:i/>
          <w:color w:val="000000"/>
          <w:lang w:eastAsia="es-MX"/>
        </w:rPr>
        <w:t>.- C</w:t>
      </w:r>
      <w:r w:rsidRPr="00922A87">
        <w:rPr>
          <w:rFonts w:ascii="Arial" w:eastAsiaTheme="minorEastAsia" w:hAnsi="Arial" w:cs="Arial"/>
          <w:bCs/>
          <w:i/>
          <w:color w:val="000000"/>
          <w:lang w:eastAsia="es-MX"/>
        </w:rPr>
        <w:t>úmplase.”</w:t>
      </w:r>
    </w:p>
    <w:p w14:paraId="51F6D6A6" w14:textId="2F4DAA7A" w:rsidR="000F5EB6" w:rsidRDefault="00C619FF" w:rsidP="000F5EB6">
      <w:pPr>
        <w:widowControl w:val="0"/>
        <w:tabs>
          <w:tab w:val="left" w:pos="0"/>
        </w:tabs>
        <w:spacing w:before="240" w:after="0" w:line="360" w:lineRule="auto"/>
        <w:ind w:right="18"/>
        <w:jc w:val="both"/>
        <w:rPr>
          <w:rFonts w:ascii="Arial" w:eastAsiaTheme="minorEastAsia" w:hAnsi="Arial" w:cs="Arial"/>
          <w:sz w:val="26"/>
          <w:szCs w:val="26"/>
          <w:lang w:eastAsia="es-MX"/>
        </w:rPr>
      </w:pPr>
      <w:r>
        <w:rPr>
          <w:rFonts w:ascii="Arial" w:eastAsia="Calibri" w:hAnsi="Arial" w:cs="Arial"/>
          <w:bCs/>
          <w:sz w:val="26"/>
          <w:szCs w:val="26"/>
          <w:lang w:eastAsia="es-MX"/>
        </w:rPr>
        <w:tab/>
      </w:r>
      <w:r w:rsidR="00B75A41">
        <w:rPr>
          <w:rFonts w:ascii="Arial" w:eastAsia="Calibri" w:hAnsi="Arial" w:cs="Arial"/>
          <w:bCs/>
          <w:sz w:val="26"/>
          <w:szCs w:val="26"/>
          <w:lang w:eastAsia="es-MX"/>
        </w:rPr>
        <w:t xml:space="preserve">20.- </w:t>
      </w:r>
      <w:r>
        <w:rPr>
          <w:rFonts w:ascii="Arial" w:eastAsia="Calibri" w:hAnsi="Arial" w:cs="Arial"/>
          <w:bCs/>
          <w:sz w:val="26"/>
          <w:szCs w:val="26"/>
          <w:lang w:eastAsia="es-MX"/>
        </w:rPr>
        <w:t>Por las consideraciones que han sido explicadas</w:t>
      </w:r>
      <w:r w:rsidR="000F5EB6" w:rsidRPr="000F5EB6">
        <w:rPr>
          <w:rFonts w:ascii="Arial" w:eastAsia="Calibri" w:hAnsi="Arial" w:cs="Arial"/>
          <w:bCs/>
          <w:sz w:val="26"/>
          <w:szCs w:val="26"/>
          <w:lang w:eastAsia="es-MX"/>
        </w:rPr>
        <w:t>, es procedente</w:t>
      </w:r>
      <w:r>
        <w:rPr>
          <w:rFonts w:ascii="Arial" w:eastAsia="Calibri" w:hAnsi="Arial" w:cs="Arial"/>
          <w:bCs/>
          <w:sz w:val="26"/>
          <w:szCs w:val="26"/>
          <w:lang w:eastAsia="es-MX"/>
        </w:rPr>
        <w:t xml:space="preserve"> </w:t>
      </w:r>
      <w:r w:rsidRPr="00922A87">
        <w:rPr>
          <w:rFonts w:ascii="Arial" w:eastAsia="Calibri" w:hAnsi="Arial" w:cs="Arial"/>
          <w:b/>
          <w:bCs/>
          <w:sz w:val="26"/>
          <w:szCs w:val="26"/>
          <w:lang w:eastAsia="es-MX"/>
        </w:rPr>
        <w:t>R</w:t>
      </w:r>
      <w:r w:rsidR="00922A87" w:rsidRPr="00922A87">
        <w:rPr>
          <w:rFonts w:ascii="Arial" w:eastAsia="Calibri" w:hAnsi="Arial" w:cs="Arial"/>
          <w:b/>
          <w:bCs/>
          <w:sz w:val="26"/>
          <w:szCs w:val="26"/>
          <w:lang w:eastAsia="es-MX"/>
        </w:rPr>
        <w:t>EVOCAR</w:t>
      </w:r>
      <w:r w:rsidR="00922A87">
        <w:rPr>
          <w:rFonts w:ascii="Arial" w:eastAsia="Calibri" w:hAnsi="Arial" w:cs="Arial"/>
          <w:bCs/>
          <w:sz w:val="26"/>
          <w:szCs w:val="26"/>
          <w:lang w:eastAsia="es-MX"/>
        </w:rPr>
        <w:t xml:space="preserve"> el acuerdo de nueve de marzo y en su lugar dictar otro, </w:t>
      </w:r>
      <w:r w:rsidR="000F5EB6" w:rsidRPr="000F5EB6">
        <w:rPr>
          <w:rFonts w:ascii="Arial" w:eastAsia="Calibri" w:hAnsi="Arial" w:cs="Arial"/>
          <w:sz w:val="26"/>
          <w:szCs w:val="26"/>
          <w:lang w:eastAsia="es-MX"/>
        </w:rPr>
        <w:t>por las consideraciones expuestas por esta Sala Superior,</w:t>
      </w:r>
      <w:r w:rsidR="000F5EB6" w:rsidRPr="000F5EB6">
        <w:rPr>
          <w:rFonts w:ascii="Arial" w:eastAsia="Calibri" w:hAnsi="Arial" w:cs="Arial"/>
          <w:bCs/>
          <w:sz w:val="26"/>
          <w:szCs w:val="26"/>
          <w:lang w:eastAsia="es-MX"/>
        </w:rPr>
        <w:t xml:space="preserve"> </w:t>
      </w:r>
      <w:r w:rsidR="000F5EB6" w:rsidRPr="000F5EB6">
        <w:rPr>
          <w:rFonts w:ascii="Arial" w:eastAsia="Calibri" w:hAnsi="Arial" w:cs="Arial"/>
          <w:sz w:val="26"/>
          <w:szCs w:val="26"/>
          <w:lang w:eastAsia="es-MX"/>
        </w:rPr>
        <w:t>y con fundamento en los artículos 236 y 238 de la Ley de Procedimiento y Justicia Administrativa para el Estado de Oaxaca, se</w:t>
      </w:r>
      <w:r w:rsidR="000F5EB6" w:rsidRPr="000F5EB6">
        <w:rPr>
          <w:rFonts w:ascii="Arial" w:eastAsiaTheme="minorEastAsia" w:hAnsi="Arial" w:cs="Arial"/>
          <w:sz w:val="26"/>
          <w:szCs w:val="26"/>
          <w:lang w:eastAsia="es-MX"/>
        </w:rPr>
        <w:t>:</w:t>
      </w:r>
    </w:p>
    <w:p w14:paraId="3DE63372" w14:textId="4CC357C6" w:rsidR="000505BC" w:rsidRPr="000505BC" w:rsidRDefault="000505BC" w:rsidP="000505BC">
      <w:pPr>
        <w:widowControl w:val="0"/>
        <w:tabs>
          <w:tab w:val="left" w:pos="0"/>
        </w:tabs>
        <w:spacing w:before="240" w:after="0" w:line="360" w:lineRule="auto"/>
        <w:ind w:right="18"/>
        <w:jc w:val="center"/>
        <w:rPr>
          <w:rFonts w:ascii="Arial" w:eastAsiaTheme="minorEastAsia" w:hAnsi="Arial" w:cs="Arial"/>
          <w:b/>
          <w:sz w:val="26"/>
          <w:szCs w:val="26"/>
          <w:lang w:eastAsia="es-MX"/>
        </w:rPr>
      </w:pPr>
      <w:r w:rsidRPr="000505BC">
        <w:rPr>
          <w:rFonts w:ascii="Arial" w:eastAsiaTheme="minorEastAsia" w:hAnsi="Arial" w:cs="Arial"/>
          <w:b/>
          <w:sz w:val="26"/>
          <w:szCs w:val="26"/>
          <w:lang w:eastAsia="es-MX"/>
        </w:rPr>
        <w:t>R E S U E L V E</w:t>
      </w:r>
    </w:p>
    <w:p w14:paraId="5D240C25" w14:textId="3E7299F4" w:rsidR="000505BC" w:rsidRPr="000505BC" w:rsidRDefault="000505BC" w:rsidP="000505BC">
      <w:pPr>
        <w:spacing w:line="360" w:lineRule="auto"/>
        <w:ind w:firstLine="709"/>
        <w:jc w:val="both"/>
        <w:rPr>
          <w:rFonts w:ascii="Arial" w:eastAsiaTheme="minorEastAsia" w:hAnsi="Arial" w:cs="Arial"/>
          <w:b/>
          <w:bCs/>
          <w:iCs/>
          <w:sz w:val="26"/>
          <w:szCs w:val="26"/>
          <w:lang w:eastAsia="es-MX"/>
        </w:rPr>
      </w:pPr>
      <w:bookmarkStart w:id="1" w:name="_Hlk124774498"/>
      <w:r w:rsidRPr="000505BC">
        <w:rPr>
          <w:rFonts w:ascii="Arial" w:eastAsiaTheme="minorEastAsia" w:hAnsi="Arial" w:cs="Arial"/>
          <w:b/>
          <w:sz w:val="26"/>
          <w:szCs w:val="26"/>
          <w:lang w:eastAsia="es-MX"/>
        </w:rPr>
        <w:t>PRIMERO.</w:t>
      </w:r>
      <w:r w:rsidRPr="000505BC">
        <w:rPr>
          <w:rFonts w:ascii="Arial" w:eastAsiaTheme="minorEastAsia" w:hAnsi="Arial" w:cs="Arial"/>
          <w:sz w:val="26"/>
          <w:szCs w:val="26"/>
          <w:lang w:eastAsia="es-MX"/>
        </w:rPr>
        <w:t xml:space="preserve"> </w:t>
      </w:r>
      <w:r w:rsidRPr="000505BC">
        <w:rPr>
          <w:rFonts w:ascii="Arial" w:eastAsiaTheme="minorEastAsia" w:hAnsi="Arial" w:cs="Arial"/>
          <w:bCs/>
          <w:iCs/>
          <w:sz w:val="26"/>
          <w:szCs w:val="26"/>
          <w:lang w:eastAsia="es-MX"/>
        </w:rPr>
        <w:t xml:space="preserve">Se </w:t>
      </w:r>
      <w:r w:rsidRPr="000505BC">
        <w:rPr>
          <w:rFonts w:ascii="Arial" w:eastAsiaTheme="minorEastAsia" w:hAnsi="Arial" w:cs="Arial"/>
          <w:b/>
          <w:bCs/>
          <w:iCs/>
          <w:sz w:val="26"/>
          <w:szCs w:val="26"/>
          <w:lang w:eastAsia="es-MX"/>
        </w:rPr>
        <w:t>deja sin efecto</w:t>
      </w:r>
      <w:r>
        <w:rPr>
          <w:rFonts w:ascii="Arial" w:eastAsiaTheme="minorEastAsia" w:hAnsi="Arial" w:cs="Arial"/>
          <w:bCs/>
          <w:iCs/>
          <w:sz w:val="26"/>
          <w:szCs w:val="26"/>
          <w:lang w:eastAsia="es-MX"/>
        </w:rPr>
        <w:t xml:space="preserve"> la resolución de veintisiete de abril de dos mil veintidós, </w:t>
      </w:r>
      <w:r w:rsidRPr="000505BC">
        <w:rPr>
          <w:rFonts w:ascii="Arial" w:eastAsiaTheme="minorEastAsia" w:hAnsi="Arial" w:cs="Arial"/>
          <w:bCs/>
          <w:iCs/>
          <w:sz w:val="26"/>
          <w:szCs w:val="26"/>
          <w:lang w:eastAsia="es-MX"/>
        </w:rPr>
        <w:t xml:space="preserve">dictada por esta Sala Superior del Tribunal de Justicia Administrativa del Estado de Oaxaca, en el recurso de revisión </w:t>
      </w:r>
      <w:r w:rsidRPr="000505BC">
        <w:rPr>
          <w:rFonts w:ascii="Arial" w:eastAsiaTheme="minorEastAsia" w:hAnsi="Arial" w:cs="Arial"/>
          <w:b/>
          <w:bCs/>
          <w:iCs/>
          <w:sz w:val="26"/>
          <w:szCs w:val="26"/>
          <w:lang w:eastAsia="es-MX"/>
        </w:rPr>
        <w:t>0</w:t>
      </w:r>
      <w:r>
        <w:rPr>
          <w:rFonts w:ascii="Arial" w:eastAsiaTheme="minorEastAsia" w:hAnsi="Arial" w:cs="Arial"/>
          <w:b/>
          <w:bCs/>
          <w:iCs/>
          <w:sz w:val="26"/>
          <w:szCs w:val="26"/>
          <w:lang w:eastAsia="es-MX"/>
        </w:rPr>
        <w:t>102</w:t>
      </w:r>
      <w:r w:rsidRPr="000505BC">
        <w:rPr>
          <w:rFonts w:ascii="Arial" w:eastAsiaTheme="minorEastAsia" w:hAnsi="Arial" w:cs="Arial"/>
          <w:b/>
          <w:bCs/>
          <w:iCs/>
          <w:sz w:val="26"/>
          <w:szCs w:val="26"/>
          <w:lang w:eastAsia="es-MX"/>
        </w:rPr>
        <w:t>/2021</w:t>
      </w:r>
      <w:r>
        <w:rPr>
          <w:rFonts w:ascii="Arial" w:eastAsiaTheme="minorEastAsia" w:hAnsi="Arial" w:cs="Arial"/>
          <w:bCs/>
          <w:iCs/>
          <w:sz w:val="26"/>
          <w:szCs w:val="26"/>
          <w:lang w:eastAsia="es-MX"/>
        </w:rPr>
        <w:t>.</w:t>
      </w:r>
    </w:p>
    <w:p w14:paraId="4AF2C7B9" w14:textId="24E44D23" w:rsidR="000505BC" w:rsidRPr="000505BC" w:rsidRDefault="000505BC" w:rsidP="000505BC">
      <w:pPr>
        <w:spacing w:line="360" w:lineRule="auto"/>
        <w:ind w:firstLine="709"/>
        <w:jc w:val="both"/>
        <w:rPr>
          <w:rFonts w:ascii="Arial" w:eastAsiaTheme="minorEastAsia" w:hAnsi="Arial" w:cs="Arial"/>
          <w:bCs/>
          <w:iCs/>
          <w:sz w:val="26"/>
          <w:szCs w:val="26"/>
          <w:lang w:eastAsia="es-MX"/>
        </w:rPr>
      </w:pPr>
      <w:r w:rsidRPr="000505BC">
        <w:rPr>
          <w:rFonts w:ascii="Arial" w:eastAsiaTheme="minorEastAsia" w:hAnsi="Arial" w:cs="Arial"/>
          <w:b/>
          <w:sz w:val="26"/>
          <w:szCs w:val="26"/>
          <w:lang w:eastAsia="es-MX"/>
        </w:rPr>
        <w:t>SEGUNDO.</w:t>
      </w:r>
      <w:r w:rsidRPr="000505BC">
        <w:rPr>
          <w:rFonts w:ascii="Arial" w:eastAsiaTheme="minorEastAsia" w:hAnsi="Arial" w:cs="Arial"/>
          <w:sz w:val="26"/>
          <w:szCs w:val="26"/>
          <w:lang w:eastAsia="es-MX"/>
        </w:rPr>
        <w:t xml:space="preserve"> </w:t>
      </w:r>
      <w:r w:rsidRPr="000505BC">
        <w:rPr>
          <w:rFonts w:ascii="Arial" w:eastAsiaTheme="minorEastAsia" w:hAnsi="Arial" w:cs="Arial"/>
          <w:bCs/>
          <w:iCs/>
          <w:sz w:val="26"/>
          <w:szCs w:val="26"/>
          <w:lang w:eastAsia="es-MX"/>
        </w:rPr>
        <w:t xml:space="preserve">Se </w:t>
      </w:r>
      <w:r w:rsidRPr="000505BC">
        <w:rPr>
          <w:rFonts w:ascii="Arial" w:eastAsiaTheme="minorEastAsia" w:hAnsi="Arial" w:cs="Arial"/>
          <w:b/>
          <w:bCs/>
          <w:iCs/>
          <w:sz w:val="26"/>
          <w:szCs w:val="26"/>
          <w:lang w:eastAsia="es-MX"/>
        </w:rPr>
        <w:t xml:space="preserve">REVOCA </w:t>
      </w:r>
      <w:r w:rsidRPr="000505BC">
        <w:rPr>
          <w:rFonts w:ascii="Arial" w:eastAsiaTheme="minorEastAsia" w:hAnsi="Arial" w:cs="Arial"/>
          <w:bCs/>
          <w:iCs/>
          <w:sz w:val="26"/>
          <w:szCs w:val="26"/>
          <w:lang w:eastAsia="es-MX"/>
        </w:rPr>
        <w:t xml:space="preserve">el acuerdo de </w:t>
      </w:r>
      <w:r w:rsidRPr="002E5ECE">
        <w:rPr>
          <w:rFonts w:ascii="Arial" w:eastAsiaTheme="minorEastAsia" w:hAnsi="Arial" w:cs="Arial"/>
          <w:bCs/>
          <w:iCs/>
          <w:sz w:val="26"/>
          <w:szCs w:val="26"/>
          <w:lang w:eastAsia="es-MX"/>
        </w:rPr>
        <w:t xml:space="preserve">nueve de marzo </w:t>
      </w:r>
      <w:r w:rsidRPr="000505BC">
        <w:rPr>
          <w:rFonts w:ascii="Arial" w:eastAsiaTheme="minorEastAsia" w:hAnsi="Arial" w:cs="Arial"/>
          <w:bCs/>
          <w:iCs/>
          <w:sz w:val="26"/>
          <w:szCs w:val="26"/>
          <w:lang w:eastAsia="es-MX"/>
        </w:rPr>
        <w:t>de dos mil veintiuno, emitido por la Segunda Sala Unitaria de Primera Instancia de este Tribunal, dentro del expedi</w:t>
      </w:r>
      <w:r w:rsidRPr="002E5ECE">
        <w:rPr>
          <w:rFonts w:ascii="Arial" w:eastAsiaTheme="minorEastAsia" w:hAnsi="Arial" w:cs="Arial"/>
          <w:bCs/>
          <w:iCs/>
          <w:sz w:val="26"/>
          <w:szCs w:val="26"/>
          <w:lang w:eastAsia="es-MX"/>
        </w:rPr>
        <w:t>ente del juicio de nulidad 0159</w:t>
      </w:r>
      <w:r w:rsidRPr="000505BC">
        <w:rPr>
          <w:rFonts w:ascii="Arial" w:eastAsiaTheme="minorEastAsia" w:hAnsi="Arial" w:cs="Arial"/>
          <w:bCs/>
          <w:iCs/>
          <w:sz w:val="26"/>
          <w:szCs w:val="26"/>
          <w:lang w:eastAsia="es-MX"/>
        </w:rPr>
        <w:t>/2020</w:t>
      </w:r>
      <w:r w:rsidRPr="002E5ECE">
        <w:rPr>
          <w:rFonts w:ascii="Arial" w:eastAsiaTheme="minorEastAsia" w:hAnsi="Arial" w:cs="Arial"/>
          <w:bCs/>
          <w:iCs/>
          <w:sz w:val="26"/>
          <w:szCs w:val="26"/>
          <w:lang w:eastAsia="es-MX"/>
        </w:rPr>
        <w:t xml:space="preserve">, por las razones expuestas por esta Sala Superior. </w:t>
      </w:r>
    </w:p>
    <w:p w14:paraId="5EE4EDB4" w14:textId="51ADE495" w:rsidR="000505BC" w:rsidRPr="000505BC" w:rsidRDefault="000505BC" w:rsidP="000505BC">
      <w:pPr>
        <w:spacing w:line="360" w:lineRule="auto"/>
        <w:ind w:firstLine="709"/>
        <w:jc w:val="both"/>
        <w:rPr>
          <w:rFonts w:ascii="Arial" w:eastAsiaTheme="minorEastAsia" w:hAnsi="Arial" w:cs="Arial"/>
          <w:sz w:val="26"/>
          <w:szCs w:val="26"/>
          <w:lang w:eastAsia="es-MX"/>
        </w:rPr>
      </w:pPr>
      <w:r w:rsidRPr="000505BC">
        <w:rPr>
          <w:rFonts w:ascii="Arial" w:eastAsiaTheme="minorEastAsia" w:hAnsi="Arial" w:cs="Arial"/>
          <w:b/>
          <w:bCs/>
          <w:iCs/>
          <w:sz w:val="26"/>
          <w:szCs w:val="26"/>
          <w:lang w:eastAsia="es-MX"/>
        </w:rPr>
        <w:t>TERCERO.</w:t>
      </w:r>
      <w:r w:rsidRPr="000505BC">
        <w:rPr>
          <w:rFonts w:ascii="Arial" w:eastAsiaTheme="minorEastAsia" w:hAnsi="Arial" w:cs="Arial"/>
          <w:bCs/>
          <w:iCs/>
          <w:sz w:val="26"/>
          <w:szCs w:val="26"/>
          <w:lang w:eastAsia="es-MX"/>
        </w:rPr>
        <w:t xml:space="preserve"> </w:t>
      </w:r>
      <w:r w:rsidRPr="000505BC">
        <w:rPr>
          <w:rFonts w:ascii="Arial" w:eastAsiaTheme="minorEastAsia" w:hAnsi="Arial" w:cs="Arial"/>
          <w:sz w:val="26"/>
          <w:szCs w:val="26"/>
          <w:lang w:eastAsia="es-MX"/>
        </w:rPr>
        <w:t xml:space="preserve">Remítase copia certificada de la presente resolución al </w:t>
      </w:r>
      <w:r>
        <w:rPr>
          <w:rFonts w:ascii="Arial" w:eastAsiaTheme="minorEastAsia" w:hAnsi="Arial" w:cs="Arial"/>
          <w:sz w:val="26"/>
          <w:szCs w:val="26"/>
          <w:lang w:eastAsia="es-MX"/>
        </w:rPr>
        <w:t xml:space="preserve">Primer </w:t>
      </w:r>
      <w:r w:rsidRPr="000505BC">
        <w:rPr>
          <w:rFonts w:ascii="Arial" w:eastAsiaTheme="minorEastAsia" w:hAnsi="Arial" w:cs="Arial"/>
          <w:sz w:val="26"/>
          <w:szCs w:val="26"/>
          <w:lang w:eastAsia="es-MX"/>
        </w:rPr>
        <w:t xml:space="preserve">Tribunal Colegiado en Materia Civil y Administrativa del Decimotercer Circuito en el Estado de Oaxaca, con residencia en esta ciudad, para los efectos legales correspondientes. </w:t>
      </w:r>
    </w:p>
    <w:p w14:paraId="5015F307" w14:textId="77777777" w:rsidR="002E5ECE" w:rsidRDefault="000505BC" w:rsidP="000505BC">
      <w:pPr>
        <w:spacing w:after="120" w:line="360" w:lineRule="auto"/>
        <w:ind w:firstLine="567"/>
        <w:jc w:val="both"/>
        <w:rPr>
          <w:rFonts w:ascii="Arial" w:eastAsiaTheme="minorEastAsia" w:hAnsi="Arial" w:cs="Arial"/>
          <w:sz w:val="26"/>
          <w:szCs w:val="26"/>
          <w:lang w:eastAsia="es-MX"/>
        </w:rPr>
      </w:pPr>
      <w:r w:rsidRPr="000505BC">
        <w:rPr>
          <w:rFonts w:ascii="Arial" w:eastAsiaTheme="minorEastAsia" w:hAnsi="Arial" w:cs="Arial"/>
          <w:b/>
          <w:bCs/>
          <w:color w:val="000000"/>
          <w:sz w:val="26"/>
          <w:szCs w:val="26"/>
          <w:lang w:eastAsia="es-MX"/>
        </w:rPr>
        <w:t xml:space="preserve">CUARTO. </w:t>
      </w:r>
      <w:r w:rsidRPr="000505BC">
        <w:rPr>
          <w:rFonts w:ascii="Arial" w:eastAsiaTheme="minorEastAsia" w:hAnsi="Arial" w:cs="Arial"/>
          <w:b/>
          <w:sz w:val="26"/>
          <w:szCs w:val="26"/>
          <w:lang w:eastAsia="es-MX"/>
        </w:rPr>
        <w:t>NOTIFÍQUESE Y CÚMPLASE,</w:t>
      </w:r>
      <w:r w:rsidRPr="000505BC">
        <w:rPr>
          <w:rFonts w:ascii="Arial" w:eastAsiaTheme="minorEastAsia" w:hAnsi="Arial" w:cs="Arial"/>
          <w:sz w:val="26"/>
          <w:szCs w:val="26"/>
          <w:lang w:eastAsia="es-MX"/>
        </w:rPr>
        <w:t xml:space="preserve"> con copia certificada de la presente resolución remítanse los autos a la Segunda Sala Unitaria de Primera Instancia de este Tribunal y en su oportunidad archívese el presente cuaderno de revisión como concluido</w:t>
      </w:r>
      <w:r w:rsidR="002E5ECE">
        <w:rPr>
          <w:rFonts w:ascii="Arial" w:eastAsiaTheme="minorEastAsia" w:hAnsi="Arial" w:cs="Arial"/>
          <w:sz w:val="26"/>
          <w:szCs w:val="26"/>
          <w:lang w:eastAsia="es-MX"/>
        </w:rPr>
        <w:t>.</w:t>
      </w:r>
    </w:p>
    <w:p w14:paraId="0F800901" w14:textId="0C7B6A86" w:rsidR="000505BC" w:rsidRDefault="000505BC" w:rsidP="000505BC">
      <w:pPr>
        <w:spacing w:after="120" w:line="360" w:lineRule="auto"/>
        <w:ind w:firstLine="567"/>
        <w:jc w:val="both"/>
        <w:rPr>
          <w:rFonts w:ascii="Arial" w:eastAsiaTheme="minorEastAsia" w:hAnsi="Arial" w:cs="Arial"/>
          <w:sz w:val="26"/>
          <w:szCs w:val="26"/>
          <w:lang w:eastAsia="es-MX"/>
        </w:rPr>
      </w:pPr>
      <w:r w:rsidRPr="000505BC">
        <w:rPr>
          <w:rFonts w:ascii="Arial" w:eastAsiaTheme="minorEastAsia" w:hAnsi="Arial" w:cs="Arial"/>
          <w:sz w:val="26"/>
          <w:szCs w:val="26"/>
          <w:lang w:eastAsia="es-MX"/>
        </w:rPr>
        <w:lastRenderedPageBreak/>
        <w:t xml:space="preserve"> </w:t>
      </w:r>
      <w:r w:rsidR="007E27F3" w:rsidRPr="007E27F3">
        <w:rPr>
          <w:rFonts w:ascii="Arial" w:eastAsiaTheme="minorEastAsia" w:hAnsi="Arial" w:cs="Arial"/>
          <w:sz w:val="26"/>
          <w:szCs w:val="26"/>
          <w:lang w:eastAsia="es-MX"/>
        </w:rPr>
        <w:t>Así lo resolvieron y firmaron por unanimidad de votos, los Magistrados integrantes de la Sala Superior,</w:t>
      </w:r>
      <w:r w:rsidR="007E27F3">
        <w:rPr>
          <w:rFonts w:ascii="Arial" w:eastAsiaTheme="minorEastAsia" w:hAnsi="Arial" w:cs="Arial"/>
          <w:sz w:val="26"/>
          <w:szCs w:val="26"/>
          <w:lang w:eastAsia="es-MX"/>
        </w:rPr>
        <w:t xml:space="preserve"> Mat</w:t>
      </w:r>
      <w:r w:rsidR="00302737">
        <w:rPr>
          <w:rFonts w:ascii="Arial" w:eastAsiaTheme="minorEastAsia" w:hAnsi="Arial" w:cs="Arial"/>
          <w:sz w:val="26"/>
          <w:szCs w:val="26"/>
          <w:lang w:eastAsia="es-MX"/>
        </w:rPr>
        <w:t xml:space="preserve">eo Martínez </w:t>
      </w:r>
      <w:proofErr w:type="spellStart"/>
      <w:r w:rsidR="00302737">
        <w:rPr>
          <w:rFonts w:ascii="Arial" w:eastAsiaTheme="minorEastAsia" w:hAnsi="Arial" w:cs="Arial"/>
          <w:sz w:val="26"/>
          <w:szCs w:val="26"/>
          <w:lang w:eastAsia="es-MX"/>
        </w:rPr>
        <w:t>Martínez</w:t>
      </w:r>
      <w:proofErr w:type="spellEnd"/>
      <w:r w:rsidR="00302737">
        <w:rPr>
          <w:rFonts w:ascii="Arial" w:eastAsiaTheme="minorEastAsia" w:hAnsi="Arial" w:cs="Arial"/>
          <w:sz w:val="26"/>
          <w:szCs w:val="26"/>
          <w:lang w:eastAsia="es-MX"/>
        </w:rPr>
        <w:t xml:space="preserve"> (Ponente</w:t>
      </w:r>
      <w:r w:rsidR="00F304FE">
        <w:rPr>
          <w:rFonts w:ascii="Arial" w:eastAsiaTheme="minorEastAsia" w:hAnsi="Arial" w:cs="Arial"/>
          <w:sz w:val="26"/>
          <w:szCs w:val="26"/>
          <w:lang w:eastAsia="es-MX"/>
        </w:rPr>
        <w:t>), Cruz Itzel Espinos</w:t>
      </w:r>
      <w:r w:rsidR="007E27F3">
        <w:rPr>
          <w:rFonts w:ascii="Arial" w:eastAsiaTheme="minorEastAsia" w:hAnsi="Arial" w:cs="Arial"/>
          <w:sz w:val="26"/>
          <w:szCs w:val="26"/>
          <w:lang w:eastAsia="es-MX"/>
        </w:rPr>
        <w:t xml:space="preserve">a Rojas y Manuel de Jesús López </w:t>
      </w:r>
      <w:proofErr w:type="spellStart"/>
      <w:r w:rsidR="007E27F3">
        <w:rPr>
          <w:rFonts w:ascii="Arial" w:eastAsiaTheme="minorEastAsia" w:hAnsi="Arial" w:cs="Arial"/>
          <w:sz w:val="26"/>
          <w:szCs w:val="26"/>
          <w:lang w:eastAsia="es-MX"/>
        </w:rPr>
        <w:t>López</w:t>
      </w:r>
      <w:proofErr w:type="spellEnd"/>
      <w:r w:rsidR="007E27F3">
        <w:rPr>
          <w:rFonts w:ascii="Arial" w:eastAsiaTheme="minorEastAsia" w:hAnsi="Arial" w:cs="Arial"/>
          <w:sz w:val="26"/>
          <w:szCs w:val="26"/>
          <w:lang w:eastAsia="es-MX"/>
        </w:rPr>
        <w:t xml:space="preserve">, </w:t>
      </w:r>
      <w:r w:rsidR="007E27F3" w:rsidRPr="007E27F3">
        <w:rPr>
          <w:rFonts w:ascii="Arial" w:eastAsiaTheme="minorEastAsia" w:hAnsi="Arial" w:cs="Arial"/>
          <w:sz w:val="26"/>
          <w:szCs w:val="26"/>
          <w:lang w:eastAsia="es-MX"/>
        </w:rPr>
        <w:t>quienes actúan con</w:t>
      </w:r>
      <w:r w:rsidR="007E27F3">
        <w:rPr>
          <w:rFonts w:ascii="Arial" w:eastAsiaTheme="minorEastAsia" w:hAnsi="Arial" w:cs="Arial"/>
          <w:sz w:val="26"/>
          <w:szCs w:val="26"/>
          <w:lang w:eastAsia="es-MX"/>
        </w:rPr>
        <w:t xml:space="preserve"> la Maestra Lizbeth Jessica Gallardo Martínez, Secretaria</w:t>
      </w:r>
      <w:r w:rsidR="007E27F3" w:rsidRPr="007E27F3">
        <w:rPr>
          <w:rFonts w:ascii="Arial" w:eastAsiaTheme="minorEastAsia" w:hAnsi="Arial" w:cs="Arial"/>
          <w:sz w:val="26"/>
          <w:szCs w:val="26"/>
          <w:lang w:eastAsia="es-MX"/>
        </w:rPr>
        <w:t xml:space="preserve"> General de Acuerdos de este Tribunal, que autoriza y da fe. </w:t>
      </w:r>
    </w:p>
    <w:bookmarkEnd w:id="1"/>
    <w:p w14:paraId="6B2BD8F6" w14:textId="77777777" w:rsidR="00F304FE" w:rsidRDefault="00F304FE" w:rsidP="007E27F3">
      <w:pPr>
        <w:spacing w:before="240" w:line="360" w:lineRule="auto"/>
        <w:ind w:left="567" w:right="616"/>
        <w:jc w:val="center"/>
        <w:rPr>
          <w:rFonts w:ascii="Arial" w:eastAsiaTheme="minorEastAsia" w:hAnsi="Arial" w:cs="Arial"/>
          <w:sz w:val="26"/>
          <w:szCs w:val="26"/>
          <w:lang w:eastAsia="es-MX"/>
        </w:rPr>
      </w:pPr>
    </w:p>
    <w:p w14:paraId="0C2F3A99" w14:textId="77777777" w:rsidR="00F304FE" w:rsidRDefault="00F304FE" w:rsidP="007E27F3">
      <w:pPr>
        <w:spacing w:before="240" w:line="360" w:lineRule="auto"/>
        <w:ind w:left="567" w:right="616"/>
        <w:jc w:val="center"/>
        <w:rPr>
          <w:rFonts w:ascii="Arial" w:eastAsiaTheme="minorEastAsia" w:hAnsi="Arial" w:cs="Arial"/>
          <w:sz w:val="26"/>
          <w:szCs w:val="26"/>
          <w:lang w:eastAsia="es-MX"/>
        </w:rPr>
      </w:pPr>
    </w:p>
    <w:p w14:paraId="03810B6F" w14:textId="400C5342" w:rsidR="007E27F3" w:rsidRDefault="007E27F3" w:rsidP="007E27F3">
      <w:pPr>
        <w:spacing w:before="240" w:line="360" w:lineRule="auto"/>
        <w:ind w:left="567" w:right="616"/>
        <w:jc w:val="center"/>
        <w:rPr>
          <w:rFonts w:ascii="Arial" w:eastAsiaTheme="minorEastAsia" w:hAnsi="Arial" w:cs="Arial"/>
          <w:sz w:val="26"/>
          <w:szCs w:val="26"/>
          <w:lang w:eastAsia="es-MX"/>
        </w:rPr>
      </w:pPr>
      <w:r>
        <w:rPr>
          <w:rFonts w:ascii="Arial" w:eastAsiaTheme="minorEastAsia" w:hAnsi="Arial" w:cs="Arial"/>
          <w:sz w:val="26"/>
          <w:szCs w:val="26"/>
          <w:lang w:eastAsia="es-MX"/>
        </w:rPr>
        <w:t xml:space="preserve">MAGISTRADO MATEO MARTÍNEZ </w:t>
      </w:r>
      <w:proofErr w:type="spellStart"/>
      <w:r>
        <w:rPr>
          <w:rFonts w:ascii="Arial" w:eastAsiaTheme="minorEastAsia" w:hAnsi="Arial" w:cs="Arial"/>
          <w:sz w:val="26"/>
          <w:szCs w:val="26"/>
          <w:lang w:eastAsia="es-MX"/>
        </w:rPr>
        <w:t>MARTÍNEZ</w:t>
      </w:r>
      <w:proofErr w:type="spellEnd"/>
      <w:r>
        <w:rPr>
          <w:rFonts w:ascii="Arial" w:eastAsiaTheme="minorEastAsia" w:hAnsi="Arial" w:cs="Arial"/>
          <w:sz w:val="26"/>
          <w:szCs w:val="26"/>
          <w:lang w:eastAsia="es-MX"/>
        </w:rPr>
        <w:t>.</w:t>
      </w:r>
    </w:p>
    <w:p w14:paraId="67F3CBBD" w14:textId="2F41AB21" w:rsidR="000F5EB6" w:rsidRDefault="007E27F3" w:rsidP="007E27F3">
      <w:pPr>
        <w:spacing w:before="240" w:line="360" w:lineRule="auto"/>
        <w:ind w:left="567" w:right="616"/>
        <w:jc w:val="center"/>
        <w:rPr>
          <w:rFonts w:ascii="Arial" w:eastAsiaTheme="minorEastAsia" w:hAnsi="Arial" w:cs="Arial"/>
          <w:sz w:val="26"/>
          <w:szCs w:val="26"/>
          <w:lang w:eastAsia="es-MX"/>
        </w:rPr>
      </w:pPr>
      <w:r>
        <w:rPr>
          <w:rFonts w:ascii="Arial" w:eastAsiaTheme="minorEastAsia" w:hAnsi="Arial" w:cs="Arial"/>
          <w:sz w:val="26"/>
          <w:szCs w:val="26"/>
          <w:lang w:eastAsia="es-MX"/>
        </w:rPr>
        <w:t>PRESIDENTE.</w:t>
      </w:r>
    </w:p>
    <w:p w14:paraId="0AE7C259" w14:textId="77777777" w:rsidR="00F304FE" w:rsidRDefault="00F304FE" w:rsidP="007E27F3">
      <w:pPr>
        <w:spacing w:before="240" w:line="360" w:lineRule="auto"/>
        <w:ind w:left="567" w:right="616"/>
        <w:jc w:val="center"/>
        <w:rPr>
          <w:rFonts w:ascii="Arial" w:eastAsiaTheme="minorEastAsia" w:hAnsi="Arial" w:cs="Arial"/>
          <w:sz w:val="26"/>
          <w:szCs w:val="26"/>
          <w:lang w:eastAsia="es-MX"/>
        </w:rPr>
      </w:pPr>
    </w:p>
    <w:p w14:paraId="33E2D0BC" w14:textId="5685932A" w:rsidR="007E27F3" w:rsidRDefault="007E27F3" w:rsidP="007E27F3">
      <w:pPr>
        <w:spacing w:before="240" w:line="360" w:lineRule="auto"/>
        <w:ind w:left="567" w:right="616"/>
        <w:jc w:val="center"/>
        <w:rPr>
          <w:rFonts w:ascii="Arial" w:eastAsiaTheme="minorEastAsia" w:hAnsi="Arial" w:cs="Arial"/>
          <w:bCs/>
          <w:color w:val="000000"/>
          <w:sz w:val="26"/>
          <w:szCs w:val="26"/>
          <w:lang w:eastAsia="es-MX"/>
        </w:rPr>
      </w:pPr>
      <w:r w:rsidRPr="007E27F3">
        <w:rPr>
          <w:rFonts w:ascii="Arial" w:eastAsiaTheme="minorEastAsia" w:hAnsi="Arial" w:cs="Arial"/>
          <w:sz w:val="26"/>
          <w:szCs w:val="26"/>
          <w:lang w:eastAsia="es-MX"/>
        </w:rPr>
        <w:t>MAGISTRADA</w:t>
      </w:r>
      <w:r w:rsidRPr="007E27F3">
        <w:rPr>
          <w:rFonts w:ascii="Arial" w:eastAsiaTheme="minorEastAsia" w:hAnsi="Arial" w:cs="Arial"/>
          <w:bCs/>
          <w:color w:val="000000"/>
          <w:sz w:val="26"/>
          <w:szCs w:val="26"/>
          <w:lang w:eastAsia="es-MX"/>
        </w:rPr>
        <w:t xml:space="preserve"> CRUZ ITZEL ESPINO</w:t>
      </w:r>
      <w:r w:rsidR="00F304FE">
        <w:rPr>
          <w:rFonts w:ascii="Arial" w:eastAsiaTheme="minorEastAsia" w:hAnsi="Arial" w:cs="Arial"/>
          <w:bCs/>
          <w:color w:val="000000"/>
          <w:sz w:val="26"/>
          <w:szCs w:val="26"/>
          <w:lang w:eastAsia="es-MX"/>
        </w:rPr>
        <w:t>S</w:t>
      </w:r>
      <w:r w:rsidRPr="007E27F3">
        <w:rPr>
          <w:rFonts w:ascii="Arial" w:eastAsiaTheme="minorEastAsia" w:hAnsi="Arial" w:cs="Arial"/>
          <w:bCs/>
          <w:color w:val="000000"/>
          <w:sz w:val="26"/>
          <w:szCs w:val="26"/>
          <w:lang w:eastAsia="es-MX"/>
        </w:rPr>
        <w:t>A ROJAS.</w:t>
      </w:r>
    </w:p>
    <w:p w14:paraId="78177DBC" w14:textId="77777777" w:rsidR="00F304FE" w:rsidRDefault="00F304FE" w:rsidP="007E27F3">
      <w:pPr>
        <w:spacing w:before="240" w:line="360" w:lineRule="auto"/>
        <w:ind w:left="567" w:right="616"/>
        <w:jc w:val="center"/>
        <w:rPr>
          <w:rFonts w:ascii="Arial" w:eastAsiaTheme="minorEastAsia" w:hAnsi="Arial" w:cs="Arial"/>
          <w:sz w:val="26"/>
          <w:szCs w:val="26"/>
          <w:lang w:eastAsia="es-MX"/>
        </w:rPr>
      </w:pPr>
    </w:p>
    <w:p w14:paraId="5A170617" w14:textId="77777777" w:rsidR="00F304FE" w:rsidRDefault="00F304FE" w:rsidP="007E27F3">
      <w:pPr>
        <w:spacing w:before="240" w:line="360" w:lineRule="auto"/>
        <w:ind w:left="567" w:right="616"/>
        <w:jc w:val="center"/>
        <w:rPr>
          <w:rFonts w:ascii="Arial" w:eastAsiaTheme="minorEastAsia" w:hAnsi="Arial" w:cs="Arial"/>
          <w:sz w:val="26"/>
          <w:szCs w:val="26"/>
          <w:lang w:eastAsia="es-MX"/>
        </w:rPr>
      </w:pPr>
    </w:p>
    <w:p w14:paraId="4C0B1E92" w14:textId="6FEF22EE" w:rsidR="007E27F3" w:rsidRDefault="007E27F3" w:rsidP="007E27F3">
      <w:pPr>
        <w:spacing w:before="240" w:line="360" w:lineRule="auto"/>
        <w:ind w:left="567" w:right="616"/>
        <w:jc w:val="center"/>
        <w:rPr>
          <w:rFonts w:ascii="Arial" w:eastAsiaTheme="minorEastAsia" w:hAnsi="Arial" w:cs="Arial"/>
          <w:sz w:val="26"/>
          <w:szCs w:val="26"/>
          <w:lang w:eastAsia="es-MX"/>
        </w:rPr>
      </w:pPr>
      <w:r>
        <w:rPr>
          <w:rFonts w:ascii="Arial" w:eastAsiaTheme="minorEastAsia" w:hAnsi="Arial" w:cs="Arial"/>
          <w:sz w:val="26"/>
          <w:szCs w:val="26"/>
          <w:lang w:eastAsia="es-MX"/>
        </w:rPr>
        <w:t xml:space="preserve">MAGISTRADO </w:t>
      </w:r>
      <w:r w:rsidRPr="007E27F3">
        <w:rPr>
          <w:rFonts w:ascii="Arial" w:eastAsiaTheme="minorEastAsia" w:hAnsi="Arial" w:cs="Arial"/>
          <w:sz w:val="26"/>
          <w:szCs w:val="26"/>
          <w:lang w:eastAsia="es-MX"/>
        </w:rPr>
        <w:t xml:space="preserve">MANUEL DE JESÚS LÓPEZ </w:t>
      </w:r>
      <w:proofErr w:type="spellStart"/>
      <w:r w:rsidRPr="007E27F3">
        <w:rPr>
          <w:rFonts w:ascii="Arial" w:eastAsiaTheme="minorEastAsia" w:hAnsi="Arial" w:cs="Arial"/>
          <w:sz w:val="26"/>
          <w:szCs w:val="26"/>
          <w:lang w:eastAsia="es-MX"/>
        </w:rPr>
        <w:t>LÓPEZ</w:t>
      </w:r>
      <w:proofErr w:type="spellEnd"/>
      <w:r>
        <w:rPr>
          <w:rFonts w:ascii="Arial" w:eastAsiaTheme="minorEastAsia" w:hAnsi="Arial" w:cs="Arial"/>
          <w:sz w:val="26"/>
          <w:szCs w:val="26"/>
          <w:lang w:eastAsia="es-MX"/>
        </w:rPr>
        <w:t>.</w:t>
      </w:r>
    </w:p>
    <w:p w14:paraId="383F9859" w14:textId="77777777" w:rsidR="00F304FE" w:rsidRDefault="00F304FE" w:rsidP="007E27F3">
      <w:pPr>
        <w:spacing w:before="240" w:line="360" w:lineRule="auto"/>
        <w:ind w:left="567" w:right="616"/>
        <w:jc w:val="center"/>
        <w:rPr>
          <w:rFonts w:ascii="Arial" w:eastAsiaTheme="minorEastAsia" w:hAnsi="Arial" w:cs="Arial"/>
          <w:sz w:val="26"/>
          <w:szCs w:val="26"/>
          <w:lang w:eastAsia="es-MX"/>
        </w:rPr>
      </w:pPr>
    </w:p>
    <w:p w14:paraId="7AC45C54" w14:textId="77777777" w:rsidR="00F304FE" w:rsidRDefault="00F304FE" w:rsidP="007E27F3">
      <w:pPr>
        <w:spacing w:before="240" w:line="360" w:lineRule="auto"/>
        <w:ind w:left="567" w:right="616"/>
        <w:jc w:val="center"/>
        <w:rPr>
          <w:rFonts w:ascii="Arial" w:eastAsiaTheme="minorEastAsia" w:hAnsi="Arial" w:cs="Arial"/>
          <w:sz w:val="26"/>
          <w:szCs w:val="26"/>
          <w:lang w:eastAsia="es-MX"/>
        </w:rPr>
      </w:pPr>
    </w:p>
    <w:p w14:paraId="461B40EB" w14:textId="537DFE99" w:rsidR="007E27F3" w:rsidRDefault="00737536" w:rsidP="007E27F3">
      <w:pPr>
        <w:spacing w:before="240" w:line="360" w:lineRule="auto"/>
        <w:ind w:left="567" w:right="616"/>
        <w:jc w:val="center"/>
        <w:rPr>
          <w:rFonts w:ascii="Arial" w:eastAsiaTheme="minorEastAsia" w:hAnsi="Arial" w:cs="Arial"/>
          <w:sz w:val="26"/>
          <w:szCs w:val="26"/>
          <w:lang w:eastAsia="es-MX"/>
        </w:rPr>
      </w:pPr>
      <w:r>
        <w:rPr>
          <w:rFonts w:ascii="Arial" w:eastAsiaTheme="minorEastAsia" w:hAnsi="Arial" w:cs="Arial"/>
          <w:sz w:val="26"/>
          <w:szCs w:val="26"/>
          <w:lang w:eastAsia="es-MX"/>
        </w:rPr>
        <w:t>MAESTRA LIZBETH JESSICA GALLARDO MARTÍNEZ.</w:t>
      </w:r>
    </w:p>
    <w:p w14:paraId="521A5DEB" w14:textId="16810314" w:rsidR="00737536" w:rsidRDefault="00737536" w:rsidP="007E27F3">
      <w:pPr>
        <w:spacing w:before="240" w:line="360" w:lineRule="auto"/>
        <w:ind w:left="567" w:right="616"/>
        <w:jc w:val="center"/>
        <w:rPr>
          <w:rFonts w:ascii="Arial" w:eastAsiaTheme="minorEastAsia" w:hAnsi="Arial" w:cs="Arial"/>
          <w:sz w:val="26"/>
          <w:szCs w:val="26"/>
          <w:lang w:eastAsia="es-MX"/>
        </w:rPr>
      </w:pPr>
      <w:r w:rsidRPr="00737536">
        <w:rPr>
          <w:rFonts w:ascii="Arial" w:eastAsiaTheme="minorEastAsia" w:hAnsi="Arial" w:cs="Arial"/>
          <w:sz w:val="26"/>
          <w:szCs w:val="26"/>
          <w:lang w:eastAsia="es-MX"/>
        </w:rPr>
        <w:t>SECRETARIA GENERAL DE ACUERDOS</w:t>
      </w:r>
      <w:r>
        <w:rPr>
          <w:rFonts w:ascii="Arial" w:eastAsiaTheme="minorEastAsia" w:hAnsi="Arial" w:cs="Arial"/>
          <w:sz w:val="26"/>
          <w:szCs w:val="26"/>
          <w:lang w:eastAsia="es-MX"/>
        </w:rPr>
        <w:t>.</w:t>
      </w:r>
    </w:p>
    <w:p w14:paraId="239D130B" w14:textId="77777777" w:rsidR="00737536" w:rsidRPr="000F5EB6" w:rsidRDefault="00737536" w:rsidP="007E27F3">
      <w:pPr>
        <w:spacing w:before="240" w:line="360" w:lineRule="auto"/>
        <w:ind w:left="567" w:right="616"/>
        <w:jc w:val="center"/>
        <w:rPr>
          <w:rFonts w:ascii="Arial" w:eastAsiaTheme="minorEastAsia" w:hAnsi="Arial" w:cs="Arial"/>
          <w:bCs/>
          <w:color w:val="000000"/>
          <w:lang w:eastAsia="es-MX"/>
        </w:rPr>
      </w:pPr>
    </w:p>
    <w:sectPr w:rsidR="00737536" w:rsidRPr="000F5EB6" w:rsidSect="00BB322B">
      <w:headerReference w:type="default" r:id="rId8"/>
      <w:footerReference w:type="default" r:id="rId9"/>
      <w:headerReference w:type="first" r:id="rId10"/>
      <w:pgSz w:w="12240" w:h="20160" w:code="5"/>
      <w:pgMar w:top="1417" w:right="1701" w:bottom="1417" w:left="1701"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44A41" w14:textId="77777777" w:rsidR="00842D14" w:rsidRDefault="00842D14" w:rsidP="00604752">
      <w:pPr>
        <w:spacing w:after="0" w:line="240" w:lineRule="auto"/>
      </w:pPr>
      <w:r>
        <w:separator/>
      </w:r>
    </w:p>
  </w:endnote>
  <w:endnote w:type="continuationSeparator" w:id="0">
    <w:p w14:paraId="369F1EA8" w14:textId="77777777" w:rsidR="00842D14" w:rsidRDefault="00842D1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76338B" w:rsidRPr="00604752" w:rsidRDefault="0076338B">
    <w:pPr>
      <w:pStyle w:val="Piedepgina"/>
      <w:jc w:val="center"/>
      <w:rPr>
        <w:rFonts w:ascii="Arial" w:hAnsi="Arial" w:cs="Arial"/>
        <w:sz w:val="24"/>
        <w:szCs w:val="24"/>
      </w:rPr>
    </w:pPr>
  </w:p>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B4CCA" w14:textId="77777777" w:rsidR="00842D14" w:rsidRDefault="00842D14" w:rsidP="00604752">
      <w:pPr>
        <w:spacing w:after="0" w:line="240" w:lineRule="auto"/>
      </w:pPr>
      <w:r>
        <w:separator/>
      </w:r>
    </w:p>
  </w:footnote>
  <w:footnote w:type="continuationSeparator" w:id="0">
    <w:p w14:paraId="5DEDC48B" w14:textId="77777777" w:rsidR="00842D14" w:rsidRDefault="00842D14" w:rsidP="00604752">
      <w:pPr>
        <w:spacing w:after="0" w:line="240" w:lineRule="auto"/>
      </w:pPr>
      <w:r>
        <w:continuationSeparator/>
      </w:r>
    </w:p>
  </w:footnote>
  <w:footnote w:id="1">
    <w:p w14:paraId="18919FD7" w14:textId="0EEC8752" w:rsidR="009314DA" w:rsidRPr="00242E16" w:rsidRDefault="009314DA" w:rsidP="009314DA">
      <w:pPr>
        <w:autoSpaceDE w:val="0"/>
        <w:autoSpaceDN w:val="0"/>
        <w:adjustRightInd w:val="0"/>
        <w:spacing w:after="0" w:line="240" w:lineRule="auto"/>
        <w:jc w:val="both"/>
        <w:rPr>
          <w:rFonts w:ascii="Arial" w:hAnsi="Arial" w:cs="Arial"/>
          <w:i/>
          <w:color w:val="000000"/>
          <w:sz w:val="20"/>
          <w:szCs w:val="20"/>
        </w:rPr>
      </w:pPr>
      <w:r w:rsidRPr="00242E16">
        <w:rPr>
          <w:rStyle w:val="Refdenotaalpie"/>
          <w:sz w:val="20"/>
          <w:szCs w:val="20"/>
        </w:rPr>
        <w:footnoteRef/>
      </w:r>
      <w:r w:rsidRPr="00242E16">
        <w:rPr>
          <w:sz w:val="20"/>
          <w:szCs w:val="20"/>
        </w:rPr>
        <w:t xml:space="preserve"> </w:t>
      </w:r>
      <w:r w:rsidR="00242E16" w:rsidRPr="00242E16">
        <w:rPr>
          <w:sz w:val="20"/>
          <w:szCs w:val="20"/>
        </w:rPr>
        <w:t>“</w:t>
      </w:r>
      <w:r w:rsidRPr="00242E16">
        <w:rPr>
          <w:rFonts w:ascii="Arial" w:hAnsi="Arial" w:cs="Arial"/>
          <w:b/>
          <w:bCs/>
          <w:i/>
          <w:color w:val="000000"/>
          <w:sz w:val="20"/>
          <w:szCs w:val="20"/>
        </w:rPr>
        <w:t xml:space="preserve">ARTÍCULO 203.- </w:t>
      </w:r>
      <w:r w:rsidRPr="00242E16">
        <w:rPr>
          <w:rFonts w:ascii="Arial" w:hAnsi="Arial" w:cs="Arial"/>
          <w:i/>
          <w:color w:val="000000"/>
          <w:sz w:val="20"/>
          <w:szCs w:val="20"/>
        </w:rPr>
        <w:t>La valoración de las pruebas se hará de acuerdo con las siguientes reglas:</w:t>
      </w:r>
    </w:p>
    <w:p w14:paraId="4FB09190" w14:textId="77777777" w:rsidR="00242E16" w:rsidRPr="00242E16" w:rsidRDefault="009314DA" w:rsidP="00242E16">
      <w:pPr>
        <w:pStyle w:val="Prrafodelista"/>
        <w:numPr>
          <w:ilvl w:val="0"/>
          <w:numId w:val="17"/>
        </w:numPr>
        <w:autoSpaceDE w:val="0"/>
        <w:autoSpaceDN w:val="0"/>
        <w:adjustRightInd w:val="0"/>
        <w:spacing w:after="0" w:line="240" w:lineRule="auto"/>
        <w:ind w:left="709"/>
        <w:jc w:val="both"/>
        <w:rPr>
          <w:rFonts w:ascii="Arial" w:hAnsi="Arial" w:cs="Arial"/>
          <w:i/>
          <w:color w:val="000000"/>
          <w:sz w:val="20"/>
          <w:szCs w:val="20"/>
        </w:rPr>
      </w:pPr>
      <w:r w:rsidRPr="00242E16">
        <w:rPr>
          <w:rFonts w:ascii="Arial" w:hAnsi="Arial" w:cs="Arial"/>
          <w:i/>
          <w:color w:val="000000"/>
          <w:sz w:val="20"/>
          <w:szCs w:val="20"/>
        </w:rPr>
        <w:t>Harán prueba plena la confesión expresa de las partes y los actos contenidos en documentos públicos, si en éstos últimos se contienen declaraciones de verdad o manifestacio</w:t>
      </w:r>
      <w:r w:rsidR="00242E16" w:rsidRPr="00242E16">
        <w:rPr>
          <w:rFonts w:ascii="Arial" w:hAnsi="Arial" w:cs="Arial"/>
          <w:i/>
          <w:color w:val="000000"/>
          <w:sz w:val="20"/>
          <w:szCs w:val="20"/>
        </w:rPr>
        <w:t>nes de hechos de particulares;…”</w:t>
      </w:r>
    </w:p>
    <w:p w14:paraId="6A9AFCDF" w14:textId="43CD1575" w:rsidR="00242E16" w:rsidRPr="00242E16" w:rsidRDefault="00242E16" w:rsidP="00242E16">
      <w:pPr>
        <w:autoSpaceDE w:val="0"/>
        <w:autoSpaceDN w:val="0"/>
        <w:adjustRightInd w:val="0"/>
        <w:spacing w:after="0" w:line="240" w:lineRule="auto"/>
        <w:ind w:left="360"/>
        <w:jc w:val="both"/>
        <w:rPr>
          <w:rFonts w:ascii="Arial" w:hAnsi="Arial" w:cs="Arial"/>
          <w:i/>
          <w:color w:val="000000"/>
          <w:sz w:val="20"/>
          <w:szCs w:val="20"/>
        </w:rPr>
      </w:pPr>
      <w:r w:rsidRPr="00242E16">
        <w:rPr>
          <w:rFonts w:ascii="Arial" w:hAnsi="Arial" w:cs="Arial"/>
          <w:i/>
          <w:color w:val="000000"/>
          <w:sz w:val="20"/>
          <w:szCs w:val="20"/>
        </w:rPr>
        <w:t xml:space="preserve"> </w:t>
      </w:r>
    </w:p>
  </w:footnote>
  <w:footnote w:id="2">
    <w:p w14:paraId="3369E2D4" w14:textId="160F8204" w:rsidR="00242E16" w:rsidRPr="00242E16" w:rsidRDefault="00242E16" w:rsidP="00242E16">
      <w:pPr>
        <w:pStyle w:val="Textonotapie"/>
        <w:jc w:val="both"/>
        <w:rPr>
          <w:rFonts w:ascii="Arial" w:hAnsi="Arial" w:cs="Arial"/>
        </w:rPr>
      </w:pPr>
      <w:r w:rsidRPr="00242E16">
        <w:rPr>
          <w:rStyle w:val="Refdenotaalpie"/>
          <w:rFonts w:ascii="Arial" w:hAnsi="Arial" w:cs="Arial"/>
        </w:rPr>
        <w:footnoteRef/>
      </w:r>
      <w:r w:rsidRPr="00242E16">
        <w:rPr>
          <w:rFonts w:ascii="Arial" w:hAnsi="Arial" w:cs="Arial"/>
        </w:rPr>
        <w:t xml:space="preserve"> Consultable en la foja 08 (ocho) del expediente 0159/2020 del índice de la Segunda Sala Unitaria de Primera Instancia.</w:t>
      </w:r>
    </w:p>
  </w:footnote>
  <w:footnote w:id="3">
    <w:p w14:paraId="1E3DF35D" w14:textId="1AF001F2" w:rsidR="00FA7E91" w:rsidRPr="00FA7E91" w:rsidRDefault="00FA7E91" w:rsidP="00FA7E91">
      <w:pPr>
        <w:pStyle w:val="Textonotapie"/>
        <w:jc w:val="both"/>
        <w:rPr>
          <w:rFonts w:ascii="Arial" w:hAnsi="Arial" w:cs="Arial"/>
        </w:rPr>
      </w:pPr>
      <w:r w:rsidRPr="00FA7E91">
        <w:rPr>
          <w:rStyle w:val="Refdenotaalpie"/>
          <w:rFonts w:ascii="Arial" w:hAnsi="Arial" w:cs="Arial"/>
        </w:rPr>
        <w:footnoteRef/>
      </w:r>
      <w:r w:rsidRPr="00FA7E91">
        <w:rPr>
          <w:rFonts w:ascii="Arial" w:hAnsi="Arial" w:cs="Arial"/>
        </w:rPr>
        <w:t xml:space="preserve"> Consultable de la foja 12 (doce) a la 14 (catorce) del expediente </w:t>
      </w:r>
      <w:r w:rsidRPr="00FA7E91">
        <w:rPr>
          <w:rFonts w:ascii="Arial" w:hAnsi="Arial" w:cs="Arial"/>
          <w:b/>
        </w:rPr>
        <w:t>0159/2020</w:t>
      </w:r>
      <w:r w:rsidRPr="00FA7E91">
        <w:rPr>
          <w:rFonts w:ascii="Arial" w:hAnsi="Arial" w:cs="Arial"/>
        </w:rPr>
        <w:t xml:space="preserve"> del índice de la Segunda Sala Unitaria de Primera Instancia.</w:t>
      </w:r>
    </w:p>
  </w:footnote>
  <w:footnote w:id="4">
    <w:p w14:paraId="21C2A637" w14:textId="2A7E30E0" w:rsidR="005D7E80" w:rsidRPr="00FA7E91" w:rsidRDefault="005D7E80" w:rsidP="005D7E80">
      <w:pPr>
        <w:pStyle w:val="Textonotapie"/>
        <w:jc w:val="both"/>
        <w:rPr>
          <w:rFonts w:ascii="Arial" w:hAnsi="Arial" w:cs="Arial"/>
        </w:rPr>
      </w:pPr>
      <w:r w:rsidRPr="00FA7E91">
        <w:rPr>
          <w:rStyle w:val="Refdenotaalpie"/>
          <w:rFonts w:ascii="Arial" w:hAnsi="Arial" w:cs="Arial"/>
        </w:rPr>
        <w:footnoteRef/>
      </w:r>
      <w:r w:rsidRPr="00FA7E91">
        <w:rPr>
          <w:rFonts w:ascii="Arial" w:hAnsi="Arial" w:cs="Arial"/>
        </w:rPr>
        <w:t xml:space="preserve"> </w:t>
      </w:r>
      <w:r w:rsidR="00FA7E91" w:rsidRPr="00FA7E91">
        <w:rPr>
          <w:rFonts w:ascii="Arial" w:hAnsi="Arial" w:cs="Arial"/>
        </w:rPr>
        <w:t>F</w:t>
      </w:r>
      <w:r w:rsidRPr="00FA7E91">
        <w:rPr>
          <w:rFonts w:ascii="Arial" w:hAnsi="Arial" w:cs="Arial"/>
        </w:rPr>
        <w:t>oja 15 (quince)</w:t>
      </w:r>
      <w:r w:rsidR="00FA7E91" w:rsidRPr="00FA7E91">
        <w:rPr>
          <w:rFonts w:ascii="Arial" w:hAnsi="Arial" w:cs="Arial"/>
        </w:rPr>
        <w:t xml:space="preserve">, </w:t>
      </w:r>
      <w:r w:rsidR="00FA7E91" w:rsidRPr="00FA7E91">
        <w:rPr>
          <w:rFonts w:ascii="Arial" w:hAnsi="Arial" w:cs="Arial"/>
          <w:i/>
        </w:rPr>
        <w:t>ibídem.</w:t>
      </w:r>
      <w:r w:rsidRPr="00FA7E91">
        <w:rPr>
          <w:rFonts w:ascii="Arial" w:hAnsi="Arial" w:cs="Arial"/>
        </w:rPr>
        <w:t xml:space="preserve"> </w:t>
      </w:r>
    </w:p>
  </w:footnote>
  <w:footnote w:id="5">
    <w:p w14:paraId="5847950E" w14:textId="284B24A0" w:rsidR="00365945" w:rsidRPr="00365945" w:rsidRDefault="00365945" w:rsidP="00365945">
      <w:pPr>
        <w:pStyle w:val="Textonotapie"/>
        <w:rPr>
          <w:rFonts w:ascii="Arial" w:hAnsi="Arial" w:cs="Arial"/>
          <w:i/>
        </w:rPr>
      </w:pPr>
      <w:r w:rsidRPr="00365945">
        <w:rPr>
          <w:rStyle w:val="Refdenotaalpie"/>
          <w:rFonts w:ascii="Arial" w:hAnsi="Arial" w:cs="Arial"/>
          <w:i/>
        </w:rPr>
        <w:footnoteRef/>
      </w:r>
      <w:r w:rsidRPr="00365945">
        <w:rPr>
          <w:rFonts w:ascii="Arial" w:hAnsi="Arial" w:cs="Arial"/>
          <w:i/>
        </w:rPr>
        <w:t xml:space="preserve"> </w:t>
      </w:r>
      <w:r w:rsidR="00AC4360" w:rsidRPr="00AC4360">
        <w:rPr>
          <w:rFonts w:ascii="Arial" w:hAnsi="Arial" w:cs="Arial"/>
          <w:b/>
          <w:i/>
        </w:rPr>
        <w:t>“</w:t>
      </w:r>
      <w:r w:rsidRPr="00AC4360">
        <w:rPr>
          <w:rFonts w:ascii="Arial" w:hAnsi="Arial" w:cs="Arial"/>
          <w:b/>
          <w:i/>
        </w:rPr>
        <w:t>ARTÍCULO 163.-</w:t>
      </w:r>
      <w:r w:rsidRPr="00AC4360">
        <w:rPr>
          <w:rFonts w:ascii="Arial" w:hAnsi="Arial" w:cs="Arial"/>
          <w:i/>
        </w:rPr>
        <w:t xml:space="preserve"> </w:t>
      </w:r>
      <w:r w:rsidRPr="00365945">
        <w:rPr>
          <w:rFonts w:ascii="Arial" w:hAnsi="Arial" w:cs="Arial"/>
          <w:i/>
        </w:rPr>
        <w:t>Son partes en el juicio contencioso administrativo:</w:t>
      </w:r>
    </w:p>
    <w:p w14:paraId="4D2E22E9" w14:textId="77777777" w:rsidR="00365945" w:rsidRPr="00365945" w:rsidRDefault="00365945" w:rsidP="00365945">
      <w:pPr>
        <w:pStyle w:val="Textonotapie"/>
        <w:rPr>
          <w:rFonts w:ascii="Arial" w:hAnsi="Arial" w:cs="Arial"/>
          <w:i/>
        </w:rPr>
      </w:pPr>
      <w:r w:rsidRPr="00365945">
        <w:rPr>
          <w:rFonts w:ascii="Arial" w:hAnsi="Arial" w:cs="Arial"/>
          <w:i/>
        </w:rPr>
        <w:t>I. El actor. Tendrá ese carácter:</w:t>
      </w:r>
    </w:p>
    <w:p w14:paraId="31FF6833" w14:textId="7DA8EA4D" w:rsidR="00365945" w:rsidRPr="00365945" w:rsidRDefault="00365945" w:rsidP="00AC4360">
      <w:pPr>
        <w:pStyle w:val="Textonotapie"/>
        <w:jc w:val="both"/>
        <w:rPr>
          <w:rFonts w:ascii="Arial" w:hAnsi="Arial" w:cs="Arial"/>
          <w:i/>
        </w:rPr>
      </w:pPr>
      <w:r w:rsidRPr="00365945">
        <w:rPr>
          <w:rFonts w:ascii="Arial" w:hAnsi="Arial" w:cs="Arial"/>
          <w:i/>
        </w:rPr>
        <w:t>a) El Administrado, que será el particular que tenga interés jurídico o legítimo que funde su pretensión;</w:t>
      </w:r>
      <w:r w:rsidR="00AC4360">
        <w:rPr>
          <w:rFonts w:ascii="Arial" w:hAnsi="Arial" w:cs="Arial"/>
          <w:i/>
        </w:rPr>
        <w:t>…”</w:t>
      </w:r>
    </w:p>
  </w:footnote>
  <w:footnote w:id="6">
    <w:p w14:paraId="62ACF31F" w14:textId="5E227BDB" w:rsidR="00AC4360" w:rsidRPr="00AC4360" w:rsidRDefault="00AC4360" w:rsidP="00AC4360">
      <w:pPr>
        <w:pStyle w:val="Textonotapie"/>
        <w:jc w:val="both"/>
        <w:rPr>
          <w:rFonts w:ascii="Arial" w:hAnsi="Arial" w:cs="Arial"/>
          <w:i/>
        </w:rPr>
      </w:pPr>
      <w:r w:rsidRPr="00AC4360">
        <w:rPr>
          <w:rStyle w:val="Refdenotaalpie"/>
          <w:rFonts w:ascii="Arial" w:hAnsi="Arial" w:cs="Arial"/>
        </w:rPr>
        <w:footnoteRef/>
      </w:r>
      <w:r w:rsidRPr="00AC4360">
        <w:rPr>
          <w:rFonts w:ascii="Arial" w:hAnsi="Arial" w:cs="Arial"/>
        </w:rPr>
        <w:t xml:space="preserve"> </w:t>
      </w:r>
      <w:r>
        <w:rPr>
          <w:rFonts w:ascii="Arial" w:hAnsi="Arial" w:cs="Arial"/>
        </w:rPr>
        <w:t>“</w:t>
      </w:r>
      <w:r w:rsidRPr="00AC4360">
        <w:rPr>
          <w:rFonts w:ascii="Arial" w:hAnsi="Arial" w:cs="Arial"/>
          <w:b/>
          <w:i/>
        </w:rPr>
        <w:t>ARTÍCULO 164</w:t>
      </w:r>
      <w:r w:rsidRPr="00AC4360">
        <w:rPr>
          <w:rFonts w:ascii="Arial" w:hAnsi="Arial" w:cs="Arial"/>
          <w:i/>
        </w:rPr>
        <w:t>.- Sólo podrán demandar o intervenir en el juicio, las personas que tengan un interés jurídico o legítimo que funde su pretensión.</w:t>
      </w:r>
      <w:r>
        <w:rPr>
          <w:rFonts w:ascii="Arial" w:hAnsi="Arial" w:cs="Arial"/>
          <w:i/>
        </w:rPr>
        <w:t>”</w:t>
      </w:r>
    </w:p>
  </w:footnote>
  <w:footnote w:id="7">
    <w:p w14:paraId="4855F76A" w14:textId="23EE79DC" w:rsidR="00EE1EFD" w:rsidRPr="00EE1EFD" w:rsidRDefault="00EE1EFD" w:rsidP="00EE1EFD">
      <w:pPr>
        <w:pStyle w:val="Textonotapie"/>
        <w:jc w:val="both"/>
        <w:rPr>
          <w:rFonts w:ascii="Arial" w:hAnsi="Arial" w:cs="Arial"/>
          <w:i/>
        </w:rPr>
      </w:pPr>
      <w:r w:rsidRPr="00EE1EFD">
        <w:rPr>
          <w:rStyle w:val="Refdenotaalpie"/>
          <w:rFonts w:ascii="Arial" w:hAnsi="Arial" w:cs="Arial"/>
          <w:i/>
        </w:rPr>
        <w:footnoteRef/>
      </w:r>
      <w:r w:rsidRPr="00EE1EFD">
        <w:rPr>
          <w:rFonts w:ascii="Arial" w:hAnsi="Arial" w:cs="Arial"/>
          <w:i/>
        </w:rPr>
        <w:t xml:space="preserve"> </w:t>
      </w:r>
      <w:r w:rsidRPr="00EE1EFD">
        <w:rPr>
          <w:rFonts w:ascii="Arial" w:hAnsi="Arial" w:cs="Arial"/>
          <w:b/>
          <w:i/>
        </w:rPr>
        <w:t>“ARTÍCULO 130.-</w:t>
      </w:r>
      <w:r w:rsidRPr="00EE1EFD">
        <w:rPr>
          <w:rFonts w:ascii="Arial" w:hAnsi="Arial" w:cs="Arial"/>
          <w:i/>
        </w:rPr>
        <w:t xml:space="preserve"> En el caso de que los conductores contravengan algunas de las disposiciones de este Reglamento, los Policías Viales deberán proceder de la forma siguiente:</w:t>
      </w:r>
    </w:p>
    <w:p w14:paraId="7B7B9841" w14:textId="56A243E8" w:rsidR="00EE1EFD" w:rsidRPr="00EE1EFD" w:rsidRDefault="00EE1EFD" w:rsidP="00EE1EFD">
      <w:pPr>
        <w:pStyle w:val="Textonotapie"/>
        <w:jc w:val="both"/>
        <w:rPr>
          <w:rFonts w:ascii="Arial" w:hAnsi="Arial" w:cs="Arial"/>
          <w:i/>
        </w:rPr>
      </w:pPr>
      <w:r w:rsidRPr="00EE1EFD">
        <w:rPr>
          <w:rFonts w:ascii="Arial" w:hAnsi="Arial" w:cs="Arial"/>
          <w:i/>
        </w:rPr>
        <w:t>VII. Si el vehículo se encuentra estacionado o no se encuentra persona que pueda o quiera atender el requerimiento del Policía Vial éste formulará el acta de infracción con los requisitos que señala este Reglamento y la dejará en lugar visible del parabrisas del vehículo, (…).</w:t>
      </w:r>
      <w:r>
        <w:rPr>
          <w:rFonts w:ascii="Arial" w:hAnsi="Arial" w:cs="Arial"/>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435294"/>
      <w:docPartObj>
        <w:docPartGallery w:val="Page Numbers (Top of Page)"/>
        <w:docPartUnique/>
      </w:docPartObj>
    </w:sdtPr>
    <w:sdtEndPr/>
    <w:sdtContent>
      <w:p w14:paraId="3BD03D80" w14:textId="7D86731B" w:rsidR="00450F79" w:rsidRDefault="0059353C">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61312" behindDoc="0" locked="0" layoutInCell="1" allowOverlap="1" wp14:anchorId="7E4D2DD9" wp14:editId="1580F738">
              <wp:simplePos x="0" y="0"/>
              <wp:positionH relativeFrom="column">
                <wp:posOffset>99695</wp:posOffset>
              </wp:positionH>
              <wp:positionV relativeFrom="paragraph">
                <wp:posOffset>-362585</wp:posOffset>
              </wp:positionV>
              <wp:extent cx="2495550" cy="6311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0F79">
          <w:fldChar w:fldCharType="begin"/>
        </w:r>
        <w:r w:rsidR="00450F79">
          <w:instrText>PAGE   \* MERGEFORMAT</w:instrText>
        </w:r>
        <w:r w:rsidR="00450F79">
          <w:fldChar w:fldCharType="separate"/>
        </w:r>
        <w:r w:rsidR="00F97562" w:rsidRPr="00F97562">
          <w:rPr>
            <w:noProof/>
            <w:lang w:val="es-ES"/>
          </w:rPr>
          <w:t>9</w:t>
        </w:r>
        <w:r w:rsidR="00450F79">
          <w:fldChar w:fldCharType="end"/>
        </w:r>
      </w:p>
    </w:sdtContent>
  </w:sdt>
  <w:p w14:paraId="6DE680F6" w14:textId="5F24CFC4" w:rsidR="00450F79" w:rsidRDefault="004428CF">
    <w:pPr>
      <w:pStyle w:val="Encabezado"/>
    </w:pPr>
    <w:r>
      <w:rPr>
        <w:noProof/>
      </w:rPr>
      <w:drawing>
        <wp:anchor distT="0" distB="0" distL="114300" distR="114300" simplePos="0" relativeHeight="251663360" behindDoc="0" locked="0" layoutInCell="1" allowOverlap="1" wp14:anchorId="0B9CD559" wp14:editId="2F3D062B">
          <wp:simplePos x="0" y="0"/>
          <wp:positionH relativeFrom="column">
            <wp:posOffset>-929640</wp:posOffset>
          </wp:positionH>
          <wp:positionV relativeFrom="paragraph">
            <wp:posOffset>1760220</wp:posOffset>
          </wp:positionV>
          <wp:extent cx="1030605" cy="1256030"/>
          <wp:effectExtent l="0" t="0" r="0" b="1270"/>
          <wp:wrapNone/>
          <wp:docPr id="13969662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925594"/>
      <w:docPartObj>
        <w:docPartGallery w:val="Page Numbers (Top of Page)"/>
        <w:docPartUnique/>
      </w:docPartObj>
    </w:sdtPr>
    <w:sdtEndPr/>
    <w:sdtContent>
      <w:p w14:paraId="43039DC9" w14:textId="3A6D85D5" w:rsidR="0095049C" w:rsidRDefault="00662D5D">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59264" behindDoc="0" locked="0" layoutInCell="1" allowOverlap="1" wp14:anchorId="1E5F3248" wp14:editId="2866272C">
              <wp:simplePos x="0" y="0"/>
              <wp:positionH relativeFrom="column">
                <wp:posOffset>-889000</wp:posOffset>
              </wp:positionH>
              <wp:positionV relativeFrom="paragraph">
                <wp:posOffset>-321945</wp:posOffset>
              </wp:positionV>
              <wp:extent cx="2495550" cy="63119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049C">
          <w:fldChar w:fldCharType="begin"/>
        </w:r>
        <w:r w:rsidR="0095049C">
          <w:instrText>PAGE   \* MERGEFORMAT</w:instrText>
        </w:r>
        <w:r w:rsidR="0095049C">
          <w:fldChar w:fldCharType="separate"/>
        </w:r>
        <w:r w:rsidR="00F97562" w:rsidRPr="00F97562">
          <w:rPr>
            <w:noProof/>
            <w:lang w:val="es-ES"/>
          </w:rPr>
          <w:t>1</w:t>
        </w:r>
        <w:r w:rsidR="0095049C">
          <w:fldChar w:fldCharType="end"/>
        </w:r>
      </w:p>
    </w:sdtContent>
  </w:sdt>
  <w:p w14:paraId="703CC1EE" w14:textId="5F455834" w:rsidR="0076338B" w:rsidRDefault="004428CF">
    <w:pPr>
      <w:pStyle w:val="Encabezado"/>
    </w:pPr>
    <w:r>
      <w:rPr>
        <w:noProof/>
      </w:rPr>
      <w:drawing>
        <wp:anchor distT="0" distB="0" distL="114300" distR="114300" simplePos="0" relativeHeight="251662336" behindDoc="0" locked="0" layoutInCell="1" allowOverlap="1" wp14:anchorId="4E0F774C" wp14:editId="6EE51417">
          <wp:simplePos x="0" y="0"/>
          <wp:positionH relativeFrom="column">
            <wp:posOffset>-946785</wp:posOffset>
          </wp:positionH>
          <wp:positionV relativeFrom="paragraph">
            <wp:posOffset>3217545</wp:posOffset>
          </wp:positionV>
          <wp:extent cx="1028700" cy="1257300"/>
          <wp:effectExtent l="0" t="0" r="0" b="0"/>
          <wp:wrapNone/>
          <wp:docPr id="543174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61BA"/>
    <w:multiLevelType w:val="hybridMultilevel"/>
    <w:tmpl w:val="1570E1F8"/>
    <w:lvl w:ilvl="0" w:tplc="2532310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D605E3"/>
    <w:multiLevelType w:val="hybridMultilevel"/>
    <w:tmpl w:val="742C1A38"/>
    <w:lvl w:ilvl="0" w:tplc="080A0011">
      <w:start w:val="1"/>
      <w:numFmt w:val="decimal"/>
      <w:lvlText w:val="%1)"/>
      <w:lvlJc w:val="left"/>
      <w:pPr>
        <w:ind w:left="1069" w:hanging="360"/>
      </w:pPr>
      <w:rPr>
        <w:b/>
        <w:i w:val="0"/>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 w15:restartNumberingAfterBreak="0">
    <w:nsid w:val="060C370F"/>
    <w:multiLevelType w:val="hybridMultilevel"/>
    <w:tmpl w:val="03F649D8"/>
    <w:lvl w:ilvl="0" w:tplc="D98C694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06B32B4D"/>
    <w:multiLevelType w:val="hybridMultilevel"/>
    <w:tmpl w:val="B38A45D0"/>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15:restartNumberingAfterBreak="0">
    <w:nsid w:val="07087DD9"/>
    <w:multiLevelType w:val="hybridMultilevel"/>
    <w:tmpl w:val="EF26042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6"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453B3170"/>
    <w:multiLevelType w:val="hybridMultilevel"/>
    <w:tmpl w:val="A0321E88"/>
    <w:lvl w:ilvl="0" w:tplc="080A000D">
      <w:start w:val="1"/>
      <w:numFmt w:val="bullet"/>
      <w:lvlText w:val=""/>
      <w:lvlJc w:val="left"/>
      <w:pPr>
        <w:ind w:left="2844" w:hanging="360"/>
      </w:pPr>
      <w:rPr>
        <w:rFonts w:ascii="Wingdings" w:hAnsi="Wingdings" w:hint="default"/>
      </w:rPr>
    </w:lvl>
    <w:lvl w:ilvl="1" w:tplc="080A0003" w:tentative="1">
      <w:start w:val="1"/>
      <w:numFmt w:val="bullet"/>
      <w:lvlText w:val="o"/>
      <w:lvlJc w:val="left"/>
      <w:pPr>
        <w:ind w:left="3564" w:hanging="360"/>
      </w:pPr>
      <w:rPr>
        <w:rFonts w:ascii="Courier New" w:hAnsi="Courier New" w:cs="Courier New" w:hint="default"/>
      </w:rPr>
    </w:lvl>
    <w:lvl w:ilvl="2" w:tplc="080A0005" w:tentative="1">
      <w:start w:val="1"/>
      <w:numFmt w:val="bullet"/>
      <w:lvlText w:val=""/>
      <w:lvlJc w:val="left"/>
      <w:pPr>
        <w:ind w:left="4284" w:hanging="360"/>
      </w:pPr>
      <w:rPr>
        <w:rFonts w:ascii="Wingdings" w:hAnsi="Wingdings" w:hint="default"/>
      </w:rPr>
    </w:lvl>
    <w:lvl w:ilvl="3" w:tplc="080A0001" w:tentative="1">
      <w:start w:val="1"/>
      <w:numFmt w:val="bullet"/>
      <w:lvlText w:val=""/>
      <w:lvlJc w:val="left"/>
      <w:pPr>
        <w:ind w:left="5004" w:hanging="360"/>
      </w:pPr>
      <w:rPr>
        <w:rFonts w:ascii="Symbol" w:hAnsi="Symbol" w:hint="default"/>
      </w:rPr>
    </w:lvl>
    <w:lvl w:ilvl="4" w:tplc="080A0003" w:tentative="1">
      <w:start w:val="1"/>
      <w:numFmt w:val="bullet"/>
      <w:lvlText w:val="o"/>
      <w:lvlJc w:val="left"/>
      <w:pPr>
        <w:ind w:left="5724" w:hanging="360"/>
      </w:pPr>
      <w:rPr>
        <w:rFonts w:ascii="Courier New" w:hAnsi="Courier New" w:cs="Courier New" w:hint="default"/>
      </w:rPr>
    </w:lvl>
    <w:lvl w:ilvl="5" w:tplc="080A0005" w:tentative="1">
      <w:start w:val="1"/>
      <w:numFmt w:val="bullet"/>
      <w:lvlText w:val=""/>
      <w:lvlJc w:val="left"/>
      <w:pPr>
        <w:ind w:left="6444" w:hanging="360"/>
      </w:pPr>
      <w:rPr>
        <w:rFonts w:ascii="Wingdings" w:hAnsi="Wingdings" w:hint="default"/>
      </w:rPr>
    </w:lvl>
    <w:lvl w:ilvl="6" w:tplc="080A0001" w:tentative="1">
      <w:start w:val="1"/>
      <w:numFmt w:val="bullet"/>
      <w:lvlText w:val=""/>
      <w:lvlJc w:val="left"/>
      <w:pPr>
        <w:ind w:left="7164" w:hanging="360"/>
      </w:pPr>
      <w:rPr>
        <w:rFonts w:ascii="Symbol" w:hAnsi="Symbol" w:hint="default"/>
      </w:rPr>
    </w:lvl>
    <w:lvl w:ilvl="7" w:tplc="080A0003" w:tentative="1">
      <w:start w:val="1"/>
      <w:numFmt w:val="bullet"/>
      <w:lvlText w:val="o"/>
      <w:lvlJc w:val="left"/>
      <w:pPr>
        <w:ind w:left="7884" w:hanging="360"/>
      </w:pPr>
      <w:rPr>
        <w:rFonts w:ascii="Courier New" w:hAnsi="Courier New" w:cs="Courier New" w:hint="default"/>
      </w:rPr>
    </w:lvl>
    <w:lvl w:ilvl="8" w:tplc="080A0005" w:tentative="1">
      <w:start w:val="1"/>
      <w:numFmt w:val="bullet"/>
      <w:lvlText w:val=""/>
      <w:lvlJc w:val="left"/>
      <w:pPr>
        <w:ind w:left="8604" w:hanging="360"/>
      </w:pPr>
      <w:rPr>
        <w:rFonts w:ascii="Wingdings" w:hAnsi="Wingdings" w:hint="default"/>
      </w:rPr>
    </w:lvl>
  </w:abstractNum>
  <w:abstractNum w:abstractNumId="12"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15:restartNumberingAfterBreak="0">
    <w:nsid w:val="6CDF6FFF"/>
    <w:multiLevelType w:val="hybridMultilevel"/>
    <w:tmpl w:val="8D080A82"/>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3132886">
    <w:abstractNumId w:val="10"/>
  </w:num>
  <w:num w:numId="2" w16cid:durableId="414858952">
    <w:abstractNumId w:val="12"/>
  </w:num>
  <w:num w:numId="3" w16cid:durableId="309790904">
    <w:abstractNumId w:val="16"/>
  </w:num>
  <w:num w:numId="4" w16cid:durableId="63266153">
    <w:abstractNumId w:val="8"/>
  </w:num>
  <w:num w:numId="5" w16cid:durableId="1670790913">
    <w:abstractNumId w:val="13"/>
  </w:num>
  <w:num w:numId="6" w16cid:durableId="1103185148">
    <w:abstractNumId w:val="9"/>
  </w:num>
  <w:num w:numId="7" w16cid:durableId="2029403768">
    <w:abstractNumId w:val="14"/>
  </w:num>
  <w:num w:numId="8" w16cid:durableId="481509141">
    <w:abstractNumId w:val="6"/>
  </w:num>
  <w:num w:numId="9" w16cid:durableId="545067856">
    <w:abstractNumId w:val="7"/>
  </w:num>
  <w:num w:numId="10" w16cid:durableId="406272014">
    <w:abstractNumId w:val="5"/>
  </w:num>
  <w:num w:numId="11" w16cid:durableId="2061634492">
    <w:abstractNumId w:val="1"/>
  </w:num>
  <w:num w:numId="12" w16cid:durableId="151338671">
    <w:abstractNumId w:val="11"/>
  </w:num>
  <w:num w:numId="13" w16cid:durableId="1463184265">
    <w:abstractNumId w:val="15"/>
  </w:num>
  <w:num w:numId="14" w16cid:durableId="2042243105">
    <w:abstractNumId w:val="3"/>
  </w:num>
  <w:num w:numId="15" w16cid:durableId="1186673472">
    <w:abstractNumId w:val="2"/>
  </w:num>
  <w:num w:numId="16" w16cid:durableId="139687595">
    <w:abstractNumId w:val="4"/>
  </w:num>
  <w:num w:numId="17" w16cid:durableId="880291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48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0FF4"/>
    <w:rsid w:val="00012F54"/>
    <w:rsid w:val="0001384A"/>
    <w:rsid w:val="00015085"/>
    <w:rsid w:val="000203B2"/>
    <w:rsid w:val="00021165"/>
    <w:rsid w:val="00022009"/>
    <w:rsid w:val="00022D0A"/>
    <w:rsid w:val="00023E0F"/>
    <w:rsid w:val="00024B09"/>
    <w:rsid w:val="0002521A"/>
    <w:rsid w:val="00026BB2"/>
    <w:rsid w:val="00026F4A"/>
    <w:rsid w:val="000272BD"/>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05BC"/>
    <w:rsid w:val="00051177"/>
    <w:rsid w:val="0005145D"/>
    <w:rsid w:val="0005415A"/>
    <w:rsid w:val="00055C88"/>
    <w:rsid w:val="00057B7A"/>
    <w:rsid w:val="00060198"/>
    <w:rsid w:val="000606F7"/>
    <w:rsid w:val="00064AC2"/>
    <w:rsid w:val="000662B7"/>
    <w:rsid w:val="00070605"/>
    <w:rsid w:val="00075A85"/>
    <w:rsid w:val="000823EF"/>
    <w:rsid w:val="00083AB0"/>
    <w:rsid w:val="00090D04"/>
    <w:rsid w:val="00092E1F"/>
    <w:rsid w:val="0009372F"/>
    <w:rsid w:val="00093A8B"/>
    <w:rsid w:val="00094E83"/>
    <w:rsid w:val="000951F5"/>
    <w:rsid w:val="00096FC9"/>
    <w:rsid w:val="0009786A"/>
    <w:rsid w:val="000A003F"/>
    <w:rsid w:val="000A25F3"/>
    <w:rsid w:val="000A2814"/>
    <w:rsid w:val="000A2A86"/>
    <w:rsid w:val="000A3369"/>
    <w:rsid w:val="000A4C89"/>
    <w:rsid w:val="000A5644"/>
    <w:rsid w:val="000A5C47"/>
    <w:rsid w:val="000A5C7A"/>
    <w:rsid w:val="000B149F"/>
    <w:rsid w:val="000B1C0B"/>
    <w:rsid w:val="000B426C"/>
    <w:rsid w:val="000B48CB"/>
    <w:rsid w:val="000B4A0F"/>
    <w:rsid w:val="000B522E"/>
    <w:rsid w:val="000B52EA"/>
    <w:rsid w:val="000B6196"/>
    <w:rsid w:val="000C1184"/>
    <w:rsid w:val="000C14B9"/>
    <w:rsid w:val="000C35D8"/>
    <w:rsid w:val="000C5EA0"/>
    <w:rsid w:val="000C6172"/>
    <w:rsid w:val="000C67C3"/>
    <w:rsid w:val="000C6FAD"/>
    <w:rsid w:val="000D1115"/>
    <w:rsid w:val="000D1520"/>
    <w:rsid w:val="000D23FD"/>
    <w:rsid w:val="000E1601"/>
    <w:rsid w:val="000E2FD3"/>
    <w:rsid w:val="000E728E"/>
    <w:rsid w:val="000F22D4"/>
    <w:rsid w:val="000F4860"/>
    <w:rsid w:val="000F5EB6"/>
    <w:rsid w:val="000F7F12"/>
    <w:rsid w:val="001009AB"/>
    <w:rsid w:val="00100A21"/>
    <w:rsid w:val="00100BF6"/>
    <w:rsid w:val="00101208"/>
    <w:rsid w:val="00101601"/>
    <w:rsid w:val="00102315"/>
    <w:rsid w:val="00103B07"/>
    <w:rsid w:val="001077A3"/>
    <w:rsid w:val="00107A9B"/>
    <w:rsid w:val="00107C97"/>
    <w:rsid w:val="00112E4C"/>
    <w:rsid w:val="00115274"/>
    <w:rsid w:val="00115400"/>
    <w:rsid w:val="00115987"/>
    <w:rsid w:val="00116089"/>
    <w:rsid w:val="00117C7F"/>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40805"/>
    <w:rsid w:val="0014099C"/>
    <w:rsid w:val="001412D9"/>
    <w:rsid w:val="00141E3E"/>
    <w:rsid w:val="00145DE8"/>
    <w:rsid w:val="00151127"/>
    <w:rsid w:val="0015148F"/>
    <w:rsid w:val="001514E4"/>
    <w:rsid w:val="0015175F"/>
    <w:rsid w:val="00153004"/>
    <w:rsid w:val="00154772"/>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90EE6"/>
    <w:rsid w:val="001915E8"/>
    <w:rsid w:val="0019199C"/>
    <w:rsid w:val="00192276"/>
    <w:rsid w:val="00192D4C"/>
    <w:rsid w:val="00193860"/>
    <w:rsid w:val="00196279"/>
    <w:rsid w:val="001974C9"/>
    <w:rsid w:val="001978F7"/>
    <w:rsid w:val="00197A87"/>
    <w:rsid w:val="00197D6D"/>
    <w:rsid w:val="001A0573"/>
    <w:rsid w:val="001A06F4"/>
    <w:rsid w:val="001A14DE"/>
    <w:rsid w:val="001A16AA"/>
    <w:rsid w:val="001A1FE9"/>
    <w:rsid w:val="001A2788"/>
    <w:rsid w:val="001A2F7B"/>
    <w:rsid w:val="001A3AAC"/>
    <w:rsid w:val="001A4D22"/>
    <w:rsid w:val="001A4DB9"/>
    <w:rsid w:val="001A6F21"/>
    <w:rsid w:val="001A74A0"/>
    <w:rsid w:val="001B0663"/>
    <w:rsid w:val="001B1C6B"/>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E1A1B"/>
    <w:rsid w:val="001E49C1"/>
    <w:rsid w:val="001E4A0B"/>
    <w:rsid w:val="001E5543"/>
    <w:rsid w:val="001F0422"/>
    <w:rsid w:val="001F17B5"/>
    <w:rsid w:val="001F28A5"/>
    <w:rsid w:val="001F2FF9"/>
    <w:rsid w:val="001F31F1"/>
    <w:rsid w:val="001F4905"/>
    <w:rsid w:val="001F5A9D"/>
    <w:rsid w:val="001F7521"/>
    <w:rsid w:val="001F79C0"/>
    <w:rsid w:val="002001B2"/>
    <w:rsid w:val="0020106B"/>
    <w:rsid w:val="00203B91"/>
    <w:rsid w:val="0020517C"/>
    <w:rsid w:val="00206AF9"/>
    <w:rsid w:val="0020764C"/>
    <w:rsid w:val="002119B0"/>
    <w:rsid w:val="00214024"/>
    <w:rsid w:val="00214E4D"/>
    <w:rsid w:val="00215C5C"/>
    <w:rsid w:val="002161AA"/>
    <w:rsid w:val="002175BF"/>
    <w:rsid w:val="00220F2F"/>
    <w:rsid w:val="0022127C"/>
    <w:rsid w:val="00221CC8"/>
    <w:rsid w:val="002257D3"/>
    <w:rsid w:val="00226128"/>
    <w:rsid w:val="00230C55"/>
    <w:rsid w:val="00230E4C"/>
    <w:rsid w:val="002318D5"/>
    <w:rsid w:val="00232A48"/>
    <w:rsid w:val="00233486"/>
    <w:rsid w:val="00233ACB"/>
    <w:rsid w:val="00234E76"/>
    <w:rsid w:val="00240B34"/>
    <w:rsid w:val="00240C50"/>
    <w:rsid w:val="002419CF"/>
    <w:rsid w:val="00242E16"/>
    <w:rsid w:val="002432AA"/>
    <w:rsid w:val="00244364"/>
    <w:rsid w:val="00245075"/>
    <w:rsid w:val="00251577"/>
    <w:rsid w:val="002519E7"/>
    <w:rsid w:val="00252425"/>
    <w:rsid w:val="002524BD"/>
    <w:rsid w:val="00252E0F"/>
    <w:rsid w:val="0025374A"/>
    <w:rsid w:val="00262E84"/>
    <w:rsid w:val="00263D95"/>
    <w:rsid w:val="00265704"/>
    <w:rsid w:val="0026612D"/>
    <w:rsid w:val="002678C2"/>
    <w:rsid w:val="00267C69"/>
    <w:rsid w:val="0027164D"/>
    <w:rsid w:val="00273FAA"/>
    <w:rsid w:val="002747AF"/>
    <w:rsid w:val="00274E07"/>
    <w:rsid w:val="00275270"/>
    <w:rsid w:val="0027572E"/>
    <w:rsid w:val="00275F15"/>
    <w:rsid w:val="0027767F"/>
    <w:rsid w:val="00280E8D"/>
    <w:rsid w:val="0028174D"/>
    <w:rsid w:val="0028475A"/>
    <w:rsid w:val="00284A85"/>
    <w:rsid w:val="00285699"/>
    <w:rsid w:val="00290314"/>
    <w:rsid w:val="002914F2"/>
    <w:rsid w:val="00292090"/>
    <w:rsid w:val="00292144"/>
    <w:rsid w:val="00292797"/>
    <w:rsid w:val="00295133"/>
    <w:rsid w:val="00296314"/>
    <w:rsid w:val="00296A0F"/>
    <w:rsid w:val="002A2136"/>
    <w:rsid w:val="002A3075"/>
    <w:rsid w:val="002A3806"/>
    <w:rsid w:val="002A59B5"/>
    <w:rsid w:val="002A6281"/>
    <w:rsid w:val="002A7FE6"/>
    <w:rsid w:val="002B0736"/>
    <w:rsid w:val="002B197F"/>
    <w:rsid w:val="002B245A"/>
    <w:rsid w:val="002B2700"/>
    <w:rsid w:val="002B2C0E"/>
    <w:rsid w:val="002B52BC"/>
    <w:rsid w:val="002B5D36"/>
    <w:rsid w:val="002C096F"/>
    <w:rsid w:val="002C0FD7"/>
    <w:rsid w:val="002C2370"/>
    <w:rsid w:val="002C48D3"/>
    <w:rsid w:val="002C4C27"/>
    <w:rsid w:val="002C501F"/>
    <w:rsid w:val="002C5091"/>
    <w:rsid w:val="002D0236"/>
    <w:rsid w:val="002D1F19"/>
    <w:rsid w:val="002D696F"/>
    <w:rsid w:val="002D794E"/>
    <w:rsid w:val="002E0F64"/>
    <w:rsid w:val="002E51ED"/>
    <w:rsid w:val="002E5ECE"/>
    <w:rsid w:val="002E6A31"/>
    <w:rsid w:val="002E6BE4"/>
    <w:rsid w:val="002F02FB"/>
    <w:rsid w:val="002F08AA"/>
    <w:rsid w:val="002F0F70"/>
    <w:rsid w:val="002F2F88"/>
    <w:rsid w:val="002F4A47"/>
    <w:rsid w:val="002F62ED"/>
    <w:rsid w:val="002F71C8"/>
    <w:rsid w:val="002F7489"/>
    <w:rsid w:val="00300882"/>
    <w:rsid w:val="00301470"/>
    <w:rsid w:val="00302737"/>
    <w:rsid w:val="003039BE"/>
    <w:rsid w:val="00304F2A"/>
    <w:rsid w:val="003054D8"/>
    <w:rsid w:val="003056FB"/>
    <w:rsid w:val="003057ED"/>
    <w:rsid w:val="0031131E"/>
    <w:rsid w:val="003119B9"/>
    <w:rsid w:val="00312C45"/>
    <w:rsid w:val="00314C35"/>
    <w:rsid w:val="003173F3"/>
    <w:rsid w:val="0032516A"/>
    <w:rsid w:val="00326078"/>
    <w:rsid w:val="00327322"/>
    <w:rsid w:val="00327ABE"/>
    <w:rsid w:val="00330516"/>
    <w:rsid w:val="0033075F"/>
    <w:rsid w:val="00330E66"/>
    <w:rsid w:val="00331255"/>
    <w:rsid w:val="003337E5"/>
    <w:rsid w:val="00334D6D"/>
    <w:rsid w:val="00334E8F"/>
    <w:rsid w:val="00335E07"/>
    <w:rsid w:val="003363CD"/>
    <w:rsid w:val="00337745"/>
    <w:rsid w:val="0034010C"/>
    <w:rsid w:val="0034140C"/>
    <w:rsid w:val="0034165E"/>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64EE1"/>
    <w:rsid w:val="00365945"/>
    <w:rsid w:val="00370E42"/>
    <w:rsid w:val="00371394"/>
    <w:rsid w:val="00371465"/>
    <w:rsid w:val="003721BC"/>
    <w:rsid w:val="00374B30"/>
    <w:rsid w:val="00375C9A"/>
    <w:rsid w:val="00376D3E"/>
    <w:rsid w:val="003775C1"/>
    <w:rsid w:val="003778A9"/>
    <w:rsid w:val="00377B5E"/>
    <w:rsid w:val="00380B47"/>
    <w:rsid w:val="003849B2"/>
    <w:rsid w:val="00387930"/>
    <w:rsid w:val="00387B42"/>
    <w:rsid w:val="003905EF"/>
    <w:rsid w:val="0039133D"/>
    <w:rsid w:val="0039203D"/>
    <w:rsid w:val="00392476"/>
    <w:rsid w:val="0039553C"/>
    <w:rsid w:val="00396C5D"/>
    <w:rsid w:val="00396CF4"/>
    <w:rsid w:val="00396F45"/>
    <w:rsid w:val="00397D65"/>
    <w:rsid w:val="003A0E33"/>
    <w:rsid w:val="003A1210"/>
    <w:rsid w:val="003A36D0"/>
    <w:rsid w:val="003A4498"/>
    <w:rsid w:val="003A4813"/>
    <w:rsid w:val="003A568C"/>
    <w:rsid w:val="003A616F"/>
    <w:rsid w:val="003A66BF"/>
    <w:rsid w:val="003B1245"/>
    <w:rsid w:val="003B457A"/>
    <w:rsid w:val="003B5A3A"/>
    <w:rsid w:val="003C017E"/>
    <w:rsid w:val="003C1032"/>
    <w:rsid w:val="003C27E4"/>
    <w:rsid w:val="003C2967"/>
    <w:rsid w:val="003C37D1"/>
    <w:rsid w:val="003C3CAD"/>
    <w:rsid w:val="003C4D97"/>
    <w:rsid w:val="003C6BA7"/>
    <w:rsid w:val="003C709B"/>
    <w:rsid w:val="003C797E"/>
    <w:rsid w:val="003C7C99"/>
    <w:rsid w:val="003D0660"/>
    <w:rsid w:val="003D2D38"/>
    <w:rsid w:val="003D38DE"/>
    <w:rsid w:val="003D39C4"/>
    <w:rsid w:val="003D5F62"/>
    <w:rsid w:val="003D64AE"/>
    <w:rsid w:val="003D6C41"/>
    <w:rsid w:val="003E0CBC"/>
    <w:rsid w:val="003E127B"/>
    <w:rsid w:val="003E3CFA"/>
    <w:rsid w:val="003E5FB0"/>
    <w:rsid w:val="003E65D9"/>
    <w:rsid w:val="003E696C"/>
    <w:rsid w:val="003E727C"/>
    <w:rsid w:val="003F1272"/>
    <w:rsid w:val="003F2C6F"/>
    <w:rsid w:val="003F2E0D"/>
    <w:rsid w:val="003F318A"/>
    <w:rsid w:val="003F38F5"/>
    <w:rsid w:val="003F44D9"/>
    <w:rsid w:val="003F6F05"/>
    <w:rsid w:val="00401323"/>
    <w:rsid w:val="004018A4"/>
    <w:rsid w:val="00402287"/>
    <w:rsid w:val="0040395C"/>
    <w:rsid w:val="00410081"/>
    <w:rsid w:val="004107AC"/>
    <w:rsid w:val="00410B01"/>
    <w:rsid w:val="00411AB4"/>
    <w:rsid w:val="00414886"/>
    <w:rsid w:val="00414AF5"/>
    <w:rsid w:val="00414E9B"/>
    <w:rsid w:val="0041568C"/>
    <w:rsid w:val="004158E6"/>
    <w:rsid w:val="00421E9B"/>
    <w:rsid w:val="004223B7"/>
    <w:rsid w:val="00423C8C"/>
    <w:rsid w:val="00425036"/>
    <w:rsid w:val="00426D28"/>
    <w:rsid w:val="00426E11"/>
    <w:rsid w:val="00427278"/>
    <w:rsid w:val="00427C97"/>
    <w:rsid w:val="004301EB"/>
    <w:rsid w:val="00430B1C"/>
    <w:rsid w:val="0043159F"/>
    <w:rsid w:val="00432832"/>
    <w:rsid w:val="00434D22"/>
    <w:rsid w:val="00434DA8"/>
    <w:rsid w:val="0043687D"/>
    <w:rsid w:val="00440813"/>
    <w:rsid w:val="00440BA2"/>
    <w:rsid w:val="00440C4E"/>
    <w:rsid w:val="00442558"/>
    <w:rsid w:val="004428CF"/>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F10"/>
    <w:rsid w:val="00456CEB"/>
    <w:rsid w:val="00460CAD"/>
    <w:rsid w:val="00464066"/>
    <w:rsid w:val="004658F8"/>
    <w:rsid w:val="004660BC"/>
    <w:rsid w:val="00466AFA"/>
    <w:rsid w:val="00471718"/>
    <w:rsid w:val="00471CD3"/>
    <w:rsid w:val="00471CEB"/>
    <w:rsid w:val="00471FBD"/>
    <w:rsid w:val="004720BB"/>
    <w:rsid w:val="004723BF"/>
    <w:rsid w:val="00481380"/>
    <w:rsid w:val="00481D7E"/>
    <w:rsid w:val="0048308A"/>
    <w:rsid w:val="00483C33"/>
    <w:rsid w:val="00484994"/>
    <w:rsid w:val="00485E2A"/>
    <w:rsid w:val="004865E5"/>
    <w:rsid w:val="004901A3"/>
    <w:rsid w:val="00492932"/>
    <w:rsid w:val="00493C88"/>
    <w:rsid w:val="004950D5"/>
    <w:rsid w:val="004975BA"/>
    <w:rsid w:val="00497B08"/>
    <w:rsid w:val="004A0097"/>
    <w:rsid w:val="004A0BBB"/>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3A80"/>
    <w:rsid w:val="004C46F3"/>
    <w:rsid w:val="004C4DF5"/>
    <w:rsid w:val="004C582E"/>
    <w:rsid w:val="004C6111"/>
    <w:rsid w:val="004D316E"/>
    <w:rsid w:val="004D3D4E"/>
    <w:rsid w:val="004D40B5"/>
    <w:rsid w:val="004D51BF"/>
    <w:rsid w:val="004D6A43"/>
    <w:rsid w:val="004D6BE1"/>
    <w:rsid w:val="004E1EA0"/>
    <w:rsid w:val="004E22C7"/>
    <w:rsid w:val="004E3830"/>
    <w:rsid w:val="004E4562"/>
    <w:rsid w:val="004E6EA5"/>
    <w:rsid w:val="004F149B"/>
    <w:rsid w:val="004F1C6F"/>
    <w:rsid w:val="004F1EED"/>
    <w:rsid w:val="004F202C"/>
    <w:rsid w:val="004F2E8D"/>
    <w:rsid w:val="004F4B4D"/>
    <w:rsid w:val="004F5109"/>
    <w:rsid w:val="004F553D"/>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58D0"/>
    <w:rsid w:val="00517932"/>
    <w:rsid w:val="005202AA"/>
    <w:rsid w:val="00521411"/>
    <w:rsid w:val="00521B5E"/>
    <w:rsid w:val="00522225"/>
    <w:rsid w:val="005222BD"/>
    <w:rsid w:val="00523C6A"/>
    <w:rsid w:val="005249F7"/>
    <w:rsid w:val="00524C59"/>
    <w:rsid w:val="00524C88"/>
    <w:rsid w:val="00525777"/>
    <w:rsid w:val="0052682C"/>
    <w:rsid w:val="005277D3"/>
    <w:rsid w:val="00531F63"/>
    <w:rsid w:val="00533365"/>
    <w:rsid w:val="0053425C"/>
    <w:rsid w:val="005359BA"/>
    <w:rsid w:val="00535D70"/>
    <w:rsid w:val="00537BAE"/>
    <w:rsid w:val="005402F1"/>
    <w:rsid w:val="005428ED"/>
    <w:rsid w:val="005454DF"/>
    <w:rsid w:val="00546E77"/>
    <w:rsid w:val="00551613"/>
    <w:rsid w:val="00554D73"/>
    <w:rsid w:val="00555D1C"/>
    <w:rsid w:val="0055660F"/>
    <w:rsid w:val="00556B8B"/>
    <w:rsid w:val="00557402"/>
    <w:rsid w:val="005579FF"/>
    <w:rsid w:val="005601A7"/>
    <w:rsid w:val="00560A5C"/>
    <w:rsid w:val="00560ADC"/>
    <w:rsid w:val="0056124F"/>
    <w:rsid w:val="00564CAA"/>
    <w:rsid w:val="00564CE2"/>
    <w:rsid w:val="0056513E"/>
    <w:rsid w:val="00566787"/>
    <w:rsid w:val="00571382"/>
    <w:rsid w:val="00571779"/>
    <w:rsid w:val="00571FEB"/>
    <w:rsid w:val="00572181"/>
    <w:rsid w:val="00573D74"/>
    <w:rsid w:val="005749C1"/>
    <w:rsid w:val="005767FA"/>
    <w:rsid w:val="00580B33"/>
    <w:rsid w:val="005814B7"/>
    <w:rsid w:val="00581667"/>
    <w:rsid w:val="00583B55"/>
    <w:rsid w:val="00583E3A"/>
    <w:rsid w:val="00584541"/>
    <w:rsid w:val="0058481F"/>
    <w:rsid w:val="0058547F"/>
    <w:rsid w:val="00590AE5"/>
    <w:rsid w:val="00591D82"/>
    <w:rsid w:val="00592098"/>
    <w:rsid w:val="0059353C"/>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C1019"/>
    <w:rsid w:val="005C122F"/>
    <w:rsid w:val="005C329C"/>
    <w:rsid w:val="005C3D34"/>
    <w:rsid w:val="005C3E3A"/>
    <w:rsid w:val="005C4ECD"/>
    <w:rsid w:val="005C59DD"/>
    <w:rsid w:val="005C5CFD"/>
    <w:rsid w:val="005D186E"/>
    <w:rsid w:val="005D1CB6"/>
    <w:rsid w:val="005D28D8"/>
    <w:rsid w:val="005D3B58"/>
    <w:rsid w:val="005D444A"/>
    <w:rsid w:val="005D64B5"/>
    <w:rsid w:val="005D6536"/>
    <w:rsid w:val="005D7E80"/>
    <w:rsid w:val="005E3D37"/>
    <w:rsid w:val="005E6CF4"/>
    <w:rsid w:val="005F0087"/>
    <w:rsid w:val="005F25C8"/>
    <w:rsid w:val="005F2B3A"/>
    <w:rsid w:val="005F4250"/>
    <w:rsid w:val="005F5334"/>
    <w:rsid w:val="005F60C6"/>
    <w:rsid w:val="005F6C33"/>
    <w:rsid w:val="00600794"/>
    <w:rsid w:val="00600AF3"/>
    <w:rsid w:val="00604752"/>
    <w:rsid w:val="00605164"/>
    <w:rsid w:val="00605CD0"/>
    <w:rsid w:val="00607220"/>
    <w:rsid w:val="00610138"/>
    <w:rsid w:val="00610F66"/>
    <w:rsid w:val="0061381B"/>
    <w:rsid w:val="00615005"/>
    <w:rsid w:val="00615417"/>
    <w:rsid w:val="00620928"/>
    <w:rsid w:val="00620938"/>
    <w:rsid w:val="006217D7"/>
    <w:rsid w:val="00625ECE"/>
    <w:rsid w:val="0062715A"/>
    <w:rsid w:val="00627291"/>
    <w:rsid w:val="00631280"/>
    <w:rsid w:val="006339AE"/>
    <w:rsid w:val="00633E37"/>
    <w:rsid w:val="006374CD"/>
    <w:rsid w:val="00640B63"/>
    <w:rsid w:val="00640F4A"/>
    <w:rsid w:val="00641215"/>
    <w:rsid w:val="00641CD0"/>
    <w:rsid w:val="00642D22"/>
    <w:rsid w:val="00642DF7"/>
    <w:rsid w:val="00643C79"/>
    <w:rsid w:val="0064645B"/>
    <w:rsid w:val="006466A2"/>
    <w:rsid w:val="00646FEE"/>
    <w:rsid w:val="00652C2B"/>
    <w:rsid w:val="00653582"/>
    <w:rsid w:val="00653CF6"/>
    <w:rsid w:val="0065435E"/>
    <w:rsid w:val="00654EEC"/>
    <w:rsid w:val="00655705"/>
    <w:rsid w:val="0066005E"/>
    <w:rsid w:val="00661DF3"/>
    <w:rsid w:val="00662D5D"/>
    <w:rsid w:val="00663D6B"/>
    <w:rsid w:val="0066436A"/>
    <w:rsid w:val="0066745C"/>
    <w:rsid w:val="00670A60"/>
    <w:rsid w:val="00671A70"/>
    <w:rsid w:val="00672582"/>
    <w:rsid w:val="006801B9"/>
    <w:rsid w:val="0068021E"/>
    <w:rsid w:val="00681B2A"/>
    <w:rsid w:val="00683324"/>
    <w:rsid w:val="006834CB"/>
    <w:rsid w:val="00684FE5"/>
    <w:rsid w:val="006852F4"/>
    <w:rsid w:val="006862B1"/>
    <w:rsid w:val="0068647A"/>
    <w:rsid w:val="00686B45"/>
    <w:rsid w:val="00687079"/>
    <w:rsid w:val="0069002D"/>
    <w:rsid w:val="006908BC"/>
    <w:rsid w:val="006917C4"/>
    <w:rsid w:val="00692FC6"/>
    <w:rsid w:val="00692FF7"/>
    <w:rsid w:val="00693CF3"/>
    <w:rsid w:val="00694F98"/>
    <w:rsid w:val="00696743"/>
    <w:rsid w:val="006A1CF2"/>
    <w:rsid w:val="006A3386"/>
    <w:rsid w:val="006A46E5"/>
    <w:rsid w:val="006A47AD"/>
    <w:rsid w:val="006A54B9"/>
    <w:rsid w:val="006B022F"/>
    <w:rsid w:val="006B091C"/>
    <w:rsid w:val="006B2272"/>
    <w:rsid w:val="006B2FCC"/>
    <w:rsid w:val="006B5F0F"/>
    <w:rsid w:val="006B6D85"/>
    <w:rsid w:val="006B6EE7"/>
    <w:rsid w:val="006B7946"/>
    <w:rsid w:val="006B7E96"/>
    <w:rsid w:val="006C065C"/>
    <w:rsid w:val="006C20FD"/>
    <w:rsid w:val="006C37A1"/>
    <w:rsid w:val="006C387D"/>
    <w:rsid w:val="006C66B7"/>
    <w:rsid w:val="006C75A6"/>
    <w:rsid w:val="006D29F5"/>
    <w:rsid w:val="006D3D3C"/>
    <w:rsid w:val="006D5469"/>
    <w:rsid w:val="006D70AE"/>
    <w:rsid w:val="006D7F02"/>
    <w:rsid w:val="006E0AD6"/>
    <w:rsid w:val="006E2286"/>
    <w:rsid w:val="006E537C"/>
    <w:rsid w:val="006E6CDF"/>
    <w:rsid w:val="006E71B3"/>
    <w:rsid w:val="006F04EE"/>
    <w:rsid w:val="006F0524"/>
    <w:rsid w:val="006F3FD9"/>
    <w:rsid w:val="006F4207"/>
    <w:rsid w:val="006F4CFF"/>
    <w:rsid w:val="006F5BA1"/>
    <w:rsid w:val="006F68B3"/>
    <w:rsid w:val="006F732B"/>
    <w:rsid w:val="00700A6E"/>
    <w:rsid w:val="00700F4F"/>
    <w:rsid w:val="007018C1"/>
    <w:rsid w:val="00701933"/>
    <w:rsid w:val="00702C0B"/>
    <w:rsid w:val="00702C90"/>
    <w:rsid w:val="00703FF6"/>
    <w:rsid w:val="00704914"/>
    <w:rsid w:val="00704FFF"/>
    <w:rsid w:val="00705168"/>
    <w:rsid w:val="00707920"/>
    <w:rsid w:val="00707F17"/>
    <w:rsid w:val="00710FBC"/>
    <w:rsid w:val="00711B7F"/>
    <w:rsid w:val="00711DCC"/>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6743"/>
    <w:rsid w:val="00736F5B"/>
    <w:rsid w:val="00737536"/>
    <w:rsid w:val="00741456"/>
    <w:rsid w:val="00742B73"/>
    <w:rsid w:val="00742C49"/>
    <w:rsid w:val="00742D1B"/>
    <w:rsid w:val="00742D40"/>
    <w:rsid w:val="007438B6"/>
    <w:rsid w:val="00746507"/>
    <w:rsid w:val="00747A8F"/>
    <w:rsid w:val="00747EB3"/>
    <w:rsid w:val="00750B8A"/>
    <w:rsid w:val="00751C3D"/>
    <w:rsid w:val="00754B12"/>
    <w:rsid w:val="007559C0"/>
    <w:rsid w:val="00755EFB"/>
    <w:rsid w:val="00756756"/>
    <w:rsid w:val="00756E31"/>
    <w:rsid w:val="0076119B"/>
    <w:rsid w:val="007617C7"/>
    <w:rsid w:val="007619E1"/>
    <w:rsid w:val="00762681"/>
    <w:rsid w:val="00763032"/>
    <w:rsid w:val="0076338B"/>
    <w:rsid w:val="00763C70"/>
    <w:rsid w:val="00765C49"/>
    <w:rsid w:val="00767BE1"/>
    <w:rsid w:val="00773FFE"/>
    <w:rsid w:val="00775EA3"/>
    <w:rsid w:val="00776DDD"/>
    <w:rsid w:val="00777D5B"/>
    <w:rsid w:val="00782CC2"/>
    <w:rsid w:val="00783959"/>
    <w:rsid w:val="00785B67"/>
    <w:rsid w:val="007864A7"/>
    <w:rsid w:val="007866EA"/>
    <w:rsid w:val="00786B7D"/>
    <w:rsid w:val="00787341"/>
    <w:rsid w:val="00787626"/>
    <w:rsid w:val="0079051A"/>
    <w:rsid w:val="007909E1"/>
    <w:rsid w:val="007917DD"/>
    <w:rsid w:val="00793DA7"/>
    <w:rsid w:val="0079422F"/>
    <w:rsid w:val="00794F85"/>
    <w:rsid w:val="00794FC9"/>
    <w:rsid w:val="007960F5"/>
    <w:rsid w:val="007973A3"/>
    <w:rsid w:val="007A0C62"/>
    <w:rsid w:val="007A0ED4"/>
    <w:rsid w:val="007A14F2"/>
    <w:rsid w:val="007A6C7F"/>
    <w:rsid w:val="007B1421"/>
    <w:rsid w:val="007B2A1F"/>
    <w:rsid w:val="007B2C4C"/>
    <w:rsid w:val="007B3AC5"/>
    <w:rsid w:val="007B482D"/>
    <w:rsid w:val="007B4830"/>
    <w:rsid w:val="007B5995"/>
    <w:rsid w:val="007B5A31"/>
    <w:rsid w:val="007B6904"/>
    <w:rsid w:val="007C166F"/>
    <w:rsid w:val="007C4592"/>
    <w:rsid w:val="007C4EBB"/>
    <w:rsid w:val="007C5D60"/>
    <w:rsid w:val="007C7071"/>
    <w:rsid w:val="007C7165"/>
    <w:rsid w:val="007C75B7"/>
    <w:rsid w:val="007D0277"/>
    <w:rsid w:val="007D0938"/>
    <w:rsid w:val="007D0F26"/>
    <w:rsid w:val="007D1E1B"/>
    <w:rsid w:val="007D22FE"/>
    <w:rsid w:val="007D5781"/>
    <w:rsid w:val="007D64EC"/>
    <w:rsid w:val="007D64ED"/>
    <w:rsid w:val="007D75B9"/>
    <w:rsid w:val="007E019F"/>
    <w:rsid w:val="007E03E1"/>
    <w:rsid w:val="007E112A"/>
    <w:rsid w:val="007E27F3"/>
    <w:rsid w:val="007E6E97"/>
    <w:rsid w:val="007E7555"/>
    <w:rsid w:val="007F03CD"/>
    <w:rsid w:val="007F0C57"/>
    <w:rsid w:val="007F379C"/>
    <w:rsid w:val="007F4B21"/>
    <w:rsid w:val="007F54D9"/>
    <w:rsid w:val="00800787"/>
    <w:rsid w:val="00801C91"/>
    <w:rsid w:val="00802C86"/>
    <w:rsid w:val="00804B71"/>
    <w:rsid w:val="008051D7"/>
    <w:rsid w:val="00805745"/>
    <w:rsid w:val="0080670D"/>
    <w:rsid w:val="008067B1"/>
    <w:rsid w:val="00806D02"/>
    <w:rsid w:val="00806EAC"/>
    <w:rsid w:val="008072E7"/>
    <w:rsid w:val="00807A89"/>
    <w:rsid w:val="00807E34"/>
    <w:rsid w:val="00807EE4"/>
    <w:rsid w:val="00810821"/>
    <w:rsid w:val="008111D1"/>
    <w:rsid w:val="00814D10"/>
    <w:rsid w:val="00817051"/>
    <w:rsid w:val="00817A5C"/>
    <w:rsid w:val="00820DC4"/>
    <w:rsid w:val="008219D3"/>
    <w:rsid w:val="0082290F"/>
    <w:rsid w:val="00823644"/>
    <w:rsid w:val="00825FAF"/>
    <w:rsid w:val="00826527"/>
    <w:rsid w:val="00827F9C"/>
    <w:rsid w:val="00830200"/>
    <w:rsid w:val="00830B82"/>
    <w:rsid w:val="0083186B"/>
    <w:rsid w:val="00832B4F"/>
    <w:rsid w:val="00832B5C"/>
    <w:rsid w:val="00833A74"/>
    <w:rsid w:val="00835131"/>
    <w:rsid w:val="008357E7"/>
    <w:rsid w:val="00835922"/>
    <w:rsid w:val="008362A2"/>
    <w:rsid w:val="00842D14"/>
    <w:rsid w:val="00844411"/>
    <w:rsid w:val="0084703A"/>
    <w:rsid w:val="0085255B"/>
    <w:rsid w:val="00853484"/>
    <w:rsid w:val="00854937"/>
    <w:rsid w:val="00855326"/>
    <w:rsid w:val="00856627"/>
    <w:rsid w:val="00856D6D"/>
    <w:rsid w:val="0085715B"/>
    <w:rsid w:val="00857C91"/>
    <w:rsid w:val="00857D1F"/>
    <w:rsid w:val="00860775"/>
    <w:rsid w:val="00861089"/>
    <w:rsid w:val="008634D1"/>
    <w:rsid w:val="00863FC4"/>
    <w:rsid w:val="00864F7F"/>
    <w:rsid w:val="00867A41"/>
    <w:rsid w:val="00871DB9"/>
    <w:rsid w:val="0087255D"/>
    <w:rsid w:val="0087390F"/>
    <w:rsid w:val="00873EF2"/>
    <w:rsid w:val="00881C2B"/>
    <w:rsid w:val="00881C3E"/>
    <w:rsid w:val="00885546"/>
    <w:rsid w:val="0088558F"/>
    <w:rsid w:val="00885E7B"/>
    <w:rsid w:val="00886F1B"/>
    <w:rsid w:val="00887DCB"/>
    <w:rsid w:val="00891558"/>
    <w:rsid w:val="00892003"/>
    <w:rsid w:val="00892B5A"/>
    <w:rsid w:val="00892E54"/>
    <w:rsid w:val="00893130"/>
    <w:rsid w:val="00893D88"/>
    <w:rsid w:val="00894E7C"/>
    <w:rsid w:val="008966EA"/>
    <w:rsid w:val="008A000E"/>
    <w:rsid w:val="008A2064"/>
    <w:rsid w:val="008A2FD4"/>
    <w:rsid w:val="008A3A19"/>
    <w:rsid w:val="008A4435"/>
    <w:rsid w:val="008B0405"/>
    <w:rsid w:val="008B0DBF"/>
    <w:rsid w:val="008B24EC"/>
    <w:rsid w:val="008B7C4F"/>
    <w:rsid w:val="008B7D59"/>
    <w:rsid w:val="008C0D59"/>
    <w:rsid w:val="008C16FA"/>
    <w:rsid w:val="008C1AC1"/>
    <w:rsid w:val="008C25FD"/>
    <w:rsid w:val="008C2D6A"/>
    <w:rsid w:val="008C69A6"/>
    <w:rsid w:val="008C6A3C"/>
    <w:rsid w:val="008C764E"/>
    <w:rsid w:val="008C7650"/>
    <w:rsid w:val="008D0183"/>
    <w:rsid w:val="008D15F1"/>
    <w:rsid w:val="008D1A6D"/>
    <w:rsid w:val="008D1F5B"/>
    <w:rsid w:val="008D27FB"/>
    <w:rsid w:val="008D43C8"/>
    <w:rsid w:val="008D49F2"/>
    <w:rsid w:val="008D5C86"/>
    <w:rsid w:val="008D61E3"/>
    <w:rsid w:val="008D71C0"/>
    <w:rsid w:val="008D748B"/>
    <w:rsid w:val="008E0BC7"/>
    <w:rsid w:val="008E0D54"/>
    <w:rsid w:val="008E1F2E"/>
    <w:rsid w:val="008E453F"/>
    <w:rsid w:val="008E7E61"/>
    <w:rsid w:val="008F0098"/>
    <w:rsid w:val="008F00D3"/>
    <w:rsid w:val="008F010F"/>
    <w:rsid w:val="008F0BB7"/>
    <w:rsid w:val="008F0BE4"/>
    <w:rsid w:val="008F2CC4"/>
    <w:rsid w:val="008F7281"/>
    <w:rsid w:val="008F7468"/>
    <w:rsid w:val="00900CC1"/>
    <w:rsid w:val="009020A2"/>
    <w:rsid w:val="00903042"/>
    <w:rsid w:val="00903B51"/>
    <w:rsid w:val="00904C8C"/>
    <w:rsid w:val="0090593F"/>
    <w:rsid w:val="00905AE7"/>
    <w:rsid w:val="009077DC"/>
    <w:rsid w:val="00907EE3"/>
    <w:rsid w:val="00910A50"/>
    <w:rsid w:val="00910D69"/>
    <w:rsid w:val="00910E7B"/>
    <w:rsid w:val="0091257C"/>
    <w:rsid w:val="00912E3C"/>
    <w:rsid w:val="00913F86"/>
    <w:rsid w:val="009164EB"/>
    <w:rsid w:val="00917BCC"/>
    <w:rsid w:val="00917E3A"/>
    <w:rsid w:val="00920C87"/>
    <w:rsid w:val="009210BB"/>
    <w:rsid w:val="00922A87"/>
    <w:rsid w:val="00926B88"/>
    <w:rsid w:val="0093055C"/>
    <w:rsid w:val="00930DDD"/>
    <w:rsid w:val="009314DA"/>
    <w:rsid w:val="00934A43"/>
    <w:rsid w:val="009353D5"/>
    <w:rsid w:val="00937DB0"/>
    <w:rsid w:val="009420B1"/>
    <w:rsid w:val="00942F68"/>
    <w:rsid w:val="009441FE"/>
    <w:rsid w:val="00944977"/>
    <w:rsid w:val="00945DEA"/>
    <w:rsid w:val="00946B83"/>
    <w:rsid w:val="0095049C"/>
    <w:rsid w:val="00951451"/>
    <w:rsid w:val="009518EB"/>
    <w:rsid w:val="00953FA6"/>
    <w:rsid w:val="009544F4"/>
    <w:rsid w:val="00954BB5"/>
    <w:rsid w:val="00956581"/>
    <w:rsid w:val="00960A43"/>
    <w:rsid w:val="00960CA2"/>
    <w:rsid w:val="00961B74"/>
    <w:rsid w:val="00961D75"/>
    <w:rsid w:val="00965E59"/>
    <w:rsid w:val="0096662B"/>
    <w:rsid w:val="00966F53"/>
    <w:rsid w:val="0096758A"/>
    <w:rsid w:val="0097040F"/>
    <w:rsid w:val="00971D5E"/>
    <w:rsid w:val="00972EE0"/>
    <w:rsid w:val="00973054"/>
    <w:rsid w:val="00974E13"/>
    <w:rsid w:val="00975C4C"/>
    <w:rsid w:val="009764FF"/>
    <w:rsid w:val="00980023"/>
    <w:rsid w:val="00981629"/>
    <w:rsid w:val="00982481"/>
    <w:rsid w:val="00982D7B"/>
    <w:rsid w:val="00985C06"/>
    <w:rsid w:val="0099116A"/>
    <w:rsid w:val="009917C7"/>
    <w:rsid w:val="00992690"/>
    <w:rsid w:val="00992BDD"/>
    <w:rsid w:val="00993332"/>
    <w:rsid w:val="00994A50"/>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2080"/>
    <w:rsid w:val="009B2C8C"/>
    <w:rsid w:val="009B70EA"/>
    <w:rsid w:val="009B727A"/>
    <w:rsid w:val="009B7618"/>
    <w:rsid w:val="009C0C09"/>
    <w:rsid w:val="009C0CF7"/>
    <w:rsid w:val="009C3AB3"/>
    <w:rsid w:val="009C68FE"/>
    <w:rsid w:val="009D0AF3"/>
    <w:rsid w:val="009D3AE7"/>
    <w:rsid w:val="009D7C28"/>
    <w:rsid w:val="009E0F1C"/>
    <w:rsid w:val="009E2C90"/>
    <w:rsid w:val="009E317D"/>
    <w:rsid w:val="009E364D"/>
    <w:rsid w:val="009E4DBD"/>
    <w:rsid w:val="009E5B18"/>
    <w:rsid w:val="009E6F49"/>
    <w:rsid w:val="009F1C38"/>
    <w:rsid w:val="009F22D6"/>
    <w:rsid w:val="009F3E45"/>
    <w:rsid w:val="009F5247"/>
    <w:rsid w:val="009F7EC0"/>
    <w:rsid w:val="00A02773"/>
    <w:rsid w:val="00A04B22"/>
    <w:rsid w:val="00A04F14"/>
    <w:rsid w:val="00A061F4"/>
    <w:rsid w:val="00A067E5"/>
    <w:rsid w:val="00A0698B"/>
    <w:rsid w:val="00A11EE4"/>
    <w:rsid w:val="00A127E8"/>
    <w:rsid w:val="00A12CD4"/>
    <w:rsid w:val="00A155F9"/>
    <w:rsid w:val="00A15671"/>
    <w:rsid w:val="00A17D80"/>
    <w:rsid w:val="00A21D11"/>
    <w:rsid w:val="00A22C54"/>
    <w:rsid w:val="00A24489"/>
    <w:rsid w:val="00A2537F"/>
    <w:rsid w:val="00A25714"/>
    <w:rsid w:val="00A25FB6"/>
    <w:rsid w:val="00A30630"/>
    <w:rsid w:val="00A30C64"/>
    <w:rsid w:val="00A33A91"/>
    <w:rsid w:val="00A35883"/>
    <w:rsid w:val="00A364F0"/>
    <w:rsid w:val="00A36900"/>
    <w:rsid w:val="00A40006"/>
    <w:rsid w:val="00A40330"/>
    <w:rsid w:val="00A4179A"/>
    <w:rsid w:val="00A43413"/>
    <w:rsid w:val="00A46078"/>
    <w:rsid w:val="00A511E0"/>
    <w:rsid w:val="00A5350D"/>
    <w:rsid w:val="00A54C84"/>
    <w:rsid w:val="00A56DBD"/>
    <w:rsid w:val="00A642E6"/>
    <w:rsid w:val="00A646F1"/>
    <w:rsid w:val="00A650C2"/>
    <w:rsid w:val="00A65340"/>
    <w:rsid w:val="00A65537"/>
    <w:rsid w:val="00A66CB3"/>
    <w:rsid w:val="00A70289"/>
    <w:rsid w:val="00A710F1"/>
    <w:rsid w:val="00A75BA6"/>
    <w:rsid w:val="00A76F90"/>
    <w:rsid w:val="00A775C0"/>
    <w:rsid w:val="00A77769"/>
    <w:rsid w:val="00A81AD2"/>
    <w:rsid w:val="00A82939"/>
    <w:rsid w:val="00A84898"/>
    <w:rsid w:val="00A853A8"/>
    <w:rsid w:val="00A853EE"/>
    <w:rsid w:val="00A86463"/>
    <w:rsid w:val="00A86917"/>
    <w:rsid w:val="00A870BF"/>
    <w:rsid w:val="00A877A0"/>
    <w:rsid w:val="00A87F32"/>
    <w:rsid w:val="00A90E17"/>
    <w:rsid w:val="00A911EA"/>
    <w:rsid w:val="00A9124C"/>
    <w:rsid w:val="00A92EC1"/>
    <w:rsid w:val="00A94211"/>
    <w:rsid w:val="00A94B98"/>
    <w:rsid w:val="00A9514B"/>
    <w:rsid w:val="00A95593"/>
    <w:rsid w:val="00A95C95"/>
    <w:rsid w:val="00A96768"/>
    <w:rsid w:val="00A96B17"/>
    <w:rsid w:val="00AA32BD"/>
    <w:rsid w:val="00AA5876"/>
    <w:rsid w:val="00AA68B4"/>
    <w:rsid w:val="00AB07F0"/>
    <w:rsid w:val="00AB34AE"/>
    <w:rsid w:val="00AB5A0D"/>
    <w:rsid w:val="00AC195E"/>
    <w:rsid w:val="00AC1B63"/>
    <w:rsid w:val="00AC1D35"/>
    <w:rsid w:val="00AC2EA9"/>
    <w:rsid w:val="00AC3430"/>
    <w:rsid w:val="00AC41BB"/>
    <w:rsid w:val="00AC4360"/>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B46"/>
    <w:rsid w:val="00AF23B9"/>
    <w:rsid w:val="00AF3614"/>
    <w:rsid w:val="00AF4B3A"/>
    <w:rsid w:val="00AF5622"/>
    <w:rsid w:val="00AF584C"/>
    <w:rsid w:val="00AF5EE6"/>
    <w:rsid w:val="00AF69FC"/>
    <w:rsid w:val="00AF7620"/>
    <w:rsid w:val="00B006D3"/>
    <w:rsid w:val="00B0179A"/>
    <w:rsid w:val="00B027D1"/>
    <w:rsid w:val="00B03C6B"/>
    <w:rsid w:val="00B040C0"/>
    <w:rsid w:val="00B058FC"/>
    <w:rsid w:val="00B05A41"/>
    <w:rsid w:val="00B06005"/>
    <w:rsid w:val="00B1041B"/>
    <w:rsid w:val="00B10C7A"/>
    <w:rsid w:val="00B12B90"/>
    <w:rsid w:val="00B14904"/>
    <w:rsid w:val="00B14E0A"/>
    <w:rsid w:val="00B15B86"/>
    <w:rsid w:val="00B17526"/>
    <w:rsid w:val="00B20292"/>
    <w:rsid w:val="00B20A18"/>
    <w:rsid w:val="00B2367A"/>
    <w:rsid w:val="00B25059"/>
    <w:rsid w:val="00B26266"/>
    <w:rsid w:val="00B267BE"/>
    <w:rsid w:val="00B31321"/>
    <w:rsid w:val="00B3235A"/>
    <w:rsid w:val="00B3372D"/>
    <w:rsid w:val="00B33CCB"/>
    <w:rsid w:val="00B345E7"/>
    <w:rsid w:val="00B347FE"/>
    <w:rsid w:val="00B36CE6"/>
    <w:rsid w:val="00B36E9D"/>
    <w:rsid w:val="00B3778C"/>
    <w:rsid w:val="00B4066A"/>
    <w:rsid w:val="00B40EA8"/>
    <w:rsid w:val="00B416AA"/>
    <w:rsid w:val="00B41B7D"/>
    <w:rsid w:val="00B43639"/>
    <w:rsid w:val="00B443A5"/>
    <w:rsid w:val="00B44973"/>
    <w:rsid w:val="00B45725"/>
    <w:rsid w:val="00B45CC8"/>
    <w:rsid w:val="00B471EC"/>
    <w:rsid w:val="00B516D6"/>
    <w:rsid w:val="00B5245F"/>
    <w:rsid w:val="00B537D4"/>
    <w:rsid w:val="00B565E6"/>
    <w:rsid w:val="00B56646"/>
    <w:rsid w:val="00B60288"/>
    <w:rsid w:val="00B605A5"/>
    <w:rsid w:val="00B60642"/>
    <w:rsid w:val="00B6175C"/>
    <w:rsid w:val="00B6330E"/>
    <w:rsid w:val="00B65AEB"/>
    <w:rsid w:val="00B65D31"/>
    <w:rsid w:val="00B67A5D"/>
    <w:rsid w:val="00B72088"/>
    <w:rsid w:val="00B73688"/>
    <w:rsid w:val="00B736D1"/>
    <w:rsid w:val="00B73D91"/>
    <w:rsid w:val="00B75A41"/>
    <w:rsid w:val="00B7672E"/>
    <w:rsid w:val="00B773FE"/>
    <w:rsid w:val="00B7791A"/>
    <w:rsid w:val="00B77C54"/>
    <w:rsid w:val="00B8023E"/>
    <w:rsid w:val="00B823D0"/>
    <w:rsid w:val="00B82848"/>
    <w:rsid w:val="00B82C06"/>
    <w:rsid w:val="00B84660"/>
    <w:rsid w:val="00B848F6"/>
    <w:rsid w:val="00B85A9B"/>
    <w:rsid w:val="00B8697C"/>
    <w:rsid w:val="00B9125C"/>
    <w:rsid w:val="00B92E47"/>
    <w:rsid w:val="00B96496"/>
    <w:rsid w:val="00B96541"/>
    <w:rsid w:val="00B96781"/>
    <w:rsid w:val="00B97E75"/>
    <w:rsid w:val="00BA097E"/>
    <w:rsid w:val="00BA0F6A"/>
    <w:rsid w:val="00BA627F"/>
    <w:rsid w:val="00BA763A"/>
    <w:rsid w:val="00BB1EA1"/>
    <w:rsid w:val="00BB322B"/>
    <w:rsid w:val="00BB485D"/>
    <w:rsid w:val="00BB490D"/>
    <w:rsid w:val="00BB61ED"/>
    <w:rsid w:val="00BB6D7F"/>
    <w:rsid w:val="00BC0632"/>
    <w:rsid w:val="00BC17D1"/>
    <w:rsid w:val="00BC211E"/>
    <w:rsid w:val="00BC417D"/>
    <w:rsid w:val="00BC653C"/>
    <w:rsid w:val="00BC7B6D"/>
    <w:rsid w:val="00BD0277"/>
    <w:rsid w:val="00BD2CD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612C"/>
    <w:rsid w:val="00C0152B"/>
    <w:rsid w:val="00C0218C"/>
    <w:rsid w:val="00C04190"/>
    <w:rsid w:val="00C06C30"/>
    <w:rsid w:val="00C074EB"/>
    <w:rsid w:val="00C07985"/>
    <w:rsid w:val="00C07DAF"/>
    <w:rsid w:val="00C07F53"/>
    <w:rsid w:val="00C1179C"/>
    <w:rsid w:val="00C11C6E"/>
    <w:rsid w:val="00C1240F"/>
    <w:rsid w:val="00C166CD"/>
    <w:rsid w:val="00C21B1E"/>
    <w:rsid w:val="00C21C94"/>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53217"/>
    <w:rsid w:val="00C53960"/>
    <w:rsid w:val="00C53AEE"/>
    <w:rsid w:val="00C54C02"/>
    <w:rsid w:val="00C55CA1"/>
    <w:rsid w:val="00C572E0"/>
    <w:rsid w:val="00C57303"/>
    <w:rsid w:val="00C57648"/>
    <w:rsid w:val="00C604AB"/>
    <w:rsid w:val="00C61559"/>
    <w:rsid w:val="00C61607"/>
    <w:rsid w:val="00C619FF"/>
    <w:rsid w:val="00C61D30"/>
    <w:rsid w:val="00C63136"/>
    <w:rsid w:val="00C63B5E"/>
    <w:rsid w:val="00C6533C"/>
    <w:rsid w:val="00C659D1"/>
    <w:rsid w:val="00C662A1"/>
    <w:rsid w:val="00C663A5"/>
    <w:rsid w:val="00C67171"/>
    <w:rsid w:val="00C6739D"/>
    <w:rsid w:val="00C7057E"/>
    <w:rsid w:val="00C70983"/>
    <w:rsid w:val="00C729CD"/>
    <w:rsid w:val="00C7360C"/>
    <w:rsid w:val="00C7592B"/>
    <w:rsid w:val="00C8163F"/>
    <w:rsid w:val="00C81C24"/>
    <w:rsid w:val="00C83B12"/>
    <w:rsid w:val="00C83BBD"/>
    <w:rsid w:val="00C8425A"/>
    <w:rsid w:val="00C84671"/>
    <w:rsid w:val="00C86257"/>
    <w:rsid w:val="00C8754F"/>
    <w:rsid w:val="00C908F5"/>
    <w:rsid w:val="00C91EE6"/>
    <w:rsid w:val="00C934CE"/>
    <w:rsid w:val="00CA0FC8"/>
    <w:rsid w:val="00CA18A3"/>
    <w:rsid w:val="00CA1A10"/>
    <w:rsid w:val="00CA6047"/>
    <w:rsid w:val="00CA6F7F"/>
    <w:rsid w:val="00CB17FC"/>
    <w:rsid w:val="00CB3521"/>
    <w:rsid w:val="00CB3B80"/>
    <w:rsid w:val="00CB43BB"/>
    <w:rsid w:val="00CB481A"/>
    <w:rsid w:val="00CB512D"/>
    <w:rsid w:val="00CB5F39"/>
    <w:rsid w:val="00CB6CC1"/>
    <w:rsid w:val="00CB7813"/>
    <w:rsid w:val="00CC01DB"/>
    <w:rsid w:val="00CC0259"/>
    <w:rsid w:val="00CC10B7"/>
    <w:rsid w:val="00CC2EBB"/>
    <w:rsid w:val="00CC352E"/>
    <w:rsid w:val="00CC3575"/>
    <w:rsid w:val="00CC3A04"/>
    <w:rsid w:val="00CC5F40"/>
    <w:rsid w:val="00CD05A2"/>
    <w:rsid w:val="00CD10F5"/>
    <w:rsid w:val="00CD12F4"/>
    <w:rsid w:val="00CD237C"/>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36B"/>
    <w:rsid w:val="00CF2F58"/>
    <w:rsid w:val="00CF3075"/>
    <w:rsid w:val="00CF31A1"/>
    <w:rsid w:val="00CF43EA"/>
    <w:rsid w:val="00CF4F72"/>
    <w:rsid w:val="00CF61E3"/>
    <w:rsid w:val="00CF77DA"/>
    <w:rsid w:val="00D019AA"/>
    <w:rsid w:val="00D03C91"/>
    <w:rsid w:val="00D052F0"/>
    <w:rsid w:val="00D061CD"/>
    <w:rsid w:val="00D06592"/>
    <w:rsid w:val="00D06B45"/>
    <w:rsid w:val="00D07184"/>
    <w:rsid w:val="00D12D6A"/>
    <w:rsid w:val="00D136EF"/>
    <w:rsid w:val="00D1401E"/>
    <w:rsid w:val="00D15904"/>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23F9"/>
    <w:rsid w:val="00D46647"/>
    <w:rsid w:val="00D52F55"/>
    <w:rsid w:val="00D54E3C"/>
    <w:rsid w:val="00D55A47"/>
    <w:rsid w:val="00D560A0"/>
    <w:rsid w:val="00D5781F"/>
    <w:rsid w:val="00D604D6"/>
    <w:rsid w:val="00D62BDF"/>
    <w:rsid w:val="00D63CB2"/>
    <w:rsid w:val="00D670DA"/>
    <w:rsid w:val="00D67268"/>
    <w:rsid w:val="00D67D43"/>
    <w:rsid w:val="00D744C6"/>
    <w:rsid w:val="00D7479B"/>
    <w:rsid w:val="00D75A2B"/>
    <w:rsid w:val="00D75A3D"/>
    <w:rsid w:val="00D76AA9"/>
    <w:rsid w:val="00D76AEB"/>
    <w:rsid w:val="00D80AB3"/>
    <w:rsid w:val="00D810D9"/>
    <w:rsid w:val="00D8149F"/>
    <w:rsid w:val="00D81B9E"/>
    <w:rsid w:val="00D81DB4"/>
    <w:rsid w:val="00D82372"/>
    <w:rsid w:val="00D829B2"/>
    <w:rsid w:val="00D83D36"/>
    <w:rsid w:val="00D8698F"/>
    <w:rsid w:val="00D870CD"/>
    <w:rsid w:val="00D912EF"/>
    <w:rsid w:val="00D918A9"/>
    <w:rsid w:val="00D9197A"/>
    <w:rsid w:val="00D92E55"/>
    <w:rsid w:val="00D9333D"/>
    <w:rsid w:val="00D93CA4"/>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165"/>
    <w:rsid w:val="00DB1E04"/>
    <w:rsid w:val="00DB2E20"/>
    <w:rsid w:val="00DB3BD6"/>
    <w:rsid w:val="00DB3E7B"/>
    <w:rsid w:val="00DC2B07"/>
    <w:rsid w:val="00DC37B7"/>
    <w:rsid w:val="00DC47AE"/>
    <w:rsid w:val="00DC4EDD"/>
    <w:rsid w:val="00DC5150"/>
    <w:rsid w:val="00DC6C1F"/>
    <w:rsid w:val="00DC6F3F"/>
    <w:rsid w:val="00DC7145"/>
    <w:rsid w:val="00DC765E"/>
    <w:rsid w:val="00DD3CCF"/>
    <w:rsid w:val="00DD4023"/>
    <w:rsid w:val="00DD4FB7"/>
    <w:rsid w:val="00DD6510"/>
    <w:rsid w:val="00DD658D"/>
    <w:rsid w:val="00DD6947"/>
    <w:rsid w:val="00DE0C3D"/>
    <w:rsid w:val="00DE3154"/>
    <w:rsid w:val="00DE37D8"/>
    <w:rsid w:val="00DE59D1"/>
    <w:rsid w:val="00DE681C"/>
    <w:rsid w:val="00DF027D"/>
    <w:rsid w:val="00DF0467"/>
    <w:rsid w:val="00DF1A1F"/>
    <w:rsid w:val="00DF1F3C"/>
    <w:rsid w:val="00DF473B"/>
    <w:rsid w:val="00DF63A3"/>
    <w:rsid w:val="00DF6559"/>
    <w:rsid w:val="00E02BC5"/>
    <w:rsid w:val="00E02E0C"/>
    <w:rsid w:val="00E0496E"/>
    <w:rsid w:val="00E06C2E"/>
    <w:rsid w:val="00E079E6"/>
    <w:rsid w:val="00E07FD1"/>
    <w:rsid w:val="00E106CE"/>
    <w:rsid w:val="00E12823"/>
    <w:rsid w:val="00E12B61"/>
    <w:rsid w:val="00E13151"/>
    <w:rsid w:val="00E13CE0"/>
    <w:rsid w:val="00E20206"/>
    <w:rsid w:val="00E22633"/>
    <w:rsid w:val="00E23014"/>
    <w:rsid w:val="00E23869"/>
    <w:rsid w:val="00E23892"/>
    <w:rsid w:val="00E24A0B"/>
    <w:rsid w:val="00E25135"/>
    <w:rsid w:val="00E26635"/>
    <w:rsid w:val="00E309E5"/>
    <w:rsid w:val="00E30A39"/>
    <w:rsid w:val="00E32BB5"/>
    <w:rsid w:val="00E331C9"/>
    <w:rsid w:val="00E3338C"/>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7755"/>
    <w:rsid w:val="00E50D2D"/>
    <w:rsid w:val="00E50D6C"/>
    <w:rsid w:val="00E6000E"/>
    <w:rsid w:val="00E61E0B"/>
    <w:rsid w:val="00E6239C"/>
    <w:rsid w:val="00E63948"/>
    <w:rsid w:val="00E65858"/>
    <w:rsid w:val="00E65E18"/>
    <w:rsid w:val="00E66464"/>
    <w:rsid w:val="00E70102"/>
    <w:rsid w:val="00E70E1C"/>
    <w:rsid w:val="00E71758"/>
    <w:rsid w:val="00E71EEC"/>
    <w:rsid w:val="00E728E9"/>
    <w:rsid w:val="00E729CD"/>
    <w:rsid w:val="00E7377C"/>
    <w:rsid w:val="00E73793"/>
    <w:rsid w:val="00E7387D"/>
    <w:rsid w:val="00E74FB8"/>
    <w:rsid w:val="00E75093"/>
    <w:rsid w:val="00E75B34"/>
    <w:rsid w:val="00E75B62"/>
    <w:rsid w:val="00E81217"/>
    <w:rsid w:val="00E81231"/>
    <w:rsid w:val="00E81450"/>
    <w:rsid w:val="00E823FD"/>
    <w:rsid w:val="00E84D05"/>
    <w:rsid w:val="00E8722C"/>
    <w:rsid w:val="00E872E6"/>
    <w:rsid w:val="00E9031A"/>
    <w:rsid w:val="00E936A2"/>
    <w:rsid w:val="00E93845"/>
    <w:rsid w:val="00E93CFD"/>
    <w:rsid w:val="00E94133"/>
    <w:rsid w:val="00E96D7B"/>
    <w:rsid w:val="00E975D0"/>
    <w:rsid w:val="00E975ED"/>
    <w:rsid w:val="00EA3080"/>
    <w:rsid w:val="00EA4712"/>
    <w:rsid w:val="00EA4CFD"/>
    <w:rsid w:val="00EA6E69"/>
    <w:rsid w:val="00EA6EDA"/>
    <w:rsid w:val="00EB0CEB"/>
    <w:rsid w:val="00EB3214"/>
    <w:rsid w:val="00EB3262"/>
    <w:rsid w:val="00EB46C8"/>
    <w:rsid w:val="00EB758B"/>
    <w:rsid w:val="00EB75F1"/>
    <w:rsid w:val="00EC1F3D"/>
    <w:rsid w:val="00EC295B"/>
    <w:rsid w:val="00EC3012"/>
    <w:rsid w:val="00EC3C5D"/>
    <w:rsid w:val="00EC3E97"/>
    <w:rsid w:val="00EC4690"/>
    <w:rsid w:val="00EC5B94"/>
    <w:rsid w:val="00ED024B"/>
    <w:rsid w:val="00ED08EA"/>
    <w:rsid w:val="00ED13ED"/>
    <w:rsid w:val="00ED241C"/>
    <w:rsid w:val="00ED25D0"/>
    <w:rsid w:val="00ED2C09"/>
    <w:rsid w:val="00ED4674"/>
    <w:rsid w:val="00ED5A44"/>
    <w:rsid w:val="00EE1D16"/>
    <w:rsid w:val="00EE1EFD"/>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2439"/>
    <w:rsid w:val="00F125FA"/>
    <w:rsid w:val="00F16CA0"/>
    <w:rsid w:val="00F2057D"/>
    <w:rsid w:val="00F23495"/>
    <w:rsid w:val="00F24602"/>
    <w:rsid w:val="00F27766"/>
    <w:rsid w:val="00F304FE"/>
    <w:rsid w:val="00F31017"/>
    <w:rsid w:val="00F31FB2"/>
    <w:rsid w:val="00F3684C"/>
    <w:rsid w:val="00F40571"/>
    <w:rsid w:val="00F412C3"/>
    <w:rsid w:val="00F41707"/>
    <w:rsid w:val="00F42FC7"/>
    <w:rsid w:val="00F439A1"/>
    <w:rsid w:val="00F4400B"/>
    <w:rsid w:val="00F444B9"/>
    <w:rsid w:val="00F446A8"/>
    <w:rsid w:val="00F45547"/>
    <w:rsid w:val="00F4736A"/>
    <w:rsid w:val="00F5135D"/>
    <w:rsid w:val="00F5245A"/>
    <w:rsid w:val="00F53072"/>
    <w:rsid w:val="00F53B7A"/>
    <w:rsid w:val="00F53C55"/>
    <w:rsid w:val="00F54ED1"/>
    <w:rsid w:val="00F55045"/>
    <w:rsid w:val="00F5680F"/>
    <w:rsid w:val="00F571F9"/>
    <w:rsid w:val="00F6100D"/>
    <w:rsid w:val="00F64899"/>
    <w:rsid w:val="00F65A57"/>
    <w:rsid w:val="00F673A6"/>
    <w:rsid w:val="00F67F53"/>
    <w:rsid w:val="00F706E7"/>
    <w:rsid w:val="00F75388"/>
    <w:rsid w:val="00F76551"/>
    <w:rsid w:val="00F76855"/>
    <w:rsid w:val="00F77E91"/>
    <w:rsid w:val="00F80253"/>
    <w:rsid w:val="00F80B07"/>
    <w:rsid w:val="00F85F1A"/>
    <w:rsid w:val="00F86678"/>
    <w:rsid w:val="00F9040D"/>
    <w:rsid w:val="00F92915"/>
    <w:rsid w:val="00F94186"/>
    <w:rsid w:val="00F950F5"/>
    <w:rsid w:val="00F9606D"/>
    <w:rsid w:val="00F97562"/>
    <w:rsid w:val="00F97BD9"/>
    <w:rsid w:val="00FA3926"/>
    <w:rsid w:val="00FA3E8A"/>
    <w:rsid w:val="00FA46E9"/>
    <w:rsid w:val="00FA5E4E"/>
    <w:rsid w:val="00FA7E91"/>
    <w:rsid w:val="00FB1D3A"/>
    <w:rsid w:val="00FB1F69"/>
    <w:rsid w:val="00FB3950"/>
    <w:rsid w:val="00FB4B36"/>
    <w:rsid w:val="00FB5700"/>
    <w:rsid w:val="00FB6589"/>
    <w:rsid w:val="00FB740D"/>
    <w:rsid w:val="00FC14CA"/>
    <w:rsid w:val="00FC2772"/>
    <w:rsid w:val="00FC3B2A"/>
    <w:rsid w:val="00FC3CD5"/>
    <w:rsid w:val="00FC7341"/>
    <w:rsid w:val="00FC7822"/>
    <w:rsid w:val="00FD0735"/>
    <w:rsid w:val="00FD1C30"/>
    <w:rsid w:val="00FD4141"/>
    <w:rsid w:val="00FD4FF2"/>
    <w:rsid w:val="00FD51E9"/>
    <w:rsid w:val="00FD6FE7"/>
    <w:rsid w:val="00FD7E44"/>
    <w:rsid w:val="00FE0849"/>
    <w:rsid w:val="00FE1816"/>
    <w:rsid w:val="00FE3F7D"/>
    <w:rsid w:val="00FE5F7B"/>
    <w:rsid w:val="00FE626D"/>
    <w:rsid w:val="00FF2E5C"/>
    <w:rsid w:val="00FF5124"/>
    <w:rsid w:val="00FF6113"/>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83"/>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bold">
    <w:name w:val="bold"/>
    <w:basedOn w:val="Fuentedeprrafopredeter"/>
    <w:rsid w:val="002001B2"/>
  </w:style>
  <w:style w:type="paragraph" w:customStyle="1" w:styleId="temp">
    <w:name w:val="temp"/>
    <w:basedOn w:val="Normal"/>
    <w:rsid w:val="002001B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200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54CE0-2005-4E0D-898E-609DD5689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11</Pages>
  <Words>3725</Words>
  <Characters>20490</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51</cp:revision>
  <cp:lastPrinted>2023-09-06T17:08:00Z</cp:lastPrinted>
  <dcterms:created xsi:type="dcterms:W3CDTF">2023-08-25T21:25:00Z</dcterms:created>
  <dcterms:modified xsi:type="dcterms:W3CDTF">2023-10-23T19:28:00Z</dcterms:modified>
</cp:coreProperties>
</file>