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EFF60" w14:textId="77777777" w:rsidR="00DC199F" w:rsidRPr="00292F0B" w:rsidRDefault="00DC199F" w:rsidP="00F60204">
      <w:pPr>
        <w:spacing w:line="240" w:lineRule="auto"/>
        <w:ind w:left="3261" w:right="51"/>
        <w:jc w:val="both"/>
        <w:rPr>
          <w:rFonts w:ascii="Century Gothic" w:eastAsia="Times New Roman" w:hAnsi="Century Gothic" w:cs="Arial"/>
          <w:bCs/>
          <w:sz w:val="24"/>
          <w:szCs w:val="24"/>
          <w:lang w:val="es-ES_tradnl" w:eastAsia="es-ES"/>
        </w:rPr>
      </w:pPr>
      <w:r w:rsidRPr="00292F0B">
        <w:rPr>
          <w:rFonts w:ascii="Century Gothic" w:eastAsia="Times New Roman" w:hAnsi="Century Gothic" w:cs="Arial"/>
          <w:b/>
          <w:sz w:val="24"/>
          <w:szCs w:val="24"/>
          <w:lang w:val="es-ES_tradnl" w:eastAsia="es-ES"/>
        </w:rPr>
        <w:t xml:space="preserve">RECURSO DE REVISIÓN: </w:t>
      </w:r>
      <w:r w:rsidRPr="00292F0B">
        <w:rPr>
          <w:rFonts w:ascii="Century Gothic" w:eastAsia="Times New Roman" w:hAnsi="Century Gothic" w:cs="Arial"/>
          <w:bCs/>
          <w:sz w:val="24"/>
          <w:szCs w:val="24"/>
          <w:lang w:val="es-ES_tradnl" w:eastAsia="es-ES"/>
        </w:rPr>
        <w:t>0114/2023.</w:t>
      </w:r>
    </w:p>
    <w:p w14:paraId="7067CC4E" w14:textId="1ADB35D8" w:rsidR="00DC199F" w:rsidRPr="00292F0B" w:rsidRDefault="00DC199F" w:rsidP="00EA3158">
      <w:pPr>
        <w:spacing w:line="240" w:lineRule="auto"/>
        <w:ind w:left="3261" w:right="51"/>
        <w:jc w:val="both"/>
        <w:rPr>
          <w:rFonts w:ascii="Century Gothic" w:eastAsia="Times New Roman" w:hAnsi="Century Gothic" w:cs="Arial"/>
          <w:b/>
          <w:sz w:val="24"/>
          <w:szCs w:val="24"/>
          <w:lang w:val="es-ES_tradnl" w:eastAsia="es-ES"/>
        </w:rPr>
      </w:pPr>
      <w:r w:rsidRPr="00292F0B">
        <w:rPr>
          <w:rFonts w:ascii="Century Gothic" w:eastAsia="Times New Roman" w:hAnsi="Century Gothic" w:cs="Arial"/>
          <w:b/>
          <w:sz w:val="24"/>
          <w:szCs w:val="24"/>
          <w:lang w:val="es-ES_tradnl" w:eastAsia="es-ES"/>
        </w:rPr>
        <w:t>JUICIO DE NULIDAD:</w:t>
      </w:r>
      <w:r w:rsidRPr="00292F0B">
        <w:rPr>
          <w:rFonts w:ascii="Century Gothic" w:eastAsia="Times New Roman" w:hAnsi="Century Gothic" w:cs="Arial"/>
          <w:bCs/>
          <w:sz w:val="24"/>
          <w:szCs w:val="24"/>
          <w:lang w:val="es-ES_tradnl" w:eastAsia="es-ES"/>
        </w:rPr>
        <w:t xml:space="preserve"> </w:t>
      </w:r>
      <w:r w:rsidR="00E41A0A" w:rsidRPr="00292F0B">
        <w:rPr>
          <w:rFonts w:ascii="Century Gothic" w:eastAsia="Times New Roman" w:hAnsi="Century Gothic" w:cs="Arial"/>
          <w:b/>
          <w:bCs/>
          <w:sz w:val="24"/>
          <w:szCs w:val="24"/>
          <w:lang w:val="es-ES_tradnl" w:eastAsia="es-ES"/>
        </w:rPr>
        <w:t>0</w:t>
      </w:r>
      <w:r w:rsidRPr="00292F0B">
        <w:rPr>
          <w:rFonts w:ascii="Century Gothic" w:eastAsia="Times New Roman" w:hAnsi="Century Gothic" w:cs="Arial"/>
          <w:b/>
          <w:bCs/>
          <w:sz w:val="24"/>
          <w:szCs w:val="24"/>
          <w:lang w:val="es-ES_tradnl" w:eastAsia="es-ES"/>
        </w:rPr>
        <w:t>474/2023 TERCERA SALA</w:t>
      </w:r>
      <w:r w:rsidR="001A6958" w:rsidRPr="00292F0B">
        <w:rPr>
          <w:rFonts w:ascii="Century Gothic" w:eastAsia="Times New Roman" w:hAnsi="Century Gothic" w:cs="Arial"/>
          <w:b/>
          <w:bCs/>
          <w:sz w:val="24"/>
          <w:szCs w:val="24"/>
          <w:lang w:val="es-ES_tradnl" w:eastAsia="es-ES"/>
        </w:rPr>
        <w:t xml:space="preserve"> UNITARIA DE PRIMERA INSTANCIA DEL TRIBUNAL </w:t>
      </w:r>
      <w:r w:rsidR="001A6958" w:rsidRPr="00292F0B">
        <w:rPr>
          <w:rFonts w:ascii="Century Gothic" w:eastAsia="Times New Roman" w:hAnsi="Century Gothic" w:cs="Arial"/>
          <w:b/>
          <w:sz w:val="24"/>
          <w:szCs w:val="24"/>
          <w:lang w:val="es-ES_tradnl" w:eastAsia="es-ES"/>
        </w:rPr>
        <w:t>DE JUSTICIA ADMINISTRATIVA Y COMBATE A LA CORRUPCIÓN DEL ESTADO DE OAXACA</w:t>
      </w:r>
      <w:r w:rsidRPr="00292F0B">
        <w:rPr>
          <w:rFonts w:ascii="Century Gothic" w:eastAsia="Times New Roman" w:hAnsi="Century Gothic" w:cs="Arial"/>
          <w:b/>
          <w:bCs/>
          <w:sz w:val="24"/>
          <w:szCs w:val="24"/>
          <w:lang w:val="es-ES_tradnl" w:eastAsia="es-ES"/>
        </w:rPr>
        <w:t>,</w:t>
      </w:r>
      <w:r w:rsidRPr="00292F0B">
        <w:rPr>
          <w:rFonts w:ascii="Century Gothic" w:eastAsia="Times New Roman" w:hAnsi="Century Gothic" w:cs="Arial"/>
          <w:bCs/>
          <w:sz w:val="24"/>
          <w:szCs w:val="24"/>
          <w:lang w:val="es-ES_tradnl" w:eastAsia="es-ES"/>
        </w:rPr>
        <w:t xml:space="preserve"> ANTES 92/2022 CUARTA SALA UNITARIA</w:t>
      </w:r>
      <w:r w:rsidR="001A6958" w:rsidRPr="00292F0B">
        <w:rPr>
          <w:rFonts w:ascii="Century Gothic" w:eastAsia="Times New Roman" w:hAnsi="Century Gothic" w:cs="Arial"/>
          <w:bCs/>
          <w:sz w:val="24"/>
          <w:szCs w:val="24"/>
          <w:lang w:val="es-ES_tradnl" w:eastAsia="es-ES"/>
        </w:rPr>
        <w:t xml:space="preserve"> DE PRIMERA INSTANCIA</w:t>
      </w:r>
      <w:r w:rsidR="002E5A0A" w:rsidRPr="00292F0B">
        <w:rPr>
          <w:rFonts w:ascii="Century Gothic" w:eastAsia="Times New Roman" w:hAnsi="Century Gothic" w:cs="Arial"/>
          <w:bCs/>
          <w:sz w:val="24"/>
          <w:szCs w:val="24"/>
          <w:lang w:val="es-ES_tradnl" w:eastAsia="es-ES"/>
        </w:rPr>
        <w:t>.</w:t>
      </w:r>
    </w:p>
    <w:p w14:paraId="5915C2A6" w14:textId="77777777" w:rsidR="00DC199F" w:rsidRPr="00292F0B" w:rsidRDefault="00DC199F" w:rsidP="00EA3158">
      <w:pPr>
        <w:spacing w:line="240" w:lineRule="auto"/>
        <w:ind w:left="3261" w:right="51"/>
        <w:jc w:val="both"/>
        <w:rPr>
          <w:rFonts w:ascii="Century Gothic" w:eastAsia="Times New Roman" w:hAnsi="Century Gothic" w:cs="Arial"/>
          <w:bCs/>
          <w:sz w:val="24"/>
          <w:szCs w:val="24"/>
          <w:lang w:val="es-ES_tradnl" w:eastAsia="es-ES"/>
        </w:rPr>
      </w:pPr>
      <w:r w:rsidRPr="00292F0B">
        <w:rPr>
          <w:rFonts w:ascii="Century Gothic" w:eastAsia="Times New Roman" w:hAnsi="Century Gothic" w:cs="Arial"/>
          <w:b/>
          <w:sz w:val="24"/>
          <w:szCs w:val="24"/>
          <w:lang w:val="es-ES_tradnl" w:eastAsia="es-ES"/>
        </w:rPr>
        <w:t>RECURRENTE:</w:t>
      </w:r>
      <w:bookmarkStart w:id="0" w:name="_Hlk106885326"/>
      <w:bookmarkStart w:id="1" w:name="_Hlk115266477"/>
      <w:r w:rsidRPr="00292F0B">
        <w:rPr>
          <w:rFonts w:ascii="Century Gothic" w:eastAsia="Times New Roman" w:hAnsi="Century Gothic" w:cs="Arial"/>
          <w:sz w:val="24"/>
          <w:szCs w:val="24"/>
          <w:lang w:val="es-ES_tradnl" w:eastAsia="es-ES"/>
        </w:rPr>
        <w:t xml:space="preserve"> </w:t>
      </w:r>
      <w:r w:rsidRPr="00292F0B">
        <w:rPr>
          <w:rFonts w:ascii="Century Gothic" w:eastAsia="Times New Roman" w:hAnsi="Century Gothic" w:cs="Arial"/>
          <w:bCs/>
          <w:sz w:val="24"/>
          <w:szCs w:val="24"/>
          <w:lang w:val="es-ES_tradnl" w:eastAsia="es-ES"/>
        </w:rPr>
        <w:t>POLICÍA VIAL CON NÚMERO ESTADÍSTICO PV-69 ADSCRITO A LA DIRECCIÓN DE MOVILIDAD DEPENDIENTE DE LA SECRETARÍA DE SEGURIDAD CIUDADANA, MOVILIDAD Y PROTECCIÓN CIVIL DEL MUNICIPIO DE OAXACA DE JUÁREZ.</w:t>
      </w:r>
    </w:p>
    <w:p w14:paraId="509E4D87" w14:textId="299A98BC" w:rsidR="00DC199F" w:rsidRDefault="00DC199F" w:rsidP="00EA3158">
      <w:pPr>
        <w:spacing w:line="240" w:lineRule="auto"/>
        <w:ind w:left="3261" w:right="51"/>
        <w:jc w:val="both"/>
        <w:rPr>
          <w:rFonts w:ascii="Century Gothic" w:eastAsia="Times New Roman" w:hAnsi="Century Gothic" w:cs="Arial"/>
          <w:bCs/>
          <w:sz w:val="24"/>
          <w:szCs w:val="24"/>
          <w:lang w:val="es-ES_tradnl" w:eastAsia="es-ES"/>
        </w:rPr>
      </w:pPr>
      <w:r w:rsidRPr="00292F0B">
        <w:rPr>
          <w:rFonts w:ascii="Century Gothic" w:eastAsia="Times New Roman" w:hAnsi="Century Gothic" w:cs="Arial"/>
          <w:b/>
          <w:sz w:val="24"/>
          <w:szCs w:val="24"/>
          <w:lang w:val="es-ES_tradnl" w:eastAsia="es-ES"/>
        </w:rPr>
        <w:t>PONENTE:</w:t>
      </w:r>
      <w:r w:rsidRPr="00292F0B">
        <w:rPr>
          <w:rFonts w:ascii="Century Gothic" w:eastAsia="Times New Roman" w:hAnsi="Century Gothic" w:cs="Arial"/>
          <w:bCs/>
          <w:sz w:val="24"/>
          <w:szCs w:val="24"/>
          <w:lang w:val="es-ES_tradnl" w:eastAsia="es-ES"/>
        </w:rPr>
        <w:t xml:space="preserve"> MAGISTRADA CRUZ ITZEL ESPINOSA ROJAS</w:t>
      </w:r>
    </w:p>
    <w:p w14:paraId="6DDB1DA7" w14:textId="77777777" w:rsidR="00DD4BAB" w:rsidRPr="00292F0B" w:rsidRDefault="00DD4BAB" w:rsidP="00DD4BAB">
      <w:pPr>
        <w:ind w:left="2410" w:right="51"/>
        <w:jc w:val="both"/>
        <w:rPr>
          <w:rFonts w:ascii="Century Gothic" w:eastAsia="Times New Roman" w:hAnsi="Century Gothic" w:cs="Arial"/>
          <w:bCs/>
          <w:sz w:val="24"/>
          <w:szCs w:val="24"/>
          <w:lang w:val="es-ES_tradnl" w:eastAsia="es-ES"/>
        </w:rPr>
      </w:pPr>
    </w:p>
    <w:bookmarkEnd w:id="0"/>
    <w:bookmarkEnd w:id="1"/>
    <w:p w14:paraId="55390B5B" w14:textId="407894F9" w:rsidR="00DD4BAB" w:rsidRDefault="00DC199F" w:rsidP="00DD4BAB">
      <w:pPr>
        <w:widowControl w:val="0"/>
        <w:ind w:right="51" w:firstLine="567"/>
        <w:jc w:val="both"/>
        <w:rPr>
          <w:rFonts w:ascii="Century Gothic" w:eastAsia="Times New Roman" w:hAnsi="Century Gothic" w:cs="Arial"/>
          <w:b/>
          <w:sz w:val="24"/>
          <w:szCs w:val="24"/>
          <w:lang w:val="es-ES" w:eastAsia="es-ES"/>
        </w:rPr>
      </w:pPr>
      <w:r w:rsidRPr="00292F0B">
        <w:rPr>
          <w:rFonts w:ascii="Century Gothic" w:eastAsia="Times New Roman" w:hAnsi="Century Gothic" w:cs="Arial"/>
          <w:b/>
          <w:sz w:val="24"/>
          <w:szCs w:val="24"/>
          <w:lang w:val="es-ES" w:eastAsia="es-ES"/>
        </w:rPr>
        <w:t>OAXACA DE JUÁREZ, OAXACA, A</w:t>
      </w:r>
      <w:r w:rsidR="00996BEC">
        <w:rPr>
          <w:rFonts w:ascii="Century Gothic" w:eastAsia="Times New Roman" w:hAnsi="Century Gothic" w:cs="Arial"/>
          <w:b/>
          <w:sz w:val="24"/>
          <w:szCs w:val="24"/>
          <w:lang w:val="es-ES" w:eastAsia="es-ES"/>
        </w:rPr>
        <w:t xml:space="preserve"> SIETE </w:t>
      </w:r>
      <w:r w:rsidRPr="00292F0B">
        <w:rPr>
          <w:rFonts w:ascii="Century Gothic" w:eastAsia="Times New Roman" w:hAnsi="Century Gothic" w:cs="Arial"/>
          <w:b/>
          <w:sz w:val="24"/>
          <w:szCs w:val="24"/>
          <w:lang w:val="es-ES" w:eastAsia="es-ES"/>
        </w:rPr>
        <w:t>DE SEPTIEMBRE DE DOS MIL VEINTITRÉS.</w:t>
      </w:r>
    </w:p>
    <w:p w14:paraId="62EF0E98" w14:textId="0998DEE5" w:rsidR="003E5C72" w:rsidRPr="00DD4BAB" w:rsidRDefault="00DD4BAB" w:rsidP="00DD4BAB">
      <w:pPr>
        <w:widowControl w:val="0"/>
        <w:ind w:right="51" w:firstLine="567"/>
        <w:jc w:val="both"/>
        <w:rPr>
          <w:rFonts w:ascii="Century Gothic" w:eastAsia="Times New Roman" w:hAnsi="Century Gothic" w:cs="Arial"/>
          <w:b/>
          <w:sz w:val="24"/>
          <w:szCs w:val="24"/>
          <w:lang w:val="es-ES" w:eastAsia="es-ES"/>
        </w:rPr>
      </w:pPr>
      <w:r w:rsidRPr="00DD4BAB">
        <w:rPr>
          <w:rFonts w:ascii="Century Gothic" w:eastAsia="Times New Roman" w:hAnsi="Century Gothic" w:cs="Arial"/>
          <w:bCs/>
          <w:sz w:val="24"/>
          <w:szCs w:val="24"/>
          <w:lang w:val="es-ES" w:eastAsia="es-ES"/>
        </w:rPr>
        <w:t>1.</w:t>
      </w:r>
      <w:r>
        <w:rPr>
          <w:rFonts w:ascii="Century Gothic" w:eastAsia="Times New Roman" w:hAnsi="Century Gothic" w:cs="Arial"/>
          <w:b/>
          <w:sz w:val="24"/>
          <w:szCs w:val="24"/>
          <w:lang w:val="es-ES" w:eastAsia="es-ES"/>
        </w:rPr>
        <w:t xml:space="preserve"> </w:t>
      </w:r>
      <w:r w:rsidR="003E5C72" w:rsidRPr="00292F0B">
        <w:rPr>
          <w:rFonts w:ascii="Century Gothic" w:hAnsi="Century Gothic" w:cs="Arial"/>
          <w:b/>
          <w:bCs/>
          <w:sz w:val="24"/>
          <w:szCs w:val="24"/>
        </w:rPr>
        <w:t>ÚNICO. Remisión del recurso</w:t>
      </w:r>
      <w:r w:rsidR="003E5C72" w:rsidRPr="00292F0B">
        <w:rPr>
          <w:rFonts w:ascii="Century Gothic" w:hAnsi="Century Gothic" w:cs="Arial"/>
          <w:sz w:val="24"/>
          <w:szCs w:val="24"/>
        </w:rPr>
        <w:t xml:space="preserve">. </w:t>
      </w:r>
      <w:r w:rsidR="00C1502E" w:rsidRPr="00292F0B">
        <w:rPr>
          <w:rFonts w:ascii="Century Gothic" w:hAnsi="Century Gothic" w:cs="Arial"/>
          <w:sz w:val="24"/>
          <w:szCs w:val="24"/>
        </w:rPr>
        <w:t>Se tiene p</w:t>
      </w:r>
      <w:r w:rsidR="00BE4773" w:rsidRPr="00292F0B">
        <w:rPr>
          <w:rFonts w:ascii="Century Gothic" w:hAnsi="Century Gothic" w:cs="Arial"/>
          <w:sz w:val="24"/>
          <w:szCs w:val="24"/>
        </w:rPr>
        <w:t>or recibido el cuaderno de r</w:t>
      </w:r>
      <w:r w:rsidR="00287983" w:rsidRPr="00292F0B">
        <w:rPr>
          <w:rFonts w:ascii="Century Gothic" w:hAnsi="Century Gothic" w:cs="Arial"/>
          <w:sz w:val="24"/>
          <w:szCs w:val="24"/>
        </w:rPr>
        <w:t xml:space="preserve">evisión </w:t>
      </w:r>
      <w:r w:rsidR="00FC2A6F" w:rsidRPr="00292F0B">
        <w:rPr>
          <w:rFonts w:ascii="Century Gothic" w:hAnsi="Century Gothic" w:cs="Arial"/>
          <w:b/>
          <w:sz w:val="24"/>
          <w:szCs w:val="24"/>
        </w:rPr>
        <w:t>0114/2023</w:t>
      </w:r>
      <w:r w:rsidR="00287983" w:rsidRPr="00292F0B">
        <w:rPr>
          <w:rFonts w:ascii="Century Gothic" w:hAnsi="Century Gothic" w:cs="Arial"/>
          <w:sz w:val="24"/>
          <w:szCs w:val="24"/>
        </w:rPr>
        <w:t xml:space="preserve"> que remite la Secretaría General de Acuerdos, con motivo del recurso de revisión interpuesto por</w:t>
      </w:r>
      <w:r w:rsidR="00FC2A6F" w:rsidRPr="00292F0B">
        <w:rPr>
          <w:rFonts w:ascii="Century Gothic" w:hAnsi="Century Gothic" w:cs="Arial"/>
          <w:sz w:val="24"/>
          <w:szCs w:val="24"/>
        </w:rPr>
        <w:t xml:space="preserve"> </w:t>
      </w:r>
      <w:r w:rsidR="003E5C72" w:rsidRPr="00292F0B">
        <w:rPr>
          <w:rFonts w:ascii="Century Gothic" w:hAnsi="Century Gothic" w:cs="Arial"/>
          <w:b/>
          <w:sz w:val="24"/>
          <w:szCs w:val="24"/>
        </w:rPr>
        <w:t>SALUSTIO OJEDA VÁSQUEZ</w:t>
      </w:r>
      <w:r w:rsidR="00747293" w:rsidRPr="00292F0B">
        <w:rPr>
          <w:rFonts w:ascii="Century Gothic" w:hAnsi="Century Gothic" w:cs="Arial"/>
          <w:b/>
          <w:sz w:val="24"/>
          <w:szCs w:val="24"/>
        </w:rPr>
        <w:t>,</w:t>
      </w:r>
      <w:r w:rsidR="009043A8" w:rsidRPr="00292F0B">
        <w:rPr>
          <w:rFonts w:ascii="Century Gothic" w:hAnsi="Century Gothic" w:cs="Arial"/>
          <w:b/>
          <w:sz w:val="24"/>
          <w:szCs w:val="24"/>
        </w:rPr>
        <w:t xml:space="preserve"> en su carácter de Policía</w:t>
      </w:r>
      <w:r w:rsidR="00891614" w:rsidRPr="00292F0B">
        <w:rPr>
          <w:rFonts w:ascii="Century Gothic" w:hAnsi="Century Gothic" w:cs="Arial"/>
          <w:b/>
          <w:sz w:val="24"/>
          <w:szCs w:val="24"/>
        </w:rPr>
        <w:t xml:space="preserve"> </w:t>
      </w:r>
      <w:r w:rsidR="007D1E0C" w:rsidRPr="00292F0B">
        <w:rPr>
          <w:rFonts w:ascii="Century Gothic" w:hAnsi="Century Gothic" w:cs="Arial"/>
          <w:b/>
          <w:sz w:val="24"/>
          <w:szCs w:val="24"/>
        </w:rPr>
        <w:t>Vial con número estadístico PV-</w:t>
      </w:r>
      <w:r w:rsidR="0071196F" w:rsidRPr="00292F0B">
        <w:rPr>
          <w:rFonts w:ascii="Century Gothic" w:hAnsi="Century Gothic" w:cs="Arial"/>
          <w:b/>
          <w:sz w:val="24"/>
          <w:szCs w:val="24"/>
        </w:rPr>
        <w:t>69</w:t>
      </w:r>
      <w:r w:rsidR="007D1E0C" w:rsidRPr="00292F0B">
        <w:rPr>
          <w:rFonts w:ascii="Century Gothic" w:hAnsi="Century Gothic" w:cs="Arial"/>
          <w:b/>
          <w:sz w:val="24"/>
          <w:szCs w:val="24"/>
        </w:rPr>
        <w:t xml:space="preserve">, adscrito a la </w:t>
      </w:r>
      <w:r w:rsidR="00747293" w:rsidRPr="00292F0B">
        <w:rPr>
          <w:rFonts w:ascii="Century Gothic" w:hAnsi="Century Gothic" w:cs="Arial"/>
          <w:b/>
          <w:sz w:val="24"/>
          <w:szCs w:val="24"/>
        </w:rPr>
        <w:t>D</w:t>
      </w:r>
      <w:r w:rsidR="007D1E0C" w:rsidRPr="00292F0B">
        <w:rPr>
          <w:rFonts w:ascii="Century Gothic" w:hAnsi="Century Gothic" w:cs="Arial"/>
          <w:b/>
          <w:sz w:val="24"/>
          <w:szCs w:val="24"/>
        </w:rPr>
        <w:t xml:space="preserve">irección de </w:t>
      </w:r>
      <w:r w:rsidR="00747293" w:rsidRPr="00292F0B">
        <w:rPr>
          <w:rFonts w:ascii="Century Gothic" w:hAnsi="Century Gothic" w:cs="Arial"/>
          <w:b/>
          <w:sz w:val="24"/>
          <w:szCs w:val="24"/>
        </w:rPr>
        <w:t xml:space="preserve"> Movilidad </w:t>
      </w:r>
      <w:r w:rsidR="007D1E0C" w:rsidRPr="00292F0B">
        <w:rPr>
          <w:rFonts w:ascii="Century Gothic" w:hAnsi="Century Gothic" w:cs="Arial"/>
          <w:b/>
          <w:sz w:val="24"/>
          <w:szCs w:val="24"/>
        </w:rPr>
        <w:t>del Municipio de Oaxaca de Juárez, Oaxaca</w:t>
      </w:r>
      <w:r w:rsidR="00BE4773" w:rsidRPr="00292F0B">
        <w:rPr>
          <w:rFonts w:ascii="Century Gothic" w:hAnsi="Century Gothic" w:cs="Arial"/>
          <w:b/>
          <w:sz w:val="24"/>
          <w:szCs w:val="24"/>
        </w:rPr>
        <w:t>,</w:t>
      </w:r>
      <w:r w:rsidR="00287983" w:rsidRPr="00292F0B">
        <w:rPr>
          <w:rFonts w:ascii="Century Gothic" w:hAnsi="Century Gothic" w:cs="Arial"/>
          <w:sz w:val="24"/>
          <w:szCs w:val="24"/>
        </w:rPr>
        <w:t xml:space="preserve"> en contra </w:t>
      </w:r>
      <w:r w:rsidR="00DD424A" w:rsidRPr="00292F0B">
        <w:rPr>
          <w:rFonts w:ascii="Century Gothic" w:hAnsi="Century Gothic" w:cs="Arial"/>
          <w:sz w:val="24"/>
          <w:szCs w:val="24"/>
        </w:rPr>
        <w:t>de la sentencia de</w:t>
      </w:r>
      <w:r w:rsidR="00A53DE2" w:rsidRPr="00292F0B">
        <w:rPr>
          <w:rFonts w:ascii="Century Gothic" w:hAnsi="Century Gothic" w:cs="Arial"/>
          <w:sz w:val="24"/>
          <w:szCs w:val="24"/>
        </w:rPr>
        <w:t xml:space="preserve"> </w:t>
      </w:r>
      <w:r w:rsidR="009043A8" w:rsidRPr="00292F0B">
        <w:rPr>
          <w:rFonts w:ascii="Century Gothic" w:hAnsi="Century Gothic" w:cs="Arial"/>
          <w:sz w:val="24"/>
          <w:szCs w:val="24"/>
        </w:rPr>
        <w:t>fecha dos de febrero de dos mil veintitrés</w:t>
      </w:r>
      <w:r w:rsidR="00244A38" w:rsidRPr="00292F0B">
        <w:rPr>
          <w:rFonts w:ascii="Century Gothic" w:hAnsi="Century Gothic" w:cs="Arial"/>
          <w:sz w:val="24"/>
          <w:szCs w:val="24"/>
        </w:rPr>
        <w:t>, dict</w:t>
      </w:r>
      <w:r w:rsidR="00287983" w:rsidRPr="00292F0B">
        <w:rPr>
          <w:rFonts w:ascii="Century Gothic" w:hAnsi="Century Gothic" w:cs="Arial"/>
          <w:sz w:val="24"/>
          <w:szCs w:val="24"/>
        </w:rPr>
        <w:t xml:space="preserve">ada en el expediente </w:t>
      </w:r>
      <w:r w:rsidR="00DD424A" w:rsidRPr="00292F0B">
        <w:rPr>
          <w:rFonts w:ascii="Century Gothic" w:hAnsi="Century Gothic" w:cs="Arial"/>
          <w:b/>
          <w:sz w:val="24"/>
          <w:szCs w:val="24"/>
        </w:rPr>
        <w:t>0</w:t>
      </w:r>
      <w:r w:rsidR="00D8200C" w:rsidRPr="00292F0B">
        <w:rPr>
          <w:rFonts w:ascii="Century Gothic" w:hAnsi="Century Gothic" w:cs="Arial"/>
          <w:b/>
          <w:sz w:val="24"/>
          <w:szCs w:val="24"/>
        </w:rPr>
        <w:t>0</w:t>
      </w:r>
      <w:r w:rsidR="00854E2E" w:rsidRPr="00292F0B">
        <w:rPr>
          <w:rFonts w:ascii="Century Gothic" w:hAnsi="Century Gothic" w:cs="Arial"/>
          <w:b/>
          <w:sz w:val="24"/>
          <w:szCs w:val="24"/>
        </w:rPr>
        <w:t>92</w:t>
      </w:r>
      <w:r w:rsidR="00DD424A" w:rsidRPr="00292F0B">
        <w:rPr>
          <w:rFonts w:ascii="Century Gothic" w:hAnsi="Century Gothic" w:cs="Arial"/>
          <w:b/>
          <w:sz w:val="24"/>
          <w:szCs w:val="24"/>
        </w:rPr>
        <w:t>/20</w:t>
      </w:r>
      <w:r w:rsidR="00244A38" w:rsidRPr="00292F0B">
        <w:rPr>
          <w:rFonts w:ascii="Century Gothic" w:hAnsi="Century Gothic" w:cs="Arial"/>
          <w:b/>
          <w:sz w:val="24"/>
          <w:szCs w:val="24"/>
        </w:rPr>
        <w:t>2</w:t>
      </w:r>
      <w:r w:rsidR="00747293" w:rsidRPr="00292F0B">
        <w:rPr>
          <w:rFonts w:ascii="Century Gothic" w:hAnsi="Century Gothic" w:cs="Arial"/>
          <w:b/>
          <w:sz w:val="24"/>
          <w:szCs w:val="24"/>
        </w:rPr>
        <w:t>2</w:t>
      </w:r>
      <w:r w:rsidR="00287983" w:rsidRPr="00292F0B">
        <w:rPr>
          <w:rFonts w:ascii="Century Gothic" w:hAnsi="Century Gothic" w:cs="Arial"/>
          <w:sz w:val="24"/>
          <w:szCs w:val="24"/>
        </w:rPr>
        <w:t xml:space="preserve"> de la </w:t>
      </w:r>
      <w:r w:rsidR="00747293" w:rsidRPr="00292F0B">
        <w:rPr>
          <w:rFonts w:ascii="Century Gothic" w:hAnsi="Century Gothic" w:cs="Arial"/>
          <w:sz w:val="24"/>
          <w:szCs w:val="24"/>
        </w:rPr>
        <w:t xml:space="preserve">Cuarta </w:t>
      </w:r>
      <w:r w:rsidR="00287983" w:rsidRPr="00292F0B">
        <w:rPr>
          <w:rFonts w:ascii="Century Gothic" w:hAnsi="Century Gothic" w:cs="Arial"/>
          <w:sz w:val="24"/>
          <w:szCs w:val="24"/>
        </w:rPr>
        <w:t>Sala Unitaria de Primera Instancia</w:t>
      </w:r>
      <w:r w:rsidR="00854E2E" w:rsidRPr="00292F0B">
        <w:rPr>
          <w:rFonts w:ascii="Century Gothic" w:hAnsi="Century Gothic" w:cs="Arial"/>
          <w:sz w:val="24"/>
          <w:szCs w:val="24"/>
        </w:rPr>
        <w:t xml:space="preserve"> del </w:t>
      </w:r>
      <w:r w:rsidR="00FC3400" w:rsidRPr="00292F0B">
        <w:rPr>
          <w:rFonts w:ascii="Century Gothic" w:hAnsi="Century Gothic" w:cs="Arial"/>
          <w:sz w:val="24"/>
          <w:szCs w:val="24"/>
        </w:rPr>
        <w:t xml:space="preserve">extinto </w:t>
      </w:r>
      <w:r w:rsidR="00854E2E" w:rsidRPr="00292F0B">
        <w:rPr>
          <w:rFonts w:ascii="Century Gothic" w:hAnsi="Century Gothic" w:cs="Arial"/>
          <w:sz w:val="24"/>
          <w:szCs w:val="24"/>
        </w:rPr>
        <w:t>Tribunal de Justicia Administrativa del Estado de Oaxaca</w:t>
      </w:r>
      <w:r w:rsidR="00287983" w:rsidRPr="00292F0B">
        <w:rPr>
          <w:rFonts w:ascii="Century Gothic" w:hAnsi="Century Gothic" w:cs="Arial"/>
          <w:sz w:val="24"/>
          <w:szCs w:val="24"/>
        </w:rPr>
        <w:t>,</w:t>
      </w:r>
      <w:r w:rsidR="00FC3400" w:rsidRPr="00292F0B">
        <w:rPr>
          <w:rFonts w:ascii="Century Gothic" w:hAnsi="Century Gothic" w:cs="Arial"/>
          <w:sz w:val="24"/>
          <w:szCs w:val="24"/>
        </w:rPr>
        <w:t xml:space="preserve"> ahora radicado dentro del expediente 0474/2023 del índice de la Tercera Sala Unitaria de Primera Instancia del Tribunal </w:t>
      </w:r>
      <w:r w:rsidR="00FC3400" w:rsidRPr="00292F0B">
        <w:rPr>
          <w:rFonts w:ascii="Century Gothic" w:eastAsia="Times New Roman" w:hAnsi="Century Gothic" w:cs="Arial"/>
          <w:sz w:val="24"/>
          <w:szCs w:val="24"/>
          <w:lang w:val="es-ES_tradnl" w:eastAsia="es-ES"/>
        </w:rPr>
        <w:t>de Justicia Administrativa y Combate a la Corrupción del Estado de Oaxaca</w:t>
      </w:r>
      <w:r w:rsidR="00FC3400" w:rsidRPr="00292F0B">
        <w:rPr>
          <w:rFonts w:ascii="Century Gothic" w:eastAsia="Times New Roman" w:hAnsi="Century Gothic" w:cs="Arial"/>
          <w:b/>
          <w:bCs/>
          <w:sz w:val="24"/>
          <w:szCs w:val="24"/>
          <w:lang w:val="es-ES_tradnl" w:eastAsia="es-ES"/>
        </w:rPr>
        <w:t>,</w:t>
      </w:r>
      <w:r w:rsidR="00FC3400" w:rsidRPr="00292F0B">
        <w:rPr>
          <w:rFonts w:ascii="Century Gothic" w:eastAsia="Times New Roman" w:hAnsi="Century Gothic" w:cs="Arial"/>
          <w:bCs/>
          <w:sz w:val="24"/>
          <w:szCs w:val="24"/>
          <w:lang w:val="es-ES_tradnl" w:eastAsia="es-ES"/>
        </w:rPr>
        <w:t xml:space="preserve"> </w:t>
      </w:r>
      <w:r w:rsidR="00287983" w:rsidRPr="00292F0B">
        <w:rPr>
          <w:rFonts w:ascii="Century Gothic" w:hAnsi="Century Gothic" w:cs="Arial"/>
          <w:sz w:val="24"/>
          <w:szCs w:val="24"/>
        </w:rPr>
        <w:t xml:space="preserve">relativo al juicio de nulidad promovido por </w:t>
      </w:r>
      <w:r w:rsidR="00EE3149">
        <w:rPr>
          <w:rFonts w:ascii="Century Gothic" w:hAnsi="Century Gothic" w:cs="Arial"/>
          <w:b/>
          <w:sz w:val="24"/>
          <w:szCs w:val="24"/>
        </w:rPr>
        <w:t>**********;</w:t>
      </w:r>
      <w:r w:rsidR="00287983" w:rsidRPr="00292F0B">
        <w:rPr>
          <w:rFonts w:ascii="Century Gothic" w:hAnsi="Century Gothic" w:cs="Arial"/>
          <w:sz w:val="24"/>
          <w:szCs w:val="24"/>
        </w:rPr>
        <w:t>por lo que, con fundamento en los artículos 2</w:t>
      </w:r>
      <w:r w:rsidR="00BE4773" w:rsidRPr="00292F0B">
        <w:rPr>
          <w:rFonts w:ascii="Century Gothic" w:hAnsi="Century Gothic" w:cs="Arial"/>
          <w:sz w:val="24"/>
          <w:szCs w:val="24"/>
        </w:rPr>
        <w:t>3</w:t>
      </w:r>
      <w:r w:rsidR="00A53DE2" w:rsidRPr="00292F0B">
        <w:rPr>
          <w:rFonts w:ascii="Century Gothic" w:hAnsi="Century Gothic" w:cs="Arial"/>
          <w:sz w:val="24"/>
          <w:szCs w:val="24"/>
        </w:rPr>
        <w:t>6</w:t>
      </w:r>
      <w:r w:rsidR="00287983" w:rsidRPr="00292F0B">
        <w:rPr>
          <w:rFonts w:ascii="Century Gothic" w:hAnsi="Century Gothic" w:cs="Arial"/>
          <w:sz w:val="24"/>
          <w:szCs w:val="24"/>
        </w:rPr>
        <w:t xml:space="preserve"> y 2</w:t>
      </w:r>
      <w:r w:rsidR="00BE4773" w:rsidRPr="00292F0B">
        <w:rPr>
          <w:rFonts w:ascii="Century Gothic" w:hAnsi="Century Gothic" w:cs="Arial"/>
          <w:sz w:val="24"/>
          <w:szCs w:val="24"/>
        </w:rPr>
        <w:t>3</w:t>
      </w:r>
      <w:r w:rsidR="00287983" w:rsidRPr="00292F0B">
        <w:rPr>
          <w:rFonts w:ascii="Century Gothic" w:hAnsi="Century Gothic" w:cs="Arial"/>
          <w:sz w:val="24"/>
          <w:szCs w:val="24"/>
        </w:rPr>
        <w:t>8 de la Ley de</w:t>
      </w:r>
      <w:r w:rsidR="00BE4773" w:rsidRPr="00292F0B">
        <w:rPr>
          <w:rFonts w:ascii="Century Gothic" w:hAnsi="Century Gothic" w:cs="Arial"/>
          <w:sz w:val="24"/>
          <w:szCs w:val="24"/>
        </w:rPr>
        <w:t xml:space="preserve"> Procedimiento y</w:t>
      </w:r>
      <w:r w:rsidR="00287983" w:rsidRPr="00292F0B">
        <w:rPr>
          <w:rFonts w:ascii="Century Gothic" w:hAnsi="Century Gothic" w:cs="Arial"/>
          <w:sz w:val="24"/>
          <w:szCs w:val="24"/>
        </w:rPr>
        <w:t xml:space="preserve"> Justicia Administrativa para el Estado de Oaxaca</w:t>
      </w:r>
      <w:r w:rsidR="002573E9" w:rsidRPr="00292F0B">
        <w:rPr>
          <w:rFonts w:ascii="Century Gothic" w:hAnsi="Century Gothic" w:cs="Arial"/>
          <w:sz w:val="24"/>
          <w:szCs w:val="24"/>
        </w:rPr>
        <w:t xml:space="preserve"> y 24</w:t>
      </w:r>
      <w:r w:rsidR="00C75E60" w:rsidRPr="00292F0B">
        <w:rPr>
          <w:rFonts w:ascii="Century Gothic" w:hAnsi="Century Gothic" w:cs="Arial"/>
          <w:sz w:val="24"/>
          <w:szCs w:val="24"/>
        </w:rPr>
        <w:t>, fracciones I y III</w:t>
      </w:r>
      <w:r w:rsidR="002573E9" w:rsidRPr="00292F0B">
        <w:rPr>
          <w:rFonts w:ascii="Century Gothic" w:hAnsi="Century Gothic" w:cs="Arial"/>
          <w:sz w:val="24"/>
          <w:szCs w:val="24"/>
        </w:rPr>
        <w:t xml:space="preserve"> de la Ley Orgánica del Tribunal de Justicia Administrativa para el Estado de Oaxaca, se procede a dictar resolución en los siguientes términos:</w:t>
      </w:r>
      <w:r w:rsidR="003E5C72" w:rsidRPr="00292F0B">
        <w:rPr>
          <w:rFonts w:ascii="Century Gothic" w:hAnsi="Century Gothic" w:cs="Arial"/>
          <w:sz w:val="24"/>
          <w:szCs w:val="24"/>
        </w:rPr>
        <w:t xml:space="preserve">- - </w:t>
      </w:r>
    </w:p>
    <w:p w14:paraId="4E8A242A" w14:textId="77777777" w:rsidR="003E5C72" w:rsidRPr="00292F0B" w:rsidRDefault="003E5C72" w:rsidP="00FE770C">
      <w:pPr>
        <w:tabs>
          <w:tab w:val="center" w:pos="4418"/>
          <w:tab w:val="left" w:pos="6330"/>
        </w:tabs>
        <w:jc w:val="center"/>
        <w:rPr>
          <w:rFonts w:ascii="Century Gothic" w:hAnsi="Century Gothic" w:cs="Arial"/>
          <w:b/>
          <w:sz w:val="24"/>
          <w:szCs w:val="24"/>
        </w:rPr>
      </w:pPr>
      <w:r w:rsidRPr="00292F0B">
        <w:rPr>
          <w:rFonts w:ascii="Century Gothic" w:hAnsi="Century Gothic" w:cs="Arial"/>
          <w:b/>
          <w:sz w:val="24"/>
          <w:szCs w:val="24"/>
        </w:rPr>
        <w:t>GLOSARIO:</w:t>
      </w:r>
    </w:p>
    <w:tbl>
      <w:tblPr>
        <w:tblStyle w:val="Tablaconcuadrcula"/>
        <w:tblW w:w="8475" w:type="dxa"/>
        <w:tblLook w:val="04A0" w:firstRow="1" w:lastRow="0" w:firstColumn="1" w:lastColumn="0" w:noHBand="0" w:noVBand="1"/>
      </w:tblPr>
      <w:tblGrid>
        <w:gridCol w:w="3340"/>
        <w:gridCol w:w="5135"/>
      </w:tblGrid>
      <w:tr w:rsidR="003E5C72" w:rsidRPr="00292F0B" w14:paraId="7BF927F7" w14:textId="77777777" w:rsidTr="001F4565">
        <w:trPr>
          <w:trHeight w:val="583"/>
        </w:trPr>
        <w:tc>
          <w:tcPr>
            <w:tcW w:w="3340" w:type="dxa"/>
          </w:tcPr>
          <w:p w14:paraId="249A355A" w14:textId="77777777" w:rsidR="003E5C72" w:rsidRPr="001F4565" w:rsidRDefault="003E5C72" w:rsidP="00FE770C">
            <w:pPr>
              <w:tabs>
                <w:tab w:val="center" w:pos="4418"/>
                <w:tab w:val="left" w:pos="6330"/>
              </w:tabs>
              <w:spacing w:line="276" w:lineRule="auto"/>
              <w:jc w:val="center"/>
              <w:rPr>
                <w:rFonts w:ascii="Century Gothic" w:hAnsi="Century Gothic" w:cs="Arial"/>
                <w:b/>
                <w:i/>
              </w:rPr>
            </w:pPr>
            <w:r w:rsidRPr="001F4565">
              <w:rPr>
                <w:rFonts w:ascii="Century Gothic" w:hAnsi="Century Gothic" w:cs="Arial"/>
                <w:b/>
                <w:i/>
              </w:rPr>
              <w:t>Constitución Federal:</w:t>
            </w:r>
          </w:p>
        </w:tc>
        <w:tc>
          <w:tcPr>
            <w:tcW w:w="5135" w:type="dxa"/>
          </w:tcPr>
          <w:p w14:paraId="4AFD8C38" w14:textId="77777777" w:rsidR="003E5C72" w:rsidRPr="001F4565" w:rsidRDefault="003E5C72" w:rsidP="00FE770C">
            <w:pPr>
              <w:tabs>
                <w:tab w:val="center" w:pos="4418"/>
                <w:tab w:val="left" w:pos="6330"/>
              </w:tabs>
              <w:spacing w:line="276" w:lineRule="auto"/>
              <w:jc w:val="center"/>
              <w:rPr>
                <w:rFonts w:ascii="Century Gothic" w:hAnsi="Century Gothic" w:cs="Arial"/>
              </w:rPr>
            </w:pPr>
            <w:r w:rsidRPr="001F4565">
              <w:rPr>
                <w:rFonts w:ascii="Century Gothic" w:hAnsi="Century Gothic" w:cs="Arial"/>
              </w:rPr>
              <w:t>Constitución Política de los Estados Unidos Mexicanos.</w:t>
            </w:r>
          </w:p>
        </w:tc>
      </w:tr>
      <w:tr w:rsidR="003E5C72" w:rsidRPr="00292F0B" w14:paraId="061BDB93" w14:textId="77777777" w:rsidTr="001F4565">
        <w:trPr>
          <w:trHeight w:val="601"/>
        </w:trPr>
        <w:tc>
          <w:tcPr>
            <w:tcW w:w="3340" w:type="dxa"/>
          </w:tcPr>
          <w:p w14:paraId="207F36F4" w14:textId="77777777" w:rsidR="003E5C72" w:rsidRPr="001F4565" w:rsidRDefault="003E5C72" w:rsidP="00FE770C">
            <w:pPr>
              <w:tabs>
                <w:tab w:val="center" w:pos="4418"/>
                <w:tab w:val="left" w:pos="6330"/>
              </w:tabs>
              <w:spacing w:line="276" w:lineRule="auto"/>
              <w:jc w:val="center"/>
              <w:rPr>
                <w:rFonts w:ascii="Century Gothic" w:hAnsi="Century Gothic" w:cs="Arial"/>
                <w:b/>
                <w:i/>
              </w:rPr>
            </w:pPr>
            <w:r w:rsidRPr="001F4565">
              <w:rPr>
                <w:rFonts w:ascii="Century Gothic" w:hAnsi="Century Gothic" w:cs="Arial"/>
                <w:b/>
                <w:i/>
              </w:rPr>
              <w:t>Constitución Local:</w:t>
            </w:r>
          </w:p>
        </w:tc>
        <w:tc>
          <w:tcPr>
            <w:tcW w:w="5135" w:type="dxa"/>
          </w:tcPr>
          <w:p w14:paraId="4B6BEACF" w14:textId="77777777" w:rsidR="003E5C72" w:rsidRPr="001F4565" w:rsidRDefault="003E5C72" w:rsidP="00FE770C">
            <w:pPr>
              <w:tabs>
                <w:tab w:val="center" w:pos="4418"/>
                <w:tab w:val="left" w:pos="6330"/>
              </w:tabs>
              <w:spacing w:line="276" w:lineRule="auto"/>
              <w:jc w:val="center"/>
              <w:rPr>
                <w:rFonts w:ascii="Century Gothic" w:hAnsi="Century Gothic" w:cs="Arial"/>
              </w:rPr>
            </w:pPr>
            <w:r w:rsidRPr="001F4565">
              <w:rPr>
                <w:rFonts w:ascii="Century Gothic" w:hAnsi="Century Gothic" w:cs="Arial"/>
              </w:rPr>
              <w:t>Constitución Política del Estado Libre y Soberano de Oaxaca.</w:t>
            </w:r>
          </w:p>
        </w:tc>
      </w:tr>
      <w:tr w:rsidR="003E5C72" w:rsidRPr="00292F0B" w14:paraId="3F0391FE" w14:textId="77777777" w:rsidTr="001F4565">
        <w:trPr>
          <w:trHeight w:val="895"/>
        </w:trPr>
        <w:tc>
          <w:tcPr>
            <w:tcW w:w="3340" w:type="dxa"/>
          </w:tcPr>
          <w:p w14:paraId="75C337BE" w14:textId="77777777" w:rsidR="003E5C72" w:rsidRPr="001F4565" w:rsidRDefault="003E5C72" w:rsidP="00FE770C">
            <w:pPr>
              <w:tabs>
                <w:tab w:val="center" w:pos="4418"/>
                <w:tab w:val="left" w:pos="6330"/>
              </w:tabs>
              <w:spacing w:line="276" w:lineRule="auto"/>
              <w:jc w:val="center"/>
              <w:rPr>
                <w:rFonts w:ascii="Century Gothic" w:hAnsi="Century Gothic" w:cs="Arial"/>
                <w:b/>
                <w:i/>
              </w:rPr>
            </w:pPr>
            <w:r w:rsidRPr="001F4565">
              <w:rPr>
                <w:rFonts w:ascii="Century Gothic" w:hAnsi="Century Gothic" w:cs="Arial"/>
                <w:b/>
                <w:i/>
              </w:rPr>
              <w:t>Ley de Procedimiento:</w:t>
            </w:r>
          </w:p>
        </w:tc>
        <w:tc>
          <w:tcPr>
            <w:tcW w:w="5135" w:type="dxa"/>
          </w:tcPr>
          <w:p w14:paraId="5D3E6DB5" w14:textId="45F3249E" w:rsidR="003E5C72" w:rsidRPr="001F4565" w:rsidRDefault="003E5C72" w:rsidP="00FE770C">
            <w:pPr>
              <w:tabs>
                <w:tab w:val="center" w:pos="4418"/>
                <w:tab w:val="left" w:pos="6330"/>
              </w:tabs>
              <w:spacing w:line="276" w:lineRule="auto"/>
              <w:jc w:val="center"/>
              <w:rPr>
                <w:rFonts w:ascii="Century Gothic" w:hAnsi="Century Gothic" w:cs="Arial"/>
              </w:rPr>
            </w:pPr>
            <w:r w:rsidRPr="001F4565">
              <w:rPr>
                <w:rFonts w:ascii="Century Gothic" w:hAnsi="Century Gothic" w:cs="Arial"/>
              </w:rPr>
              <w:t>Ley de Procedimiento</w:t>
            </w:r>
            <w:r w:rsidR="00CB15FF">
              <w:rPr>
                <w:rFonts w:ascii="Century Gothic" w:hAnsi="Century Gothic" w:cs="Arial"/>
              </w:rPr>
              <w:t>s</w:t>
            </w:r>
            <w:r w:rsidRPr="001F4565">
              <w:rPr>
                <w:rFonts w:ascii="Century Gothic" w:hAnsi="Century Gothic" w:cs="Arial"/>
              </w:rPr>
              <w:t xml:space="preserve"> y Justicia Administrativa para el Estado de Oaxaca.</w:t>
            </w:r>
          </w:p>
        </w:tc>
      </w:tr>
      <w:tr w:rsidR="003E5C72" w:rsidRPr="00292F0B" w14:paraId="34AB56F3" w14:textId="77777777" w:rsidTr="001F4565">
        <w:trPr>
          <w:trHeight w:val="588"/>
        </w:trPr>
        <w:tc>
          <w:tcPr>
            <w:tcW w:w="3340" w:type="dxa"/>
          </w:tcPr>
          <w:p w14:paraId="0704A3EE" w14:textId="77777777" w:rsidR="003E5C72" w:rsidRPr="001F4565" w:rsidRDefault="003E5C72" w:rsidP="00FE770C">
            <w:pPr>
              <w:tabs>
                <w:tab w:val="center" w:pos="4418"/>
                <w:tab w:val="left" w:pos="6330"/>
              </w:tabs>
              <w:spacing w:line="276" w:lineRule="auto"/>
              <w:jc w:val="center"/>
              <w:rPr>
                <w:rFonts w:ascii="Century Gothic" w:hAnsi="Century Gothic" w:cs="Arial"/>
                <w:b/>
                <w:i/>
              </w:rPr>
            </w:pPr>
            <w:r w:rsidRPr="001F4565">
              <w:rPr>
                <w:rFonts w:ascii="Century Gothic" w:hAnsi="Century Gothic" w:cs="Arial"/>
                <w:b/>
                <w:i/>
              </w:rPr>
              <w:lastRenderedPageBreak/>
              <w:t>Reglamento:</w:t>
            </w:r>
          </w:p>
        </w:tc>
        <w:tc>
          <w:tcPr>
            <w:tcW w:w="5135" w:type="dxa"/>
          </w:tcPr>
          <w:p w14:paraId="58118F17" w14:textId="77777777" w:rsidR="003E5C72" w:rsidRPr="001F4565" w:rsidRDefault="003E5C72" w:rsidP="00FE770C">
            <w:pPr>
              <w:tabs>
                <w:tab w:val="center" w:pos="4418"/>
                <w:tab w:val="left" w:pos="6330"/>
              </w:tabs>
              <w:spacing w:line="276" w:lineRule="auto"/>
              <w:jc w:val="center"/>
              <w:rPr>
                <w:rFonts w:ascii="Century Gothic" w:hAnsi="Century Gothic" w:cs="Arial"/>
                <w:b/>
              </w:rPr>
            </w:pPr>
            <w:r w:rsidRPr="001F4565">
              <w:rPr>
                <w:rFonts w:ascii="Century Gothic" w:hAnsi="Century Gothic" w:cs="Arial"/>
              </w:rPr>
              <w:t>Reglamento de Vialidad para el Municipio de Oaxaca de Juárez</w:t>
            </w:r>
          </w:p>
        </w:tc>
      </w:tr>
    </w:tbl>
    <w:p w14:paraId="11276597" w14:textId="353EE426" w:rsidR="00063D74" w:rsidRPr="00292F0B" w:rsidRDefault="003E5C72" w:rsidP="00FE770C">
      <w:pPr>
        <w:ind w:firstLine="708"/>
        <w:jc w:val="both"/>
        <w:rPr>
          <w:rFonts w:ascii="Century Gothic" w:hAnsi="Century Gothic" w:cs="Arial"/>
          <w:b/>
          <w:bCs/>
          <w:sz w:val="24"/>
          <w:szCs w:val="24"/>
        </w:rPr>
      </w:pPr>
      <w:r w:rsidRPr="00292F0B">
        <w:rPr>
          <w:rFonts w:ascii="Century Gothic" w:hAnsi="Century Gothic" w:cs="Arial"/>
          <w:sz w:val="24"/>
          <w:szCs w:val="24"/>
        </w:rPr>
        <w:t xml:space="preserve"> </w:t>
      </w:r>
    </w:p>
    <w:p w14:paraId="245FB618" w14:textId="4629EE76" w:rsidR="00287983" w:rsidRPr="00292F0B" w:rsidRDefault="00287983" w:rsidP="00FE770C">
      <w:pPr>
        <w:ind w:firstLine="708"/>
        <w:jc w:val="center"/>
        <w:rPr>
          <w:rFonts w:ascii="Century Gothic" w:hAnsi="Century Gothic" w:cs="Arial"/>
          <w:b/>
          <w:bCs/>
          <w:sz w:val="24"/>
          <w:szCs w:val="24"/>
        </w:rPr>
      </w:pPr>
      <w:r w:rsidRPr="00292F0B">
        <w:rPr>
          <w:rFonts w:ascii="Century Gothic" w:hAnsi="Century Gothic" w:cs="Arial"/>
          <w:b/>
          <w:bCs/>
          <w:sz w:val="24"/>
          <w:szCs w:val="24"/>
        </w:rPr>
        <w:t>R E S U L T A N D O</w:t>
      </w:r>
    </w:p>
    <w:p w14:paraId="1C0E2C0C" w14:textId="53E65640" w:rsidR="00C50570" w:rsidRPr="00C50570" w:rsidRDefault="00C50570" w:rsidP="00C50570">
      <w:pPr>
        <w:pStyle w:val="Prrafodelista"/>
        <w:spacing w:after="120"/>
        <w:ind w:left="851" w:right="-376"/>
        <w:jc w:val="both"/>
        <w:rPr>
          <w:rFonts w:ascii="Century Gothic" w:hAnsi="Century Gothic" w:cs="Arial"/>
          <w:bCs/>
          <w:sz w:val="24"/>
          <w:szCs w:val="24"/>
        </w:rPr>
      </w:pPr>
      <w:r w:rsidRPr="00C50570">
        <w:rPr>
          <w:rFonts w:ascii="Century Gothic" w:hAnsi="Century Gothic" w:cs="Arial"/>
          <w:sz w:val="24"/>
          <w:szCs w:val="24"/>
        </w:rPr>
        <w:t xml:space="preserve">2. </w:t>
      </w:r>
      <w:r w:rsidR="00287983" w:rsidRPr="00292F0B">
        <w:rPr>
          <w:rFonts w:ascii="Century Gothic" w:hAnsi="Century Gothic" w:cs="Arial"/>
          <w:b/>
          <w:bCs/>
          <w:sz w:val="24"/>
          <w:szCs w:val="24"/>
        </w:rPr>
        <w:t xml:space="preserve">PRIMERO. </w:t>
      </w:r>
      <w:r w:rsidR="003E5C72" w:rsidRPr="00292F0B">
        <w:rPr>
          <w:rFonts w:ascii="Century Gothic" w:hAnsi="Century Gothic" w:cs="Arial"/>
          <w:b/>
          <w:bCs/>
          <w:sz w:val="24"/>
          <w:szCs w:val="24"/>
        </w:rPr>
        <w:t>Antecedentes</w:t>
      </w:r>
      <w:r w:rsidR="003E5C72" w:rsidRPr="00292F0B">
        <w:rPr>
          <w:rFonts w:ascii="Century Gothic" w:hAnsi="Century Gothic" w:cs="Arial"/>
          <w:sz w:val="24"/>
          <w:szCs w:val="24"/>
        </w:rPr>
        <w:t xml:space="preserve">. </w:t>
      </w:r>
    </w:p>
    <w:p w14:paraId="29B6C056" w14:textId="34D38B50" w:rsidR="00440029" w:rsidRPr="00292F0B" w:rsidRDefault="003E5C72" w:rsidP="005656A0">
      <w:pPr>
        <w:pStyle w:val="Prrafodelista"/>
        <w:numPr>
          <w:ilvl w:val="0"/>
          <w:numId w:val="17"/>
        </w:numPr>
        <w:spacing w:after="120"/>
        <w:ind w:left="851" w:right="-376" w:hanging="425"/>
        <w:jc w:val="both"/>
        <w:rPr>
          <w:rFonts w:ascii="Century Gothic" w:hAnsi="Century Gothic" w:cs="Arial"/>
          <w:bCs/>
          <w:sz w:val="24"/>
          <w:szCs w:val="24"/>
        </w:rPr>
      </w:pPr>
      <w:r w:rsidRPr="00292F0B">
        <w:rPr>
          <w:rFonts w:ascii="Century Gothic" w:hAnsi="Century Gothic" w:cs="Arial"/>
          <w:sz w:val="24"/>
          <w:szCs w:val="24"/>
        </w:rPr>
        <w:t xml:space="preserve">Por medio del escrito </w:t>
      </w:r>
      <w:r w:rsidR="00440029" w:rsidRPr="00292F0B">
        <w:rPr>
          <w:rFonts w:ascii="Century Gothic" w:hAnsi="Century Gothic" w:cs="Arial"/>
          <w:sz w:val="24"/>
          <w:szCs w:val="24"/>
        </w:rPr>
        <w:t xml:space="preserve">de </w:t>
      </w:r>
      <w:r w:rsidR="00EF7BFF" w:rsidRPr="00292F0B">
        <w:rPr>
          <w:rFonts w:ascii="Century Gothic" w:hAnsi="Century Gothic" w:cs="Arial"/>
          <w:sz w:val="24"/>
          <w:szCs w:val="24"/>
        </w:rPr>
        <w:t xml:space="preserve">siete de octubre de dos mil veintidós, </w:t>
      </w:r>
      <w:r w:rsidR="00440029" w:rsidRPr="00292F0B">
        <w:rPr>
          <w:rFonts w:ascii="Century Gothic" w:hAnsi="Century Gothic" w:cs="Arial"/>
          <w:sz w:val="24"/>
          <w:szCs w:val="24"/>
        </w:rPr>
        <w:t xml:space="preserve">recibido </w:t>
      </w:r>
      <w:r w:rsidR="00EF7BFF" w:rsidRPr="00292F0B">
        <w:rPr>
          <w:rFonts w:ascii="Century Gothic" w:hAnsi="Century Gothic" w:cs="Arial"/>
          <w:sz w:val="24"/>
          <w:szCs w:val="24"/>
        </w:rPr>
        <w:t xml:space="preserve">en ese misma fecha </w:t>
      </w:r>
      <w:r w:rsidR="00440029" w:rsidRPr="00292F0B">
        <w:rPr>
          <w:rFonts w:ascii="Century Gothic" w:hAnsi="Century Gothic" w:cs="Arial"/>
          <w:sz w:val="24"/>
          <w:szCs w:val="24"/>
        </w:rPr>
        <w:t>en la Oficialía de partes Común de este Tribunal, se tuvo a</w:t>
      </w:r>
      <w:r w:rsidR="00EF7BFF" w:rsidRPr="00292F0B">
        <w:rPr>
          <w:rFonts w:ascii="Century Gothic" w:hAnsi="Century Gothic" w:cs="Arial"/>
          <w:sz w:val="24"/>
          <w:szCs w:val="24"/>
        </w:rPr>
        <w:t xml:space="preserve">l </w:t>
      </w:r>
      <w:r w:rsidR="00EF7BFF" w:rsidRPr="001F4565">
        <w:rPr>
          <w:rFonts w:ascii="Century Gothic" w:hAnsi="Century Gothic" w:cs="Arial"/>
          <w:b/>
          <w:sz w:val="24"/>
          <w:szCs w:val="24"/>
        </w:rPr>
        <w:t>C.</w:t>
      </w:r>
      <w:r w:rsidR="00EF7BFF" w:rsidRPr="00292F0B">
        <w:rPr>
          <w:rFonts w:ascii="Century Gothic" w:hAnsi="Century Gothic" w:cs="Arial"/>
          <w:sz w:val="24"/>
          <w:szCs w:val="24"/>
        </w:rPr>
        <w:t xml:space="preserve"> </w:t>
      </w:r>
      <w:r w:rsidR="00EE3149">
        <w:rPr>
          <w:rFonts w:ascii="Century Gothic" w:hAnsi="Century Gothic" w:cs="Arial"/>
          <w:b/>
          <w:sz w:val="24"/>
          <w:szCs w:val="24"/>
        </w:rPr>
        <w:t xml:space="preserve">***********; </w:t>
      </w:r>
      <w:r w:rsidR="00440029" w:rsidRPr="00292F0B">
        <w:rPr>
          <w:rFonts w:ascii="Century Gothic" w:hAnsi="Century Gothic" w:cs="Arial"/>
          <w:bCs/>
          <w:sz w:val="24"/>
          <w:szCs w:val="24"/>
        </w:rPr>
        <w:t xml:space="preserve">interponiendo juicio de nulidad en contra de los actos de </w:t>
      </w:r>
      <w:r w:rsidR="00DD0822" w:rsidRPr="00292F0B">
        <w:rPr>
          <w:rFonts w:ascii="Century Gothic" w:hAnsi="Century Gothic" w:cs="Arial"/>
          <w:b/>
          <w:sz w:val="24"/>
          <w:szCs w:val="24"/>
        </w:rPr>
        <w:t>SALUSTIO OJEDA VÁSQUEZ</w:t>
      </w:r>
      <w:r w:rsidR="00EF7BFF" w:rsidRPr="00292F0B">
        <w:rPr>
          <w:rFonts w:ascii="Century Gothic" w:hAnsi="Century Gothic" w:cs="Arial"/>
          <w:sz w:val="24"/>
          <w:szCs w:val="24"/>
        </w:rPr>
        <w:t>, Policía Vial, con número estadístico PV-69 adscrito a la Dirección de Movilidad, dependiente de la Secretaria de Seguridad Ciudadana, Movilidad y Protección Civil del Municipio de Oaxaca de Juárez, Oaxaca</w:t>
      </w:r>
      <w:r w:rsidR="00440029" w:rsidRPr="00292F0B">
        <w:rPr>
          <w:rFonts w:ascii="Century Gothic" w:hAnsi="Century Gothic" w:cs="Arial"/>
          <w:bCs/>
          <w:sz w:val="24"/>
          <w:szCs w:val="24"/>
        </w:rPr>
        <w:t xml:space="preserve">; consistente en </w:t>
      </w:r>
      <w:r w:rsidR="00440029" w:rsidRPr="00292F0B">
        <w:rPr>
          <w:rFonts w:ascii="Century Gothic" w:hAnsi="Century Gothic" w:cs="Arial"/>
          <w:sz w:val="24"/>
          <w:szCs w:val="24"/>
        </w:rPr>
        <w:t xml:space="preserve">el </w:t>
      </w:r>
      <w:r w:rsidR="006F7C5E" w:rsidRPr="00292F0B">
        <w:rPr>
          <w:rFonts w:ascii="Century Gothic" w:hAnsi="Century Gothic" w:cs="Arial"/>
          <w:sz w:val="24"/>
          <w:szCs w:val="24"/>
        </w:rPr>
        <w:t xml:space="preserve">acta de infracción </w:t>
      </w:r>
      <w:r w:rsidR="006F7C5E" w:rsidRPr="00292F0B">
        <w:rPr>
          <w:rFonts w:ascii="Century Gothic" w:hAnsi="Century Gothic" w:cs="Arial"/>
          <w:b/>
          <w:sz w:val="24"/>
          <w:szCs w:val="24"/>
        </w:rPr>
        <w:t xml:space="preserve"> 7542 A, </w:t>
      </w:r>
      <w:r w:rsidR="006F7C5E" w:rsidRPr="00292F0B">
        <w:rPr>
          <w:rFonts w:ascii="Century Gothic" w:hAnsi="Century Gothic" w:cs="Arial"/>
          <w:sz w:val="24"/>
          <w:szCs w:val="24"/>
        </w:rPr>
        <w:t>de treinta y uno de agosto de dos mil veintidós</w:t>
      </w:r>
      <w:r w:rsidR="006F7C5E" w:rsidRPr="00292F0B">
        <w:rPr>
          <w:rFonts w:ascii="Century Gothic" w:hAnsi="Century Gothic" w:cs="Arial"/>
          <w:bCs/>
          <w:sz w:val="24"/>
          <w:szCs w:val="24"/>
        </w:rPr>
        <w:t xml:space="preserve">, </w:t>
      </w:r>
      <w:r w:rsidR="00440029" w:rsidRPr="00292F0B">
        <w:rPr>
          <w:rFonts w:ascii="Century Gothic" w:hAnsi="Century Gothic" w:cs="Arial"/>
          <w:bCs/>
          <w:sz w:val="24"/>
          <w:szCs w:val="24"/>
        </w:rPr>
        <w:t xml:space="preserve">formándose al respecto el expediente </w:t>
      </w:r>
      <w:r w:rsidR="006F7C5E" w:rsidRPr="00292F0B">
        <w:rPr>
          <w:rFonts w:ascii="Century Gothic" w:hAnsi="Century Gothic" w:cs="Arial"/>
          <w:b/>
          <w:sz w:val="24"/>
          <w:szCs w:val="24"/>
        </w:rPr>
        <w:t>0092/2022</w:t>
      </w:r>
      <w:r w:rsidR="006F7C5E" w:rsidRPr="00292F0B">
        <w:rPr>
          <w:rFonts w:ascii="Century Gothic" w:hAnsi="Century Gothic" w:cs="Arial"/>
          <w:sz w:val="24"/>
          <w:szCs w:val="24"/>
        </w:rPr>
        <w:t xml:space="preserve"> de la Cuarta Sala Unitaria de Primera Instancia del extinto Tribunal de Justicia Administrativa del Estado de Oaxaca, ahora radicado dentro del expediente </w:t>
      </w:r>
      <w:r w:rsidR="006F7C5E" w:rsidRPr="00292F0B">
        <w:rPr>
          <w:rFonts w:ascii="Century Gothic" w:hAnsi="Century Gothic" w:cs="Arial"/>
          <w:b/>
          <w:sz w:val="24"/>
          <w:szCs w:val="24"/>
        </w:rPr>
        <w:t>0474/2023</w:t>
      </w:r>
      <w:r w:rsidR="006F7C5E" w:rsidRPr="00292F0B">
        <w:rPr>
          <w:rFonts w:ascii="Century Gothic" w:hAnsi="Century Gothic" w:cs="Arial"/>
          <w:sz w:val="24"/>
          <w:szCs w:val="24"/>
        </w:rPr>
        <w:t xml:space="preserve"> del índice de la Tercera Sala Unitaria de Primera Instancia del Tribunal </w:t>
      </w:r>
      <w:r w:rsidR="006F7C5E" w:rsidRPr="00292F0B">
        <w:rPr>
          <w:rFonts w:ascii="Century Gothic" w:eastAsia="Times New Roman" w:hAnsi="Century Gothic" w:cs="Arial"/>
          <w:sz w:val="24"/>
          <w:szCs w:val="24"/>
          <w:lang w:val="es-ES_tradnl" w:eastAsia="es-ES"/>
        </w:rPr>
        <w:t>de Justicia Administrativa y Combate a la Corrupción del Estado de Oaxaca</w:t>
      </w:r>
      <w:r w:rsidR="00440029" w:rsidRPr="00292F0B">
        <w:rPr>
          <w:rFonts w:ascii="Century Gothic" w:hAnsi="Century Gothic" w:cs="Arial"/>
          <w:bCs/>
          <w:sz w:val="24"/>
          <w:szCs w:val="24"/>
        </w:rPr>
        <w:t>.</w:t>
      </w:r>
    </w:p>
    <w:p w14:paraId="0535EA96" w14:textId="709EA67F" w:rsidR="004974AE" w:rsidRPr="00292F0B" w:rsidRDefault="00E2285C" w:rsidP="005656A0">
      <w:pPr>
        <w:pStyle w:val="Prrafodelista"/>
        <w:numPr>
          <w:ilvl w:val="0"/>
          <w:numId w:val="17"/>
        </w:numPr>
        <w:spacing w:after="120"/>
        <w:ind w:left="851" w:right="-376" w:hanging="425"/>
        <w:jc w:val="both"/>
        <w:rPr>
          <w:rFonts w:ascii="Century Gothic" w:hAnsi="Century Gothic" w:cs="Arial"/>
          <w:sz w:val="24"/>
          <w:szCs w:val="24"/>
        </w:rPr>
      </w:pPr>
      <w:r w:rsidRPr="00292F0B">
        <w:rPr>
          <w:rFonts w:ascii="Century Gothic" w:hAnsi="Century Gothic" w:cs="Arial"/>
          <w:sz w:val="24"/>
          <w:szCs w:val="24"/>
        </w:rPr>
        <w:t>En auto de fecha treinta de noviembre de dos mil veintidós</w:t>
      </w:r>
      <w:r w:rsidR="00DD0822" w:rsidRPr="00292F0B">
        <w:rPr>
          <w:rFonts w:ascii="Century Gothic" w:hAnsi="Century Gothic" w:cs="Arial"/>
          <w:sz w:val="24"/>
          <w:szCs w:val="24"/>
        </w:rPr>
        <w:t>,</w:t>
      </w:r>
      <w:r w:rsidR="004974AE" w:rsidRPr="00292F0B">
        <w:rPr>
          <w:rFonts w:ascii="Century Gothic" w:hAnsi="Century Gothic" w:cs="Arial"/>
          <w:sz w:val="24"/>
          <w:szCs w:val="24"/>
        </w:rPr>
        <w:t xml:space="preserve"> se tuvo por recibido el escrito de la Licenciada Teresa de Jesús Santos Ferrer, autorizada legal de la parte actora, mediante el cual informa que la parte actora se opone a la publicación de sus datos personales, por lo que se tienen por hechas sus manifestaciones.</w:t>
      </w:r>
      <w:r w:rsidR="00DD0822" w:rsidRPr="00292F0B">
        <w:rPr>
          <w:rFonts w:ascii="Century Gothic" w:hAnsi="Century Gothic" w:cs="Arial"/>
          <w:sz w:val="24"/>
          <w:szCs w:val="24"/>
        </w:rPr>
        <w:t xml:space="preserve"> </w:t>
      </w:r>
      <w:r w:rsidR="004974AE" w:rsidRPr="00292F0B">
        <w:rPr>
          <w:rFonts w:ascii="Century Gothic" w:hAnsi="Century Gothic" w:cs="Arial"/>
          <w:sz w:val="24"/>
          <w:szCs w:val="24"/>
        </w:rPr>
        <w:t xml:space="preserve">Así también dentro del mismo auto </w:t>
      </w:r>
      <w:r w:rsidR="00DD0822" w:rsidRPr="00292F0B">
        <w:rPr>
          <w:rFonts w:ascii="Century Gothic" w:hAnsi="Century Gothic" w:cs="Arial"/>
          <w:sz w:val="24"/>
          <w:szCs w:val="24"/>
        </w:rPr>
        <w:t xml:space="preserve">se tuvo a la autoridad demandada dando contestación a la demanda instaurada en su contra en tiempo y forma y en los términos en los que lo hizo, ordenando correr traslado a la parte actora para los efectos legales </w:t>
      </w:r>
      <w:r w:rsidR="004974AE" w:rsidRPr="00292F0B">
        <w:rPr>
          <w:rFonts w:ascii="Century Gothic" w:hAnsi="Century Gothic" w:cs="Arial"/>
          <w:sz w:val="24"/>
          <w:szCs w:val="24"/>
        </w:rPr>
        <w:t>correspondientes y se fija hora y fecha para la audiencia de ley</w:t>
      </w:r>
      <w:r w:rsidR="00563DED" w:rsidRPr="00292F0B">
        <w:rPr>
          <w:rFonts w:ascii="Century Gothic" w:hAnsi="Century Gothic" w:cs="Arial"/>
          <w:sz w:val="24"/>
          <w:szCs w:val="24"/>
        </w:rPr>
        <w:t>.</w:t>
      </w:r>
      <w:r w:rsidR="004974AE" w:rsidRPr="00292F0B">
        <w:rPr>
          <w:rFonts w:ascii="Century Gothic" w:hAnsi="Century Gothic" w:cs="Arial"/>
          <w:sz w:val="24"/>
          <w:szCs w:val="24"/>
        </w:rPr>
        <w:t xml:space="preserve"> </w:t>
      </w:r>
    </w:p>
    <w:p w14:paraId="3EFF2534" w14:textId="0E0C6CA5" w:rsidR="00DD0822" w:rsidRPr="00292F0B" w:rsidRDefault="00DD0822" w:rsidP="005656A0">
      <w:pPr>
        <w:pStyle w:val="Prrafodelista"/>
        <w:numPr>
          <w:ilvl w:val="0"/>
          <w:numId w:val="17"/>
        </w:numPr>
        <w:spacing w:after="120"/>
        <w:ind w:left="851" w:right="-376" w:hanging="425"/>
        <w:jc w:val="both"/>
        <w:rPr>
          <w:rFonts w:ascii="Century Gothic" w:hAnsi="Century Gothic" w:cs="Arial"/>
          <w:sz w:val="24"/>
          <w:szCs w:val="24"/>
        </w:rPr>
      </w:pPr>
      <w:r w:rsidRPr="00292F0B">
        <w:rPr>
          <w:rFonts w:ascii="Century Gothic" w:hAnsi="Century Gothic" w:cs="Arial"/>
          <w:sz w:val="24"/>
          <w:szCs w:val="24"/>
        </w:rPr>
        <w:t xml:space="preserve">Con fecha </w:t>
      </w:r>
      <w:r w:rsidR="00563DED" w:rsidRPr="00292F0B">
        <w:rPr>
          <w:rFonts w:ascii="Century Gothic" w:hAnsi="Century Gothic" w:cs="Arial"/>
          <w:sz w:val="24"/>
          <w:szCs w:val="24"/>
        </w:rPr>
        <w:t>dos</w:t>
      </w:r>
      <w:r w:rsidRPr="00292F0B">
        <w:rPr>
          <w:rFonts w:ascii="Century Gothic" w:hAnsi="Century Gothic" w:cs="Arial"/>
          <w:sz w:val="24"/>
          <w:szCs w:val="24"/>
        </w:rPr>
        <w:t xml:space="preserve"> de febrero de dos mil veintitrés, se emitió resolución dentro del </w:t>
      </w:r>
      <w:r w:rsidRPr="00292F0B">
        <w:rPr>
          <w:rFonts w:ascii="Century Gothic" w:hAnsi="Century Gothic" w:cs="Arial"/>
          <w:bCs/>
          <w:sz w:val="24"/>
          <w:szCs w:val="24"/>
        </w:rPr>
        <w:t xml:space="preserve">expediente </w:t>
      </w:r>
      <w:r w:rsidR="00563DED" w:rsidRPr="00292F0B">
        <w:rPr>
          <w:rFonts w:ascii="Century Gothic" w:hAnsi="Century Gothic" w:cs="Arial"/>
          <w:b/>
          <w:sz w:val="24"/>
          <w:szCs w:val="24"/>
        </w:rPr>
        <w:t>0092/2022</w:t>
      </w:r>
      <w:r w:rsidR="00563DED" w:rsidRPr="00292F0B">
        <w:rPr>
          <w:rFonts w:ascii="Century Gothic" w:hAnsi="Century Gothic" w:cs="Arial"/>
          <w:sz w:val="24"/>
          <w:szCs w:val="24"/>
        </w:rPr>
        <w:t xml:space="preserve"> de la Cuarta Sala Unitaria de Primera Instancia del extinto Tribunal de Justicia Administrativa del Estado de Oaxaca, ahora radicado dentro del expediente </w:t>
      </w:r>
      <w:r w:rsidR="00563DED" w:rsidRPr="00292F0B">
        <w:rPr>
          <w:rFonts w:ascii="Century Gothic" w:hAnsi="Century Gothic" w:cs="Arial"/>
          <w:b/>
          <w:sz w:val="24"/>
          <w:szCs w:val="24"/>
        </w:rPr>
        <w:t>0474/2023</w:t>
      </w:r>
      <w:r w:rsidR="00563DED" w:rsidRPr="00292F0B">
        <w:rPr>
          <w:rFonts w:ascii="Century Gothic" w:hAnsi="Century Gothic" w:cs="Arial"/>
          <w:sz w:val="24"/>
          <w:szCs w:val="24"/>
        </w:rPr>
        <w:t xml:space="preserve"> del índice de la Tercera Sala Unitaria de Primera Instancia del Tribunal </w:t>
      </w:r>
      <w:r w:rsidR="00563DED" w:rsidRPr="00292F0B">
        <w:rPr>
          <w:rFonts w:ascii="Century Gothic" w:eastAsia="Times New Roman" w:hAnsi="Century Gothic" w:cs="Arial"/>
          <w:sz w:val="24"/>
          <w:szCs w:val="24"/>
          <w:lang w:val="es-ES_tradnl" w:eastAsia="es-ES"/>
        </w:rPr>
        <w:t>de Justicia Administrativa y Combate a la Corrupción del Estado de Oaxaca</w:t>
      </w:r>
      <w:r w:rsidRPr="00292F0B">
        <w:rPr>
          <w:rFonts w:ascii="Century Gothic" w:hAnsi="Century Gothic" w:cs="Arial"/>
          <w:sz w:val="24"/>
          <w:szCs w:val="24"/>
        </w:rPr>
        <w:t xml:space="preserve">. </w:t>
      </w:r>
    </w:p>
    <w:p w14:paraId="1620D935" w14:textId="129A0DE9" w:rsidR="00440029" w:rsidRPr="00292F0B" w:rsidRDefault="00DD0822" w:rsidP="005656A0">
      <w:pPr>
        <w:pStyle w:val="Prrafodelista"/>
        <w:numPr>
          <w:ilvl w:val="0"/>
          <w:numId w:val="17"/>
        </w:numPr>
        <w:spacing w:after="120"/>
        <w:ind w:left="851" w:right="-376" w:hanging="425"/>
        <w:jc w:val="both"/>
        <w:rPr>
          <w:rFonts w:ascii="Century Gothic" w:hAnsi="Century Gothic" w:cs="Arial"/>
          <w:sz w:val="24"/>
          <w:szCs w:val="24"/>
        </w:rPr>
      </w:pPr>
      <w:r w:rsidRPr="00292F0B">
        <w:rPr>
          <w:rFonts w:ascii="Century Gothic" w:hAnsi="Century Gothic" w:cs="Arial"/>
          <w:sz w:val="24"/>
          <w:szCs w:val="24"/>
        </w:rPr>
        <w:t xml:space="preserve">Mediante auto de fecha </w:t>
      </w:r>
      <w:r w:rsidR="00B16FB1" w:rsidRPr="00292F0B">
        <w:rPr>
          <w:rFonts w:ascii="Century Gothic" w:hAnsi="Century Gothic" w:cs="Arial"/>
          <w:sz w:val="24"/>
          <w:szCs w:val="24"/>
        </w:rPr>
        <w:t xml:space="preserve">veintiocho de febrero de </w:t>
      </w:r>
      <w:r w:rsidRPr="00292F0B">
        <w:rPr>
          <w:rFonts w:ascii="Century Gothic" w:hAnsi="Century Gothic" w:cs="Arial"/>
          <w:sz w:val="24"/>
          <w:szCs w:val="24"/>
        </w:rPr>
        <w:t>dos mil veintitrés se tuvo por recibido</w:t>
      </w:r>
      <w:r w:rsidR="00B16FB1" w:rsidRPr="00292F0B">
        <w:rPr>
          <w:rFonts w:ascii="Century Gothic" w:hAnsi="Century Gothic" w:cs="Arial"/>
          <w:sz w:val="24"/>
          <w:szCs w:val="24"/>
        </w:rPr>
        <w:t xml:space="preserve"> en la Oficialía de Partes Común</w:t>
      </w:r>
      <w:r w:rsidRPr="00292F0B">
        <w:rPr>
          <w:rFonts w:ascii="Century Gothic" w:hAnsi="Century Gothic" w:cs="Arial"/>
          <w:sz w:val="24"/>
          <w:szCs w:val="24"/>
        </w:rPr>
        <w:t xml:space="preserve"> el oficio DM/DJ/</w:t>
      </w:r>
      <w:r w:rsidR="00B16FB1" w:rsidRPr="00292F0B">
        <w:rPr>
          <w:rFonts w:ascii="Century Gothic" w:hAnsi="Century Gothic" w:cs="Arial"/>
          <w:sz w:val="24"/>
          <w:szCs w:val="24"/>
        </w:rPr>
        <w:t>118</w:t>
      </w:r>
      <w:r w:rsidRPr="00292F0B">
        <w:rPr>
          <w:rFonts w:ascii="Century Gothic" w:hAnsi="Century Gothic" w:cs="Arial"/>
          <w:sz w:val="24"/>
          <w:szCs w:val="24"/>
        </w:rPr>
        <w:t xml:space="preserve">/2023, suscrito por </w:t>
      </w:r>
      <w:r w:rsidR="00296E41" w:rsidRPr="00593EC0">
        <w:rPr>
          <w:rFonts w:ascii="Century Gothic" w:hAnsi="Century Gothic" w:cs="Arial"/>
          <w:b/>
          <w:sz w:val="24"/>
          <w:szCs w:val="24"/>
        </w:rPr>
        <w:t>SALUSTIO OJEDA VÁSQUEZ</w:t>
      </w:r>
      <w:r w:rsidRPr="00292F0B">
        <w:rPr>
          <w:rFonts w:ascii="Century Gothic" w:hAnsi="Century Gothic" w:cs="Arial"/>
          <w:sz w:val="24"/>
          <w:szCs w:val="24"/>
        </w:rPr>
        <w:t>, Policía Vial con número estadístico PV-</w:t>
      </w:r>
      <w:r w:rsidR="00296E41">
        <w:rPr>
          <w:rFonts w:ascii="Century Gothic" w:hAnsi="Century Gothic" w:cs="Arial"/>
          <w:sz w:val="24"/>
          <w:szCs w:val="24"/>
        </w:rPr>
        <w:t>69</w:t>
      </w:r>
      <w:r w:rsidRPr="00292F0B">
        <w:rPr>
          <w:rFonts w:ascii="Century Gothic" w:hAnsi="Century Gothic" w:cs="Arial"/>
          <w:sz w:val="24"/>
          <w:szCs w:val="24"/>
        </w:rPr>
        <w:t xml:space="preserve">, adscrito a la </w:t>
      </w:r>
      <w:r w:rsidR="00296E41">
        <w:rPr>
          <w:rFonts w:ascii="Century Gothic" w:hAnsi="Century Gothic" w:cs="Arial"/>
          <w:sz w:val="24"/>
          <w:szCs w:val="24"/>
        </w:rPr>
        <w:t>D</w:t>
      </w:r>
      <w:r w:rsidRPr="00292F0B">
        <w:rPr>
          <w:rFonts w:ascii="Century Gothic" w:hAnsi="Century Gothic" w:cs="Arial"/>
          <w:sz w:val="24"/>
          <w:szCs w:val="24"/>
        </w:rPr>
        <w:t xml:space="preserve">irección de </w:t>
      </w:r>
      <w:r w:rsidR="00296E41">
        <w:rPr>
          <w:rFonts w:ascii="Century Gothic" w:hAnsi="Century Gothic" w:cs="Arial"/>
          <w:sz w:val="24"/>
          <w:szCs w:val="24"/>
        </w:rPr>
        <w:t xml:space="preserve">Movilidad </w:t>
      </w:r>
      <w:r w:rsidRPr="00292F0B">
        <w:rPr>
          <w:rFonts w:ascii="Century Gothic" w:hAnsi="Century Gothic" w:cs="Arial"/>
          <w:sz w:val="24"/>
          <w:szCs w:val="24"/>
        </w:rPr>
        <w:t xml:space="preserve">del Municipio de Oaxaca de Juárez, Oaxaca por el cual interpone recurso de revisión en contra de la sentencia de fecha </w:t>
      </w:r>
      <w:r w:rsidR="00B16FB1" w:rsidRPr="00292F0B">
        <w:rPr>
          <w:rFonts w:ascii="Century Gothic" w:hAnsi="Century Gothic" w:cs="Arial"/>
          <w:sz w:val="24"/>
          <w:szCs w:val="24"/>
        </w:rPr>
        <w:t xml:space="preserve">dos </w:t>
      </w:r>
      <w:r w:rsidRPr="00292F0B">
        <w:rPr>
          <w:rFonts w:ascii="Century Gothic" w:hAnsi="Century Gothic" w:cs="Arial"/>
          <w:sz w:val="24"/>
          <w:szCs w:val="24"/>
        </w:rPr>
        <w:t>de febrero de dos mil veintitrés emitida en el juicio de nulidad al rubro indicado.</w:t>
      </w:r>
    </w:p>
    <w:p w14:paraId="34B170A0" w14:textId="77777777" w:rsidR="00C50570" w:rsidRDefault="00287983" w:rsidP="00FE770C">
      <w:pPr>
        <w:ind w:firstLine="708"/>
        <w:jc w:val="both"/>
        <w:rPr>
          <w:rFonts w:ascii="Century Gothic" w:hAnsi="Century Gothic" w:cs="Arial"/>
          <w:b/>
          <w:bCs/>
          <w:sz w:val="24"/>
          <w:szCs w:val="24"/>
        </w:rPr>
      </w:pPr>
      <w:r w:rsidRPr="00292F0B">
        <w:rPr>
          <w:rFonts w:ascii="Century Gothic" w:hAnsi="Century Gothic" w:cs="Arial"/>
          <w:b/>
          <w:bCs/>
          <w:sz w:val="24"/>
          <w:szCs w:val="24"/>
        </w:rPr>
        <w:t xml:space="preserve">SEGUNDO. </w:t>
      </w:r>
      <w:r w:rsidR="00DF3A86" w:rsidRPr="00292F0B">
        <w:rPr>
          <w:rFonts w:ascii="Century Gothic" w:hAnsi="Century Gothic" w:cs="Arial"/>
          <w:b/>
          <w:bCs/>
          <w:sz w:val="24"/>
          <w:szCs w:val="24"/>
        </w:rPr>
        <w:t xml:space="preserve">Determinación recurrida. </w:t>
      </w:r>
    </w:p>
    <w:p w14:paraId="1A6BB484" w14:textId="248BCE30" w:rsidR="00DF3A86" w:rsidRPr="00292F0B" w:rsidRDefault="00C50570" w:rsidP="00FE770C">
      <w:pPr>
        <w:ind w:firstLine="708"/>
        <w:jc w:val="both"/>
        <w:rPr>
          <w:rFonts w:ascii="Century Gothic" w:hAnsi="Century Gothic" w:cs="Arial"/>
          <w:sz w:val="24"/>
          <w:szCs w:val="24"/>
        </w:rPr>
      </w:pPr>
      <w:r w:rsidRPr="00C50570">
        <w:rPr>
          <w:rFonts w:ascii="Century Gothic" w:hAnsi="Century Gothic" w:cs="Arial"/>
          <w:sz w:val="24"/>
          <w:szCs w:val="24"/>
        </w:rPr>
        <w:lastRenderedPageBreak/>
        <w:t xml:space="preserve">3. </w:t>
      </w:r>
      <w:r w:rsidR="00DF3A86" w:rsidRPr="00292F0B">
        <w:rPr>
          <w:rFonts w:ascii="Century Gothic" w:hAnsi="Century Gothic" w:cs="Arial"/>
          <w:sz w:val="24"/>
          <w:szCs w:val="24"/>
        </w:rPr>
        <w:t xml:space="preserve">Inconforme con la sentencia de fecha dos de febrero de dos mil veintitrés dictada dentro del juicio de nulidad con número de expediente </w:t>
      </w:r>
      <w:r w:rsidR="00DF3A86" w:rsidRPr="00292F0B">
        <w:rPr>
          <w:rFonts w:ascii="Century Gothic" w:hAnsi="Century Gothic" w:cs="Arial"/>
          <w:b/>
          <w:sz w:val="24"/>
          <w:szCs w:val="24"/>
        </w:rPr>
        <w:t>0092/2022</w:t>
      </w:r>
      <w:r w:rsidR="00DF3A86" w:rsidRPr="00292F0B">
        <w:rPr>
          <w:rFonts w:ascii="Century Gothic" w:hAnsi="Century Gothic" w:cs="Arial"/>
          <w:sz w:val="24"/>
          <w:szCs w:val="24"/>
        </w:rPr>
        <w:t xml:space="preserve"> de la Cuarta Sala Unitaria de Primera Instancia del extinto Tribunal de Justicia Administrativa del Estado de Oaxaca, ahora radicado dentro del expediente </w:t>
      </w:r>
      <w:r w:rsidR="00DF3A86" w:rsidRPr="00292F0B">
        <w:rPr>
          <w:rFonts w:ascii="Century Gothic" w:hAnsi="Century Gothic" w:cs="Arial"/>
          <w:b/>
          <w:sz w:val="24"/>
          <w:szCs w:val="24"/>
        </w:rPr>
        <w:t>0474/2023</w:t>
      </w:r>
      <w:r w:rsidR="00DF3A86" w:rsidRPr="00292F0B">
        <w:rPr>
          <w:rFonts w:ascii="Century Gothic" w:hAnsi="Century Gothic" w:cs="Arial"/>
          <w:sz w:val="24"/>
          <w:szCs w:val="24"/>
        </w:rPr>
        <w:t xml:space="preserve"> del índice de la Tercera Sala Unitaria de Primera Instancia del Tribunal </w:t>
      </w:r>
      <w:r w:rsidR="00DF3A86" w:rsidRPr="00292F0B">
        <w:rPr>
          <w:rFonts w:ascii="Century Gothic" w:eastAsia="Times New Roman" w:hAnsi="Century Gothic" w:cs="Arial"/>
          <w:sz w:val="24"/>
          <w:szCs w:val="24"/>
          <w:lang w:val="es-ES_tradnl" w:eastAsia="es-ES"/>
        </w:rPr>
        <w:t>de Justicia Administrativa y Combate a la Corrupción del Estado de Oaxaca</w:t>
      </w:r>
      <w:r w:rsidR="00DF3A86" w:rsidRPr="00292F0B">
        <w:rPr>
          <w:rFonts w:ascii="Century Gothic" w:hAnsi="Century Gothic" w:cs="Arial"/>
          <w:sz w:val="24"/>
          <w:szCs w:val="24"/>
        </w:rPr>
        <w:t>.</w:t>
      </w:r>
    </w:p>
    <w:p w14:paraId="4288CABC" w14:textId="0E7AD290" w:rsidR="00287983" w:rsidRPr="00292F0B" w:rsidRDefault="007F0C5F" w:rsidP="00FE770C">
      <w:pPr>
        <w:ind w:firstLine="708"/>
        <w:jc w:val="both"/>
        <w:rPr>
          <w:rFonts w:ascii="Century Gothic" w:hAnsi="Century Gothic" w:cs="Arial"/>
          <w:bCs/>
          <w:sz w:val="24"/>
          <w:szCs w:val="24"/>
        </w:rPr>
      </w:pPr>
      <w:r>
        <w:rPr>
          <w:rFonts w:ascii="Century Gothic" w:hAnsi="Century Gothic" w:cs="Arial"/>
          <w:bCs/>
          <w:sz w:val="24"/>
          <w:szCs w:val="24"/>
        </w:rPr>
        <w:t xml:space="preserve">4. </w:t>
      </w:r>
      <w:r w:rsidR="00287983" w:rsidRPr="00292F0B">
        <w:rPr>
          <w:rFonts w:ascii="Century Gothic" w:hAnsi="Century Gothic" w:cs="Arial"/>
          <w:bCs/>
          <w:sz w:val="24"/>
          <w:szCs w:val="24"/>
        </w:rPr>
        <w:t>Los puntos resolutivos de la sentencia recurrida son los siguientes:</w:t>
      </w:r>
    </w:p>
    <w:p w14:paraId="1C47C4B0" w14:textId="39DA8D1D" w:rsidR="00234A27" w:rsidRPr="00292F0B" w:rsidRDefault="00E07973" w:rsidP="00FE770C">
      <w:pPr>
        <w:spacing w:after="0"/>
        <w:ind w:left="567" w:right="616" w:firstLine="284"/>
        <w:jc w:val="both"/>
        <w:rPr>
          <w:rFonts w:ascii="Century Gothic" w:hAnsi="Century Gothic" w:cs="Arial"/>
          <w:sz w:val="24"/>
          <w:szCs w:val="24"/>
        </w:rPr>
      </w:pPr>
      <w:r w:rsidRPr="00292F0B">
        <w:rPr>
          <w:rFonts w:ascii="Century Gothic" w:hAnsi="Century Gothic"/>
          <w:b/>
          <w:sz w:val="24"/>
          <w:szCs w:val="24"/>
        </w:rPr>
        <w:t>“</w:t>
      </w:r>
      <w:r w:rsidR="00255334" w:rsidRPr="00292F0B">
        <w:rPr>
          <w:rFonts w:ascii="Century Gothic" w:hAnsi="Century Gothic" w:cs="Arial"/>
          <w:b/>
          <w:sz w:val="24"/>
          <w:szCs w:val="24"/>
        </w:rPr>
        <w:t xml:space="preserve">PRIMERO. </w:t>
      </w:r>
      <w:r w:rsidR="00255334" w:rsidRPr="00292F0B">
        <w:rPr>
          <w:rFonts w:ascii="Century Gothic" w:hAnsi="Century Gothic" w:cs="Arial"/>
          <w:sz w:val="24"/>
          <w:szCs w:val="24"/>
        </w:rPr>
        <w:t xml:space="preserve">Esta Cuarta Sala Unitaria fue competente para conocer y resolver del presente asunto. - - - - - - - - - - - - - - - </w:t>
      </w:r>
      <w:r w:rsidR="00234A27" w:rsidRPr="00292F0B">
        <w:rPr>
          <w:rFonts w:ascii="Century Gothic" w:hAnsi="Century Gothic" w:cs="Arial"/>
          <w:sz w:val="24"/>
          <w:szCs w:val="24"/>
        </w:rPr>
        <w:t xml:space="preserve">- - - </w:t>
      </w:r>
    </w:p>
    <w:p w14:paraId="7A8EDF13" w14:textId="09A5D49F" w:rsidR="00234A27" w:rsidRPr="00292F0B" w:rsidRDefault="00255334" w:rsidP="00FE770C">
      <w:pPr>
        <w:spacing w:after="0"/>
        <w:ind w:left="567" w:right="616" w:firstLine="284"/>
        <w:jc w:val="both"/>
        <w:rPr>
          <w:rFonts w:ascii="Century Gothic" w:hAnsi="Century Gothic" w:cs="Arial"/>
          <w:sz w:val="24"/>
          <w:szCs w:val="24"/>
        </w:rPr>
      </w:pPr>
      <w:r w:rsidRPr="00292F0B">
        <w:rPr>
          <w:rFonts w:ascii="Century Gothic" w:hAnsi="Century Gothic" w:cs="Arial"/>
          <w:b/>
          <w:sz w:val="24"/>
          <w:szCs w:val="24"/>
        </w:rPr>
        <w:t xml:space="preserve">SEGUNDO. </w:t>
      </w:r>
      <w:r w:rsidRPr="00292F0B">
        <w:rPr>
          <w:rFonts w:ascii="Century Gothic" w:hAnsi="Century Gothic" w:cs="Arial"/>
          <w:sz w:val="24"/>
          <w:szCs w:val="24"/>
        </w:rPr>
        <w:t xml:space="preserve">La personalidad de las partes quedo acreditada en autos. - - - - - - - - - - - - - - - - - - - - - - - - - - - - - - - - - - - - - - - - - - </w:t>
      </w:r>
    </w:p>
    <w:p w14:paraId="7C9243D6" w14:textId="1064519A" w:rsidR="00234A27" w:rsidRPr="00292F0B" w:rsidRDefault="00255334" w:rsidP="00FE770C">
      <w:pPr>
        <w:spacing w:after="0"/>
        <w:ind w:left="567" w:right="616" w:firstLine="284"/>
        <w:jc w:val="both"/>
        <w:rPr>
          <w:rFonts w:ascii="Century Gothic" w:hAnsi="Century Gothic" w:cs="Arial"/>
          <w:sz w:val="24"/>
          <w:szCs w:val="24"/>
        </w:rPr>
      </w:pPr>
      <w:r w:rsidRPr="00292F0B">
        <w:rPr>
          <w:rFonts w:ascii="Century Gothic" w:hAnsi="Century Gothic" w:cs="Arial"/>
          <w:b/>
          <w:sz w:val="24"/>
          <w:szCs w:val="24"/>
        </w:rPr>
        <w:t xml:space="preserve">TERCERO. </w:t>
      </w:r>
      <w:r w:rsidRPr="00292F0B">
        <w:rPr>
          <w:rFonts w:ascii="Century Gothic" w:hAnsi="Century Gothic" w:cs="Arial"/>
          <w:sz w:val="24"/>
          <w:szCs w:val="24"/>
        </w:rPr>
        <w:t xml:space="preserve">No se actualizaron las causales de improcedencia hechas valer por la autoridad demandada, por lo que </w:t>
      </w:r>
      <w:r w:rsidRPr="00292F0B">
        <w:rPr>
          <w:rFonts w:ascii="Century Gothic" w:hAnsi="Century Gothic" w:cs="Arial"/>
          <w:b/>
          <w:sz w:val="24"/>
          <w:szCs w:val="24"/>
        </w:rPr>
        <w:t>NO SE SOBRESEE EL JUICIO</w:t>
      </w:r>
      <w:r w:rsidRPr="00292F0B">
        <w:rPr>
          <w:rFonts w:ascii="Century Gothic" w:hAnsi="Century Gothic" w:cs="Arial"/>
          <w:sz w:val="24"/>
          <w:szCs w:val="24"/>
        </w:rPr>
        <w:t xml:space="preserve">. - - - - - - - - - - - - - - - - - - - </w:t>
      </w:r>
    </w:p>
    <w:p w14:paraId="186772E2" w14:textId="77BCC440" w:rsidR="00C1502E" w:rsidRPr="00292F0B" w:rsidRDefault="00255334" w:rsidP="00FE770C">
      <w:pPr>
        <w:spacing w:after="0"/>
        <w:ind w:left="567" w:right="616" w:firstLine="284"/>
        <w:jc w:val="both"/>
        <w:rPr>
          <w:rFonts w:ascii="Century Gothic" w:hAnsi="Century Gothic" w:cs="Arial"/>
          <w:sz w:val="24"/>
          <w:szCs w:val="24"/>
        </w:rPr>
      </w:pPr>
      <w:r w:rsidRPr="00292F0B">
        <w:rPr>
          <w:rFonts w:ascii="Century Gothic" w:hAnsi="Century Gothic" w:cs="Arial"/>
          <w:b/>
          <w:sz w:val="24"/>
          <w:szCs w:val="24"/>
        </w:rPr>
        <w:t xml:space="preserve">CUARTO. </w:t>
      </w:r>
      <w:r w:rsidRPr="00292F0B">
        <w:rPr>
          <w:rFonts w:ascii="Century Gothic" w:hAnsi="Century Gothic" w:cs="Arial"/>
          <w:sz w:val="24"/>
          <w:szCs w:val="24"/>
        </w:rPr>
        <w:t xml:space="preserve">Se declara la </w:t>
      </w:r>
      <w:r w:rsidRPr="00292F0B">
        <w:rPr>
          <w:rFonts w:ascii="Century Gothic" w:hAnsi="Century Gothic" w:cs="Arial"/>
          <w:b/>
          <w:sz w:val="24"/>
          <w:szCs w:val="24"/>
        </w:rPr>
        <w:t xml:space="preserve">NULIDAD LISA Y LLANA </w:t>
      </w:r>
      <w:r w:rsidRPr="00292F0B">
        <w:rPr>
          <w:rFonts w:ascii="Century Gothic" w:hAnsi="Century Gothic" w:cs="Arial"/>
          <w:sz w:val="24"/>
          <w:szCs w:val="24"/>
        </w:rPr>
        <w:t xml:space="preserve">del acta de </w:t>
      </w:r>
      <w:r w:rsidR="00593EC0" w:rsidRPr="00292F0B">
        <w:rPr>
          <w:rFonts w:ascii="Century Gothic" w:hAnsi="Century Gothic" w:cs="Arial"/>
          <w:sz w:val="24"/>
          <w:szCs w:val="24"/>
        </w:rPr>
        <w:t xml:space="preserve">infracción </w:t>
      </w:r>
      <w:r w:rsidR="00593EC0" w:rsidRPr="00292F0B">
        <w:rPr>
          <w:rFonts w:ascii="Century Gothic" w:hAnsi="Century Gothic" w:cs="Arial"/>
          <w:b/>
          <w:sz w:val="24"/>
          <w:szCs w:val="24"/>
        </w:rPr>
        <w:t>7542</w:t>
      </w:r>
      <w:r w:rsidR="001A6958" w:rsidRPr="00292F0B">
        <w:rPr>
          <w:rFonts w:ascii="Century Gothic" w:hAnsi="Century Gothic" w:cs="Arial"/>
          <w:b/>
          <w:sz w:val="24"/>
          <w:szCs w:val="24"/>
        </w:rPr>
        <w:t xml:space="preserve"> </w:t>
      </w:r>
      <w:r w:rsidR="00A12515" w:rsidRPr="00292F0B">
        <w:rPr>
          <w:rFonts w:ascii="Century Gothic" w:hAnsi="Century Gothic" w:cs="Arial"/>
          <w:b/>
          <w:sz w:val="24"/>
          <w:szCs w:val="24"/>
        </w:rPr>
        <w:t>A</w:t>
      </w:r>
      <w:r w:rsidRPr="00292F0B">
        <w:rPr>
          <w:rFonts w:ascii="Century Gothic" w:hAnsi="Century Gothic" w:cs="Arial"/>
          <w:b/>
          <w:sz w:val="24"/>
          <w:szCs w:val="24"/>
        </w:rPr>
        <w:t xml:space="preserve">, </w:t>
      </w:r>
      <w:r w:rsidRPr="00292F0B">
        <w:rPr>
          <w:rFonts w:ascii="Century Gothic" w:hAnsi="Century Gothic" w:cs="Arial"/>
          <w:sz w:val="24"/>
          <w:szCs w:val="24"/>
        </w:rPr>
        <w:t>de</w:t>
      </w:r>
      <w:r w:rsidR="00A12515" w:rsidRPr="00292F0B">
        <w:rPr>
          <w:rFonts w:ascii="Century Gothic" w:hAnsi="Century Gothic" w:cs="Arial"/>
          <w:sz w:val="24"/>
          <w:szCs w:val="24"/>
        </w:rPr>
        <w:t xml:space="preserve"> treinta y uno de agosto de dos mil veintidós, </w:t>
      </w:r>
      <w:r w:rsidRPr="00292F0B">
        <w:rPr>
          <w:rFonts w:ascii="Century Gothic" w:hAnsi="Century Gothic" w:cs="Arial"/>
          <w:sz w:val="24"/>
          <w:szCs w:val="24"/>
        </w:rPr>
        <w:t>emitido por el Policía Vi</w:t>
      </w:r>
      <w:r w:rsidR="00A12515" w:rsidRPr="00292F0B">
        <w:rPr>
          <w:rFonts w:ascii="Century Gothic" w:hAnsi="Century Gothic" w:cs="Arial"/>
          <w:sz w:val="24"/>
          <w:szCs w:val="24"/>
        </w:rPr>
        <w:t>al con número estadístico PV-69</w:t>
      </w:r>
      <w:r w:rsidRPr="00292F0B">
        <w:rPr>
          <w:rFonts w:ascii="Century Gothic" w:hAnsi="Century Gothic" w:cs="Arial"/>
          <w:sz w:val="24"/>
          <w:szCs w:val="24"/>
        </w:rPr>
        <w:t xml:space="preserve">, adscrito a la </w:t>
      </w:r>
      <w:r w:rsidR="00A12515" w:rsidRPr="00292F0B">
        <w:rPr>
          <w:rFonts w:ascii="Century Gothic" w:hAnsi="Century Gothic" w:cs="Arial"/>
          <w:sz w:val="24"/>
          <w:szCs w:val="24"/>
        </w:rPr>
        <w:t xml:space="preserve">Dirección de Movilidad, dependiente de la </w:t>
      </w:r>
      <w:proofErr w:type="gramStart"/>
      <w:r w:rsidR="00A12515" w:rsidRPr="00292F0B">
        <w:rPr>
          <w:rFonts w:ascii="Century Gothic" w:hAnsi="Century Gothic" w:cs="Arial"/>
          <w:sz w:val="24"/>
          <w:szCs w:val="24"/>
        </w:rPr>
        <w:t>Secretaria</w:t>
      </w:r>
      <w:proofErr w:type="gramEnd"/>
      <w:r w:rsidR="00A12515" w:rsidRPr="00292F0B">
        <w:rPr>
          <w:rFonts w:ascii="Century Gothic" w:hAnsi="Century Gothic" w:cs="Arial"/>
          <w:sz w:val="24"/>
          <w:szCs w:val="24"/>
        </w:rPr>
        <w:t xml:space="preserve"> de Seguridad </w:t>
      </w:r>
      <w:r w:rsidR="00593EC0" w:rsidRPr="00292F0B">
        <w:rPr>
          <w:rFonts w:ascii="Century Gothic" w:hAnsi="Century Gothic" w:cs="Arial"/>
          <w:sz w:val="24"/>
          <w:szCs w:val="24"/>
        </w:rPr>
        <w:t>Ciudadana, Movilidad</w:t>
      </w:r>
      <w:r w:rsidR="00A12515" w:rsidRPr="00292F0B">
        <w:rPr>
          <w:rFonts w:ascii="Century Gothic" w:hAnsi="Century Gothic" w:cs="Arial"/>
          <w:sz w:val="24"/>
          <w:szCs w:val="24"/>
        </w:rPr>
        <w:t xml:space="preserve"> y Protección Civil </w:t>
      </w:r>
      <w:r w:rsidRPr="00292F0B">
        <w:rPr>
          <w:rFonts w:ascii="Century Gothic" w:hAnsi="Century Gothic" w:cs="Arial"/>
          <w:sz w:val="24"/>
          <w:szCs w:val="24"/>
        </w:rPr>
        <w:t>del Municipio de Oaxaca de Juárez, como quedo precisado en el</w:t>
      </w:r>
      <w:r w:rsidR="00A12515" w:rsidRPr="00292F0B">
        <w:rPr>
          <w:rFonts w:ascii="Century Gothic" w:hAnsi="Century Gothic" w:cs="Arial"/>
          <w:sz w:val="24"/>
          <w:szCs w:val="24"/>
        </w:rPr>
        <w:t xml:space="preserve"> último párrafo del considerando cuarto de </w:t>
      </w:r>
      <w:r w:rsidR="00593EC0" w:rsidRPr="00292F0B">
        <w:rPr>
          <w:rFonts w:ascii="Century Gothic" w:hAnsi="Century Gothic" w:cs="Arial"/>
          <w:sz w:val="24"/>
          <w:szCs w:val="24"/>
        </w:rPr>
        <w:t>esta sentencia</w:t>
      </w:r>
      <w:r w:rsidRPr="00292F0B">
        <w:rPr>
          <w:rFonts w:ascii="Century Gothic" w:hAnsi="Century Gothic" w:cs="Arial"/>
          <w:sz w:val="24"/>
          <w:szCs w:val="24"/>
        </w:rPr>
        <w:t xml:space="preserve">. - - - - - - - - - </w:t>
      </w:r>
      <w:r w:rsidR="00A12515" w:rsidRPr="00292F0B">
        <w:rPr>
          <w:rFonts w:ascii="Century Gothic" w:hAnsi="Century Gothic" w:cs="Arial"/>
          <w:sz w:val="24"/>
          <w:szCs w:val="24"/>
        </w:rPr>
        <w:t xml:space="preserve">- - - - </w:t>
      </w:r>
      <w:r w:rsidR="00234A27" w:rsidRPr="00292F0B">
        <w:rPr>
          <w:rFonts w:ascii="Century Gothic" w:hAnsi="Century Gothic" w:cs="Arial"/>
          <w:sz w:val="24"/>
          <w:szCs w:val="24"/>
        </w:rPr>
        <w:t xml:space="preserve">- - - - - </w:t>
      </w:r>
    </w:p>
    <w:p w14:paraId="540DFB89" w14:textId="739B4008" w:rsidR="00E07973" w:rsidRPr="00292F0B" w:rsidRDefault="00255334" w:rsidP="00FE770C">
      <w:pPr>
        <w:spacing w:after="0"/>
        <w:ind w:left="567" w:right="616" w:firstLine="284"/>
        <w:jc w:val="both"/>
        <w:rPr>
          <w:rFonts w:ascii="Century Gothic" w:hAnsi="Century Gothic"/>
          <w:b/>
          <w:sz w:val="24"/>
          <w:szCs w:val="24"/>
        </w:rPr>
      </w:pPr>
      <w:r w:rsidRPr="00292F0B">
        <w:rPr>
          <w:rFonts w:ascii="Century Gothic" w:hAnsi="Century Gothic" w:cs="Arial"/>
          <w:b/>
          <w:sz w:val="24"/>
          <w:szCs w:val="24"/>
        </w:rPr>
        <w:t>QUINTO. NOTIFÍ</w:t>
      </w:r>
      <w:r w:rsidR="00A12515" w:rsidRPr="00292F0B">
        <w:rPr>
          <w:rFonts w:ascii="Century Gothic" w:hAnsi="Century Gothic" w:cs="Arial"/>
          <w:b/>
          <w:sz w:val="24"/>
          <w:szCs w:val="24"/>
        </w:rPr>
        <w:t xml:space="preserve">QUESE PERSONALMENTE A LA ACTOR </w:t>
      </w:r>
      <w:r w:rsidRPr="00292F0B">
        <w:rPr>
          <w:rFonts w:ascii="Century Gothic" w:hAnsi="Century Gothic" w:cs="Arial"/>
          <w:b/>
          <w:sz w:val="24"/>
          <w:szCs w:val="24"/>
        </w:rPr>
        <w:t>Y POR OFICIO A LA AUTORIDAD DEMANDADA</w:t>
      </w:r>
      <w:r w:rsidRPr="00292F0B">
        <w:rPr>
          <w:rFonts w:ascii="Century Gothic" w:hAnsi="Century Gothic" w:cs="Arial"/>
          <w:sz w:val="24"/>
          <w:szCs w:val="24"/>
        </w:rPr>
        <w:t xml:space="preserve">, con fundamento en los artículos 172 fracción I y 173 fracciones I, y II, de la Ley de Procedimiento y Justicia Administrativa para el Estado de Oaxaca. </w:t>
      </w:r>
      <w:r w:rsidR="000F2289" w:rsidRPr="00292F0B">
        <w:rPr>
          <w:rFonts w:ascii="Century Gothic" w:hAnsi="Century Gothic" w:cs="Arial"/>
          <w:sz w:val="24"/>
          <w:szCs w:val="24"/>
        </w:rPr>
        <w:t xml:space="preserve">- - - - - - - - - - - - - - - - - - - - - -  - - - - - - - - - - - - - - - - </w:t>
      </w:r>
      <w:r w:rsidRPr="00292F0B">
        <w:rPr>
          <w:rFonts w:ascii="Century Gothic" w:hAnsi="Century Gothic" w:cs="Arial"/>
          <w:sz w:val="24"/>
          <w:szCs w:val="24"/>
        </w:rPr>
        <w:t>- - -</w:t>
      </w:r>
      <w:r w:rsidR="00E07973" w:rsidRPr="00292F0B">
        <w:rPr>
          <w:rFonts w:ascii="Century Gothic" w:hAnsi="Century Gothic"/>
          <w:b/>
          <w:sz w:val="24"/>
          <w:szCs w:val="24"/>
        </w:rPr>
        <w:t>”</w:t>
      </w:r>
    </w:p>
    <w:p w14:paraId="3CE2FB50" w14:textId="66080660" w:rsidR="00287983" w:rsidRPr="00292F0B" w:rsidRDefault="00287983" w:rsidP="00FE770C">
      <w:pPr>
        <w:widowControl w:val="0"/>
        <w:tabs>
          <w:tab w:val="left" w:pos="7938"/>
        </w:tabs>
        <w:spacing w:before="240" w:after="0"/>
        <w:ind w:left="1134" w:right="616"/>
        <w:jc w:val="center"/>
        <w:rPr>
          <w:rFonts w:ascii="Century Gothic" w:hAnsi="Century Gothic" w:cs="Arial"/>
          <w:b/>
          <w:bCs/>
          <w:sz w:val="24"/>
          <w:szCs w:val="24"/>
        </w:rPr>
      </w:pPr>
      <w:r w:rsidRPr="00292F0B">
        <w:rPr>
          <w:rFonts w:ascii="Century Gothic" w:hAnsi="Century Gothic" w:cs="Arial"/>
          <w:b/>
          <w:bCs/>
          <w:sz w:val="24"/>
          <w:szCs w:val="24"/>
        </w:rPr>
        <w:t xml:space="preserve">C O N S I D E R A N </w:t>
      </w:r>
      <w:r w:rsidR="00BE4773" w:rsidRPr="00292F0B">
        <w:rPr>
          <w:rFonts w:ascii="Century Gothic" w:hAnsi="Century Gothic" w:cs="Arial"/>
          <w:b/>
          <w:bCs/>
          <w:sz w:val="24"/>
          <w:szCs w:val="24"/>
        </w:rPr>
        <w:t>D O</w:t>
      </w:r>
    </w:p>
    <w:p w14:paraId="49D22F0A" w14:textId="77777777" w:rsidR="00C50570" w:rsidRDefault="00287983" w:rsidP="00FE770C">
      <w:pPr>
        <w:pStyle w:val="Textoindependiente21"/>
        <w:spacing w:before="240" w:line="276" w:lineRule="auto"/>
        <w:ind w:right="18" w:firstLine="708"/>
        <w:rPr>
          <w:rFonts w:ascii="Century Gothic" w:hAnsi="Century Gothic" w:cs="Arial"/>
          <w:bCs/>
          <w:iCs/>
          <w:szCs w:val="24"/>
        </w:rPr>
      </w:pPr>
      <w:r w:rsidRPr="00292F0B">
        <w:rPr>
          <w:rFonts w:ascii="Century Gothic" w:hAnsi="Century Gothic" w:cs="Arial"/>
          <w:b/>
          <w:bCs/>
          <w:iCs/>
          <w:szCs w:val="24"/>
        </w:rPr>
        <w:t xml:space="preserve">PRIMERO. </w:t>
      </w:r>
      <w:r w:rsidR="00406D0B" w:rsidRPr="00292F0B">
        <w:rPr>
          <w:rFonts w:ascii="Century Gothic" w:hAnsi="Century Gothic" w:cs="Arial"/>
          <w:b/>
          <w:bCs/>
          <w:iCs/>
          <w:szCs w:val="24"/>
        </w:rPr>
        <w:t>Jurisdicción y Competencia</w:t>
      </w:r>
      <w:r w:rsidR="00406D0B" w:rsidRPr="00292F0B">
        <w:rPr>
          <w:rFonts w:ascii="Century Gothic" w:hAnsi="Century Gothic" w:cs="Arial"/>
          <w:bCs/>
          <w:iCs/>
          <w:szCs w:val="24"/>
        </w:rPr>
        <w:t>.</w:t>
      </w:r>
    </w:p>
    <w:p w14:paraId="47E15336" w14:textId="377E2FD7" w:rsidR="00287983" w:rsidRPr="00292F0B" w:rsidRDefault="00C50570" w:rsidP="00FE770C">
      <w:pPr>
        <w:pStyle w:val="Textoindependiente21"/>
        <w:spacing w:before="240" w:line="276" w:lineRule="auto"/>
        <w:ind w:right="18" w:firstLine="708"/>
        <w:rPr>
          <w:rFonts w:ascii="Century Gothic" w:hAnsi="Century Gothic" w:cs="Arial"/>
          <w:b/>
          <w:szCs w:val="24"/>
        </w:rPr>
      </w:pPr>
      <w:r>
        <w:rPr>
          <w:rFonts w:ascii="Century Gothic" w:hAnsi="Century Gothic" w:cs="Arial"/>
          <w:bCs/>
          <w:iCs/>
          <w:szCs w:val="24"/>
        </w:rPr>
        <w:t xml:space="preserve">5. </w:t>
      </w:r>
      <w:r w:rsidR="00406D0B" w:rsidRPr="00292F0B">
        <w:rPr>
          <w:rFonts w:ascii="Century Gothic" w:hAnsi="Century Gothic" w:cs="Arial"/>
          <w:bCs/>
          <w:iCs/>
          <w:szCs w:val="24"/>
        </w:rPr>
        <w:t xml:space="preserve">El Tribunal de Justicia Administrativa y Combate a la Corrupción del Estado de Oaxaca ejerce jurisdicción y esta Sala Superior es competente para conocer del presente asunto, conforme a lo dispuesto por los artículos 114 </w:t>
      </w:r>
      <w:proofErr w:type="spellStart"/>
      <w:r w:rsidR="00406D0B" w:rsidRPr="00292F0B">
        <w:rPr>
          <w:rFonts w:ascii="Century Gothic" w:hAnsi="Century Gothic" w:cs="Arial"/>
          <w:bCs/>
          <w:iCs/>
          <w:szCs w:val="24"/>
        </w:rPr>
        <w:t>Quáter</w:t>
      </w:r>
      <w:proofErr w:type="spellEnd"/>
      <w:r w:rsidR="00406D0B" w:rsidRPr="00292F0B">
        <w:rPr>
          <w:rFonts w:ascii="Century Gothic" w:hAnsi="Century Gothic" w:cs="Arial"/>
          <w:bCs/>
          <w:iCs/>
          <w:szCs w:val="24"/>
        </w:rPr>
        <w:t xml:space="preserve">  de la Constitución Política del Estado Libre y Soberano de Oaxaca</w:t>
      </w:r>
      <w:r w:rsidR="00406D0B" w:rsidRPr="00292F0B">
        <w:rPr>
          <w:rFonts w:ascii="Century Gothic" w:eastAsia="Calibri" w:hAnsi="Century Gothic" w:cs="Arial"/>
          <w:bCs/>
          <w:color w:val="000000" w:themeColor="text1"/>
          <w:szCs w:val="24"/>
          <w:vertAlign w:val="superscript"/>
        </w:rPr>
        <w:footnoteReference w:id="1"/>
      </w:r>
      <w:r w:rsidR="00406D0B" w:rsidRPr="00292F0B">
        <w:rPr>
          <w:rFonts w:ascii="Century Gothic" w:hAnsi="Century Gothic" w:cs="Arial"/>
          <w:bCs/>
          <w:iCs/>
          <w:szCs w:val="24"/>
        </w:rPr>
        <w:t xml:space="preserve">; 1, 2, 4, fracción VIII, 23, 24, </w:t>
      </w:r>
      <w:r w:rsidR="00406D0B" w:rsidRPr="00292F0B">
        <w:rPr>
          <w:rFonts w:ascii="Century Gothic" w:hAnsi="Century Gothic" w:cs="Arial"/>
          <w:bCs/>
          <w:iCs/>
          <w:szCs w:val="24"/>
        </w:rPr>
        <w:lastRenderedPageBreak/>
        <w:t>fracciones I y III, 25, fracción I y 27 de la Ley Orgánica del Tribunal de Justicia Administrativa del Estado de Oaxaca, vigente; 120, 125, 127, 129,130, fracción l, 131, 201, 236, fracción VII y 238 de la Ley de Procedimiento y Justicia Administrativa para el Estado de Oaxaca</w:t>
      </w:r>
      <w:r w:rsidR="00770D7F" w:rsidRPr="00292F0B">
        <w:rPr>
          <w:rFonts w:ascii="Century Gothic" w:hAnsi="Century Gothic" w:cs="Arial"/>
          <w:bCs/>
          <w:iCs/>
          <w:szCs w:val="24"/>
        </w:rPr>
        <w:t>, dado que se trata de un recurso de r</w:t>
      </w:r>
      <w:r w:rsidR="00287983" w:rsidRPr="00292F0B">
        <w:rPr>
          <w:rFonts w:ascii="Century Gothic" w:hAnsi="Century Gothic" w:cs="Arial"/>
          <w:bCs/>
          <w:iCs/>
          <w:szCs w:val="24"/>
        </w:rPr>
        <w:t xml:space="preserve">evisión interpuesto en contra </w:t>
      </w:r>
      <w:r w:rsidR="001E0E21" w:rsidRPr="00292F0B">
        <w:rPr>
          <w:rFonts w:ascii="Century Gothic" w:hAnsi="Century Gothic" w:cs="Arial"/>
          <w:bCs/>
          <w:iCs/>
          <w:szCs w:val="24"/>
        </w:rPr>
        <w:t>de la</w:t>
      </w:r>
      <w:r w:rsidR="001E0E21" w:rsidRPr="00292F0B">
        <w:rPr>
          <w:rFonts w:ascii="Century Gothic" w:hAnsi="Century Gothic" w:cs="Arial"/>
          <w:szCs w:val="24"/>
        </w:rPr>
        <w:t xml:space="preserve"> sentencia de </w:t>
      </w:r>
      <w:r w:rsidR="00A12515" w:rsidRPr="00292F0B">
        <w:rPr>
          <w:rFonts w:ascii="Century Gothic" w:hAnsi="Century Gothic" w:cs="Arial"/>
          <w:szCs w:val="24"/>
        </w:rPr>
        <w:t>fecha dos de febrero de dos mil veintitrés</w:t>
      </w:r>
      <w:r w:rsidR="001E0E21" w:rsidRPr="00292F0B">
        <w:rPr>
          <w:rFonts w:ascii="Century Gothic" w:hAnsi="Century Gothic" w:cs="Arial"/>
          <w:szCs w:val="24"/>
        </w:rPr>
        <w:t xml:space="preserve">, </w:t>
      </w:r>
      <w:r w:rsidR="00234A27" w:rsidRPr="00292F0B">
        <w:rPr>
          <w:rFonts w:ascii="Century Gothic" w:hAnsi="Century Gothic" w:cs="Arial"/>
          <w:szCs w:val="24"/>
        </w:rPr>
        <w:t xml:space="preserve">dictada en el juicio de nulidad con número de  expediente </w:t>
      </w:r>
      <w:r w:rsidR="00234A27" w:rsidRPr="00292F0B">
        <w:rPr>
          <w:rFonts w:ascii="Century Gothic" w:hAnsi="Century Gothic" w:cs="Arial"/>
          <w:b/>
          <w:szCs w:val="24"/>
        </w:rPr>
        <w:t>0092/2022</w:t>
      </w:r>
      <w:r w:rsidR="00234A27" w:rsidRPr="00292F0B">
        <w:rPr>
          <w:rFonts w:ascii="Century Gothic" w:hAnsi="Century Gothic" w:cs="Arial"/>
          <w:szCs w:val="24"/>
        </w:rPr>
        <w:t xml:space="preserve"> de la Cuarta Sala Unitaria de Primera Instancia del extinto Tribunal de Justicia Administrativa del Estado de Oaxaca, ahora radicado dentro del expediente </w:t>
      </w:r>
      <w:r w:rsidR="00234A27" w:rsidRPr="00292F0B">
        <w:rPr>
          <w:rFonts w:ascii="Century Gothic" w:hAnsi="Century Gothic" w:cs="Arial"/>
          <w:b/>
          <w:szCs w:val="24"/>
        </w:rPr>
        <w:t>0474/2023</w:t>
      </w:r>
      <w:r w:rsidR="00234A27" w:rsidRPr="00292F0B">
        <w:rPr>
          <w:rFonts w:ascii="Century Gothic" w:hAnsi="Century Gothic" w:cs="Arial"/>
          <w:szCs w:val="24"/>
        </w:rPr>
        <w:t xml:space="preserve"> del índice de la Tercera Sala Unitaria de Primera Instancia del Tribunal </w:t>
      </w:r>
      <w:r w:rsidR="00234A27" w:rsidRPr="00292F0B">
        <w:rPr>
          <w:rFonts w:ascii="Century Gothic" w:hAnsi="Century Gothic" w:cs="Arial"/>
          <w:szCs w:val="24"/>
          <w:lang w:val="es-ES_tradnl"/>
        </w:rPr>
        <w:t>de Justicia Administrativa y Combate a la Corrupción del Estado de Oaxaca</w:t>
      </w:r>
      <w:r w:rsidR="00287983" w:rsidRPr="00292F0B">
        <w:rPr>
          <w:rFonts w:ascii="Century Gothic" w:hAnsi="Century Gothic" w:cs="Arial"/>
          <w:b/>
          <w:szCs w:val="24"/>
        </w:rPr>
        <w:t xml:space="preserve">.  </w:t>
      </w:r>
    </w:p>
    <w:p w14:paraId="147EDA52" w14:textId="77777777" w:rsidR="00C50570" w:rsidRDefault="00DF3A86" w:rsidP="00FE770C">
      <w:pPr>
        <w:spacing w:before="240"/>
        <w:ind w:firstLine="708"/>
        <w:jc w:val="both"/>
        <w:rPr>
          <w:rFonts w:ascii="Century Gothic" w:hAnsi="Century Gothic" w:cs="Arial"/>
          <w:b/>
          <w:iCs/>
          <w:sz w:val="24"/>
          <w:szCs w:val="24"/>
        </w:rPr>
      </w:pPr>
      <w:r w:rsidRPr="00292F0B">
        <w:rPr>
          <w:rFonts w:ascii="Century Gothic" w:hAnsi="Century Gothic" w:cs="Arial"/>
          <w:b/>
          <w:sz w:val="24"/>
          <w:szCs w:val="24"/>
        </w:rPr>
        <w:t>SEGUNDO</w:t>
      </w:r>
      <w:r w:rsidRPr="00292F0B">
        <w:rPr>
          <w:rFonts w:ascii="Century Gothic" w:hAnsi="Century Gothic" w:cs="Arial"/>
          <w:b/>
          <w:iCs/>
          <w:sz w:val="24"/>
          <w:szCs w:val="24"/>
        </w:rPr>
        <w:t xml:space="preserve">. Requisitos de procedencia. </w:t>
      </w:r>
    </w:p>
    <w:p w14:paraId="4404EF50" w14:textId="2D6E0AA8" w:rsidR="00DF3A86" w:rsidRPr="00292F0B" w:rsidRDefault="00C50570" w:rsidP="00FE770C">
      <w:pPr>
        <w:spacing w:before="240"/>
        <w:ind w:firstLine="708"/>
        <w:jc w:val="both"/>
        <w:rPr>
          <w:rFonts w:ascii="Century Gothic" w:hAnsi="Century Gothic" w:cs="Arial"/>
          <w:bCs/>
          <w:iCs/>
          <w:sz w:val="24"/>
          <w:szCs w:val="24"/>
        </w:rPr>
      </w:pPr>
      <w:r w:rsidRPr="00C50570">
        <w:rPr>
          <w:rFonts w:ascii="Century Gothic" w:hAnsi="Century Gothic" w:cs="Arial"/>
          <w:bCs/>
          <w:iCs/>
          <w:sz w:val="24"/>
          <w:szCs w:val="24"/>
        </w:rPr>
        <w:t xml:space="preserve">6. </w:t>
      </w:r>
      <w:r w:rsidR="00DF3A86" w:rsidRPr="00292F0B">
        <w:rPr>
          <w:rFonts w:ascii="Century Gothic" w:hAnsi="Century Gothic" w:cs="Arial"/>
          <w:bCs/>
          <w:iCs/>
          <w:sz w:val="24"/>
          <w:szCs w:val="24"/>
        </w:rPr>
        <w:t>Se tienen por satisfechos los requisitos de procedencia previstos en los artículos 236, 237 de la Ley de Procedimiento.</w:t>
      </w:r>
    </w:p>
    <w:p w14:paraId="0C5DA483" w14:textId="77777777" w:rsidR="00DF3A86" w:rsidRPr="00292F0B" w:rsidRDefault="00DF3A86" w:rsidP="00FE770C">
      <w:pPr>
        <w:pStyle w:val="Prrafodelista"/>
        <w:numPr>
          <w:ilvl w:val="0"/>
          <w:numId w:val="18"/>
        </w:numPr>
        <w:spacing w:before="240"/>
        <w:ind w:left="0" w:firstLine="426"/>
        <w:jc w:val="both"/>
        <w:rPr>
          <w:rFonts w:ascii="Century Gothic" w:hAnsi="Century Gothic" w:cs="Arial"/>
          <w:bCs/>
          <w:iCs/>
          <w:sz w:val="24"/>
          <w:szCs w:val="24"/>
        </w:rPr>
      </w:pPr>
      <w:r w:rsidRPr="00292F0B">
        <w:rPr>
          <w:rFonts w:ascii="Century Gothic" w:hAnsi="Century Gothic" w:cs="Arial"/>
          <w:b/>
          <w:iCs/>
          <w:sz w:val="24"/>
          <w:szCs w:val="24"/>
        </w:rPr>
        <w:t xml:space="preserve">Forma. </w:t>
      </w:r>
      <w:r w:rsidRPr="00292F0B">
        <w:rPr>
          <w:rFonts w:ascii="Century Gothic" w:hAnsi="Century Gothic" w:cs="Arial"/>
          <w:bCs/>
          <w:iCs/>
          <w:sz w:val="24"/>
          <w:szCs w:val="24"/>
        </w:rPr>
        <w:t>Se observa que el</w:t>
      </w:r>
      <w:r w:rsidRPr="00292F0B">
        <w:rPr>
          <w:rFonts w:ascii="Century Gothic" w:hAnsi="Century Gothic" w:cs="Arial"/>
          <w:b/>
          <w:iCs/>
          <w:sz w:val="24"/>
          <w:szCs w:val="24"/>
        </w:rPr>
        <w:t xml:space="preserve"> </w:t>
      </w:r>
      <w:r w:rsidRPr="00292F0B">
        <w:rPr>
          <w:rFonts w:ascii="Century Gothic" w:hAnsi="Century Gothic" w:cs="Arial"/>
          <w:bCs/>
          <w:iCs/>
          <w:sz w:val="24"/>
          <w:szCs w:val="24"/>
        </w:rPr>
        <w:t>recurso se efectuó conforme a los lineamientos que exige el artículo 236 de la Ley de Procedimiento, ya que se presentó por escrito, con la expresión de agravios ante la Sala que dictó el acuerdo que se impugna.</w:t>
      </w:r>
    </w:p>
    <w:p w14:paraId="7F7CDDE6" w14:textId="424837C7" w:rsidR="00DF3A86" w:rsidRPr="00292F0B" w:rsidRDefault="00DF3A86" w:rsidP="00FE770C">
      <w:pPr>
        <w:pStyle w:val="Prrafodelista"/>
        <w:numPr>
          <w:ilvl w:val="0"/>
          <w:numId w:val="18"/>
        </w:numPr>
        <w:spacing w:before="240"/>
        <w:ind w:left="0" w:firstLine="426"/>
        <w:jc w:val="both"/>
        <w:rPr>
          <w:rFonts w:ascii="Century Gothic" w:hAnsi="Century Gothic" w:cs="Arial"/>
          <w:bCs/>
          <w:iCs/>
          <w:sz w:val="24"/>
          <w:szCs w:val="24"/>
        </w:rPr>
      </w:pPr>
      <w:r w:rsidRPr="00292F0B">
        <w:rPr>
          <w:rFonts w:ascii="Century Gothic" w:hAnsi="Century Gothic" w:cs="Arial"/>
          <w:b/>
          <w:iCs/>
          <w:sz w:val="24"/>
          <w:szCs w:val="24"/>
        </w:rPr>
        <w:t xml:space="preserve">Oportunidad. </w:t>
      </w:r>
      <w:r w:rsidRPr="00292F0B">
        <w:rPr>
          <w:rFonts w:ascii="Century Gothic" w:hAnsi="Century Gothic" w:cs="Arial"/>
          <w:bCs/>
          <w:iCs/>
          <w:sz w:val="24"/>
          <w:szCs w:val="24"/>
        </w:rPr>
        <w:t xml:space="preserve">Se cumple tal requisito, toda vez que el acto impugnado fue notificado al recurrente, el </w:t>
      </w:r>
      <w:r w:rsidR="003F44DD" w:rsidRPr="00292F0B">
        <w:rPr>
          <w:rFonts w:ascii="Century Gothic" w:hAnsi="Century Gothic" w:cs="Arial"/>
          <w:bCs/>
          <w:iCs/>
          <w:sz w:val="24"/>
          <w:szCs w:val="24"/>
        </w:rPr>
        <w:t xml:space="preserve">diecisiete </w:t>
      </w:r>
      <w:r w:rsidRPr="00292F0B">
        <w:rPr>
          <w:rFonts w:ascii="Century Gothic" w:hAnsi="Century Gothic" w:cs="Arial"/>
          <w:bCs/>
          <w:iCs/>
          <w:sz w:val="24"/>
          <w:szCs w:val="24"/>
        </w:rPr>
        <w:t>de febrero de dos mil veintitrés, en tanto el correspondiente recurso se interpuso el día veinti</w:t>
      </w:r>
      <w:r w:rsidR="003F44DD" w:rsidRPr="00292F0B">
        <w:rPr>
          <w:rFonts w:ascii="Century Gothic" w:hAnsi="Century Gothic" w:cs="Arial"/>
          <w:bCs/>
          <w:iCs/>
          <w:sz w:val="24"/>
          <w:szCs w:val="24"/>
        </w:rPr>
        <w:t>uno</w:t>
      </w:r>
      <w:r w:rsidRPr="00292F0B">
        <w:rPr>
          <w:rFonts w:ascii="Century Gothic" w:hAnsi="Century Gothic" w:cs="Arial"/>
          <w:bCs/>
          <w:iCs/>
          <w:sz w:val="24"/>
          <w:szCs w:val="24"/>
        </w:rPr>
        <w:t xml:space="preserve"> de febrero del dos mil veintitrés, siendo éste dentro del plazo de cinco días previsto en el artículo 237 de la Ley de Procedimiento para el Estado de Oaxaca, en virtud que el día lunes veinte de febrero del año en curso surtió efectos y empezando a correr el conteo a partir del día </w:t>
      </w:r>
      <w:r w:rsidR="003F44DD" w:rsidRPr="00292F0B">
        <w:rPr>
          <w:rFonts w:ascii="Century Gothic" w:hAnsi="Century Gothic" w:cs="Arial"/>
          <w:bCs/>
          <w:iCs/>
          <w:sz w:val="24"/>
          <w:szCs w:val="24"/>
        </w:rPr>
        <w:t>martes veintiuno al veintisiete de febrero</w:t>
      </w:r>
      <w:r w:rsidRPr="00292F0B">
        <w:rPr>
          <w:rFonts w:ascii="Century Gothic" w:hAnsi="Century Gothic" w:cs="Arial"/>
          <w:bCs/>
          <w:iCs/>
          <w:sz w:val="24"/>
          <w:szCs w:val="24"/>
        </w:rPr>
        <w:t xml:space="preserve"> del presente año (sin ser contados los días sábado y domingo por ser inhábiles, de conformidad con el artículo 39 de la Ley de Procedimiento</w:t>
      </w:r>
      <w:r w:rsidRPr="00292F0B">
        <w:rPr>
          <w:rStyle w:val="Refdenotaalpie"/>
          <w:rFonts w:ascii="Century Gothic" w:hAnsi="Century Gothic" w:cs="Arial"/>
          <w:bCs/>
          <w:iCs/>
          <w:sz w:val="24"/>
          <w:szCs w:val="24"/>
        </w:rPr>
        <w:footnoteReference w:id="2"/>
      </w:r>
      <w:r w:rsidRPr="00292F0B">
        <w:rPr>
          <w:rFonts w:ascii="Century Gothic" w:hAnsi="Century Gothic" w:cs="Arial"/>
          <w:bCs/>
          <w:iCs/>
          <w:sz w:val="24"/>
          <w:szCs w:val="24"/>
        </w:rPr>
        <w:t>).</w:t>
      </w:r>
    </w:p>
    <w:p w14:paraId="7459B61D" w14:textId="77777777" w:rsidR="00DF3A86" w:rsidRPr="00292F0B" w:rsidRDefault="00DF3A86" w:rsidP="00FE770C">
      <w:pPr>
        <w:pStyle w:val="Prrafodelista"/>
        <w:numPr>
          <w:ilvl w:val="0"/>
          <w:numId w:val="18"/>
        </w:numPr>
        <w:spacing w:before="240"/>
        <w:ind w:left="0" w:firstLine="426"/>
        <w:jc w:val="both"/>
        <w:rPr>
          <w:rFonts w:ascii="Century Gothic" w:hAnsi="Century Gothic" w:cs="Arial"/>
          <w:bCs/>
          <w:iCs/>
          <w:sz w:val="24"/>
          <w:szCs w:val="24"/>
        </w:rPr>
      </w:pPr>
      <w:r w:rsidRPr="00292F0B">
        <w:rPr>
          <w:rFonts w:ascii="Century Gothic" w:hAnsi="Century Gothic" w:cs="Arial"/>
          <w:b/>
          <w:iCs/>
          <w:sz w:val="24"/>
          <w:szCs w:val="24"/>
        </w:rPr>
        <w:t xml:space="preserve">Legitimación. </w:t>
      </w:r>
      <w:r w:rsidRPr="00292F0B">
        <w:rPr>
          <w:rFonts w:ascii="Century Gothic" w:hAnsi="Century Gothic" w:cs="Arial"/>
          <w:bCs/>
          <w:iCs/>
          <w:sz w:val="24"/>
          <w:szCs w:val="24"/>
        </w:rPr>
        <w:t>El presente recurso fue interpuesto por parte legítima. Ello, porque de conformidad con señalado en el artículo 236, de la Ley de Procedimiento, el recurso de revisión en que se actúa, puede ser impugnado por las partes.</w:t>
      </w:r>
    </w:p>
    <w:p w14:paraId="30AC7697" w14:textId="00E2CE1A" w:rsidR="00DF3A86" w:rsidRPr="00292F0B" w:rsidRDefault="00DF3A86" w:rsidP="00FE770C">
      <w:pPr>
        <w:pStyle w:val="Prrafodelista"/>
        <w:numPr>
          <w:ilvl w:val="0"/>
          <w:numId w:val="18"/>
        </w:numPr>
        <w:spacing w:before="240"/>
        <w:ind w:left="0" w:firstLine="426"/>
        <w:jc w:val="both"/>
        <w:rPr>
          <w:rFonts w:ascii="Century Gothic" w:hAnsi="Century Gothic" w:cs="Arial"/>
          <w:bCs/>
          <w:color w:val="000000"/>
          <w:sz w:val="24"/>
          <w:szCs w:val="24"/>
        </w:rPr>
      </w:pPr>
      <w:r w:rsidRPr="00292F0B">
        <w:rPr>
          <w:rFonts w:ascii="Century Gothic" w:hAnsi="Century Gothic" w:cs="Arial"/>
          <w:b/>
          <w:color w:val="000000"/>
          <w:sz w:val="24"/>
          <w:szCs w:val="24"/>
        </w:rPr>
        <w:t xml:space="preserve">Idoneidad. </w:t>
      </w:r>
      <w:r w:rsidRPr="00292F0B">
        <w:rPr>
          <w:rFonts w:ascii="Century Gothic" w:hAnsi="Century Gothic" w:cs="Arial"/>
          <w:bCs/>
          <w:color w:val="000000"/>
          <w:sz w:val="24"/>
          <w:szCs w:val="24"/>
        </w:rPr>
        <w:t xml:space="preserve">Ahora, por lo que hace a este requisito, éste se cumple, en virtud que la determinación de la Sala Unitaria de primera Instancia que fue recurrida es la </w:t>
      </w:r>
      <w:r w:rsidRPr="00292F0B">
        <w:rPr>
          <w:rFonts w:ascii="Century Gothic" w:eastAsia="Calibri" w:hAnsi="Century Gothic" w:cs="Arial"/>
          <w:bCs/>
          <w:sz w:val="24"/>
          <w:szCs w:val="24"/>
        </w:rPr>
        <w:t xml:space="preserve">declaración de </w:t>
      </w:r>
      <w:r w:rsidRPr="00292F0B">
        <w:rPr>
          <w:rFonts w:ascii="Century Gothic" w:hAnsi="Century Gothic" w:cs="Arial"/>
          <w:sz w:val="24"/>
          <w:szCs w:val="24"/>
        </w:rPr>
        <w:t xml:space="preserve">la </w:t>
      </w:r>
      <w:r w:rsidRPr="00292F0B">
        <w:rPr>
          <w:rFonts w:ascii="Century Gothic" w:hAnsi="Century Gothic" w:cs="Arial"/>
          <w:b/>
          <w:sz w:val="24"/>
          <w:szCs w:val="24"/>
        </w:rPr>
        <w:t>NULIDAD LISA Y LLANA</w:t>
      </w:r>
      <w:r w:rsidRPr="00292F0B">
        <w:rPr>
          <w:rFonts w:ascii="Century Gothic" w:hAnsi="Century Gothic" w:cs="Arial"/>
          <w:sz w:val="24"/>
          <w:szCs w:val="24"/>
        </w:rPr>
        <w:t xml:space="preserve"> </w:t>
      </w:r>
      <w:r w:rsidR="003F44DD" w:rsidRPr="00292F0B">
        <w:rPr>
          <w:rFonts w:ascii="Century Gothic" w:hAnsi="Century Gothic" w:cs="Arial"/>
          <w:sz w:val="24"/>
          <w:szCs w:val="24"/>
        </w:rPr>
        <w:lastRenderedPageBreak/>
        <w:t xml:space="preserve">del acta de infracción </w:t>
      </w:r>
      <w:r w:rsidR="003F44DD" w:rsidRPr="00292F0B">
        <w:rPr>
          <w:rFonts w:ascii="Century Gothic" w:hAnsi="Century Gothic" w:cs="Arial"/>
          <w:b/>
          <w:sz w:val="24"/>
          <w:szCs w:val="24"/>
        </w:rPr>
        <w:t xml:space="preserve"> 7542 A, </w:t>
      </w:r>
      <w:r w:rsidR="003F44DD" w:rsidRPr="00292F0B">
        <w:rPr>
          <w:rFonts w:ascii="Century Gothic" w:hAnsi="Century Gothic" w:cs="Arial"/>
          <w:sz w:val="24"/>
          <w:szCs w:val="24"/>
        </w:rPr>
        <w:t>de treinta y uno de agosto de dos mil veintidós, emitido por el Policía Vial con número estadístico PV-69, adscrito a la Dirección de Movilidad, dependiente de la Secretaria de Seguridad Ciudadana,  Movilidad y Protección Civil del Municipio de Oaxaca de Juárez</w:t>
      </w:r>
      <w:r w:rsidRPr="00292F0B">
        <w:rPr>
          <w:rFonts w:ascii="Century Gothic" w:hAnsi="Century Gothic" w:cs="Arial"/>
          <w:sz w:val="24"/>
          <w:szCs w:val="24"/>
        </w:rPr>
        <w:t xml:space="preserve">, Oaxaca, </w:t>
      </w:r>
      <w:r w:rsidRPr="00292F0B">
        <w:rPr>
          <w:rFonts w:ascii="Century Gothic" w:hAnsi="Century Gothic" w:cs="Arial"/>
          <w:bCs/>
          <w:color w:val="000000"/>
          <w:sz w:val="24"/>
          <w:szCs w:val="24"/>
        </w:rPr>
        <w:t xml:space="preserve">por ende, se encuentra dentro de ese catálogo que enlista el numeral 236 </w:t>
      </w:r>
      <w:r w:rsidR="003F44DD" w:rsidRPr="00292F0B">
        <w:rPr>
          <w:rFonts w:ascii="Century Gothic" w:hAnsi="Century Gothic" w:cs="Arial"/>
          <w:bCs/>
          <w:color w:val="000000"/>
          <w:sz w:val="24"/>
          <w:szCs w:val="24"/>
        </w:rPr>
        <w:t xml:space="preserve">fracción VII, </w:t>
      </w:r>
      <w:r w:rsidRPr="00292F0B">
        <w:rPr>
          <w:rFonts w:ascii="Century Gothic" w:hAnsi="Century Gothic" w:cs="Arial"/>
          <w:bCs/>
          <w:iCs/>
          <w:sz w:val="24"/>
          <w:szCs w:val="24"/>
        </w:rPr>
        <w:t>de la Ley de Procedimiento</w:t>
      </w:r>
      <w:r w:rsidRPr="00292F0B">
        <w:rPr>
          <w:rFonts w:ascii="Century Gothic" w:hAnsi="Century Gothic" w:cs="Arial"/>
          <w:bCs/>
          <w:color w:val="000000"/>
          <w:sz w:val="24"/>
          <w:szCs w:val="24"/>
        </w:rPr>
        <w:t>, por lo cual procede el recurso de revisión.</w:t>
      </w:r>
    </w:p>
    <w:p w14:paraId="037E745A" w14:textId="77777777" w:rsidR="00C50570" w:rsidRDefault="00DF3A86" w:rsidP="007F0C5F">
      <w:pPr>
        <w:spacing w:before="240" w:after="0"/>
        <w:ind w:right="49" w:firstLine="708"/>
        <w:jc w:val="both"/>
        <w:rPr>
          <w:rFonts w:ascii="Century Gothic" w:hAnsi="Century Gothic" w:cs="Arial"/>
          <w:bCs/>
          <w:sz w:val="24"/>
          <w:szCs w:val="24"/>
        </w:rPr>
      </w:pPr>
      <w:r w:rsidRPr="00292F0B">
        <w:rPr>
          <w:rFonts w:ascii="Century Gothic" w:hAnsi="Century Gothic" w:cs="Arial"/>
          <w:b/>
          <w:bCs/>
          <w:sz w:val="24"/>
          <w:szCs w:val="24"/>
        </w:rPr>
        <w:t>TERCERO</w:t>
      </w:r>
      <w:r w:rsidR="00287983" w:rsidRPr="00292F0B">
        <w:rPr>
          <w:rFonts w:ascii="Century Gothic" w:hAnsi="Century Gothic" w:cs="Arial"/>
          <w:b/>
          <w:bCs/>
          <w:sz w:val="24"/>
          <w:szCs w:val="24"/>
        </w:rPr>
        <w:t>.</w:t>
      </w:r>
      <w:r w:rsidR="00FE770C" w:rsidRPr="00292F0B">
        <w:rPr>
          <w:rFonts w:ascii="Century Gothic" w:hAnsi="Century Gothic" w:cs="Arial"/>
          <w:b/>
          <w:bCs/>
          <w:sz w:val="24"/>
          <w:szCs w:val="24"/>
        </w:rPr>
        <w:t xml:space="preserve"> Agravios.</w:t>
      </w:r>
    </w:p>
    <w:p w14:paraId="7F724576" w14:textId="24218825" w:rsidR="007F0C5F" w:rsidRDefault="00C50570" w:rsidP="007F0C5F">
      <w:pPr>
        <w:spacing w:before="240" w:after="0"/>
        <w:ind w:right="49" w:firstLine="708"/>
        <w:jc w:val="both"/>
        <w:rPr>
          <w:rFonts w:ascii="Century Gothic" w:hAnsi="Century Gothic" w:cs="Arial"/>
          <w:sz w:val="24"/>
          <w:szCs w:val="24"/>
        </w:rPr>
      </w:pPr>
      <w:r>
        <w:rPr>
          <w:rFonts w:ascii="Century Gothic" w:hAnsi="Century Gothic" w:cs="Arial"/>
          <w:bCs/>
          <w:sz w:val="24"/>
          <w:szCs w:val="24"/>
        </w:rPr>
        <w:t xml:space="preserve">7. </w:t>
      </w:r>
      <w:r w:rsidR="00E34263" w:rsidRPr="00292F0B">
        <w:rPr>
          <w:rFonts w:ascii="Century Gothic" w:hAnsi="Century Gothic" w:cs="Arial"/>
          <w:bCs/>
          <w:sz w:val="24"/>
          <w:szCs w:val="24"/>
        </w:rPr>
        <w:t>Los</w:t>
      </w:r>
      <w:r w:rsidR="00EE0690" w:rsidRPr="00292F0B">
        <w:rPr>
          <w:rFonts w:ascii="Century Gothic" w:hAnsi="Century Gothic" w:cs="Arial"/>
          <w:bCs/>
          <w:sz w:val="24"/>
          <w:szCs w:val="24"/>
        </w:rPr>
        <w:t xml:space="preserve"> </w:t>
      </w:r>
      <w:r w:rsidR="00287983" w:rsidRPr="00292F0B">
        <w:rPr>
          <w:rFonts w:ascii="Century Gothic" w:hAnsi="Century Gothic" w:cs="Arial"/>
          <w:bCs/>
          <w:sz w:val="24"/>
          <w:szCs w:val="24"/>
        </w:rPr>
        <w:t>agravio</w:t>
      </w:r>
      <w:r w:rsidR="00E34263" w:rsidRPr="00292F0B">
        <w:rPr>
          <w:rFonts w:ascii="Century Gothic" w:hAnsi="Century Gothic" w:cs="Arial"/>
          <w:bCs/>
          <w:sz w:val="24"/>
          <w:szCs w:val="24"/>
        </w:rPr>
        <w:t>s</w:t>
      </w:r>
      <w:r w:rsidR="00287983" w:rsidRPr="00292F0B">
        <w:rPr>
          <w:rFonts w:ascii="Century Gothic" w:hAnsi="Century Gothic" w:cs="Arial"/>
          <w:bCs/>
          <w:sz w:val="24"/>
          <w:szCs w:val="24"/>
        </w:rPr>
        <w:t xml:space="preserve"> hecho</w:t>
      </w:r>
      <w:r w:rsidR="00E34263" w:rsidRPr="00292F0B">
        <w:rPr>
          <w:rFonts w:ascii="Century Gothic" w:hAnsi="Century Gothic" w:cs="Arial"/>
          <w:bCs/>
          <w:sz w:val="24"/>
          <w:szCs w:val="24"/>
        </w:rPr>
        <w:t>s</w:t>
      </w:r>
      <w:r w:rsidR="00EE0690" w:rsidRPr="00292F0B">
        <w:rPr>
          <w:rFonts w:ascii="Century Gothic" w:hAnsi="Century Gothic" w:cs="Arial"/>
          <w:bCs/>
          <w:sz w:val="24"/>
          <w:szCs w:val="24"/>
        </w:rPr>
        <w:t xml:space="preserve"> valer se encuentra</w:t>
      </w:r>
      <w:r w:rsidR="00E34263" w:rsidRPr="00292F0B">
        <w:rPr>
          <w:rFonts w:ascii="Century Gothic" w:hAnsi="Century Gothic" w:cs="Arial"/>
          <w:bCs/>
          <w:sz w:val="24"/>
          <w:szCs w:val="24"/>
        </w:rPr>
        <w:t>n</w:t>
      </w:r>
      <w:r w:rsidR="00287983" w:rsidRPr="00292F0B">
        <w:rPr>
          <w:rFonts w:ascii="Century Gothic" w:hAnsi="Century Gothic" w:cs="Arial"/>
          <w:bCs/>
          <w:sz w:val="24"/>
          <w:szCs w:val="24"/>
        </w:rPr>
        <w:t xml:space="preserve"> expuesto</w:t>
      </w:r>
      <w:r w:rsidR="00E34263" w:rsidRPr="00292F0B">
        <w:rPr>
          <w:rFonts w:ascii="Century Gothic" w:hAnsi="Century Gothic" w:cs="Arial"/>
          <w:bCs/>
          <w:sz w:val="24"/>
          <w:szCs w:val="24"/>
        </w:rPr>
        <w:t>s</w:t>
      </w:r>
      <w:r w:rsidR="00287983" w:rsidRPr="00292F0B">
        <w:rPr>
          <w:rFonts w:ascii="Century Gothic" w:hAnsi="Century Gothic" w:cs="Arial"/>
          <w:bCs/>
          <w:sz w:val="24"/>
          <w:szCs w:val="24"/>
        </w:rPr>
        <w:t xml:space="preserve"> en el escrito respectivo del recurrente, por lo que no existe necesidad de transcribirlo</w:t>
      </w:r>
      <w:r w:rsidR="00C95675" w:rsidRPr="00292F0B">
        <w:rPr>
          <w:rFonts w:ascii="Century Gothic" w:hAnsi="Century Gothic" w:cs="Arial"/>
          <w:bCs/>
          <w:sz w:val="24"/>
          <w:szCs w:val="24"/>
        </w:rPr>
        <w:t>s</w:t>
      </w:r>
      <w:r w:rsidR="00287983" w:rsidRPr="00292F0B">
        <w:rPr>
          <w:rFonts w:ascii="Century Gothic" w:hAnsi="Century Gothic" w:cs="Arial"/>
          <w:bCs/>
          <w:sz w:val="24"/>
          <w:szCs w:val="24"/>
        </w:rPr>
        <w:t>, al no transgredírsele derecho alguno, como tampoco se vulnera disposición expresa que imponga tal obligación</w:t>
      </w:r>
      <w:r w:rsidR="00287983" w:rsidRPr="00292F0B">
        <w:rPr>
          <w:rFonts w:ascii="Century Gothic" w:hAnsi="Century Gothic" w:cs="Arial"/>
          <w:sz w:val="24"/>
          <w:szCs w:val="24"/>
        </w:rPr>
        <w:t>.</w:t>
      </w:r>
    </w:p>
    <w:p w14:paraId="4C923F7F" w14:textId="3DA4AECF" w:rsidR="001C7636" w:rsidRPr="007F0C5F" w:rsidRDefault="007F0C5F" w:rsidP="007F0C5F">
      <w:pPr>
        <w:spacing w:before="240" w:after="0"/>
        <w:ind w:right="49" w:firstLine="708"/>
        <w:jc w:val="both"/>
        <w:rPr>
          <w:rFonts w:ascii="Century Gothic" w:hAnsi="Century Gothic" w:cs="Arial"/>
          <w:sz w:val="24"/>
          <w:szCs w:val="24"/>
        </w:rPr>
      </w:pPr>
      <w:r>
        <w:rPr>
          <w:rFonts w:ascii="Century Gothic" w:hAnsi="Century Gothic" w:cs="Arial"/>
          <w:sz w:val="24"/>
          <w:szCs w:val="24"/>
        </w:rPr>
        <w:t xml:space="preserve">8. </w:t>
      </w:r>
      <w:r w:rsidR="001C7636" w:rsidRPr="00292F0B">
        <w:rPr>
          <w:rFonts w:ascii="Century Gothic" w:hAnsi="Century Gothic" w:cs="Arial"/>
          <w:bCs/>
          <w:sz w:val="24"/>
          <w:szCs w:val="24"/>
        </w:rPr>
        <w:t xml:space="preserve">Se invoca en apoyo, la </w:t>
      </w:r>
      <w:r w:rsidR="00C75E60" w:rsidRPr="00292F0B">
        <w:rPr>
          <w:rFonts w:ascii="Century Gothic" w:hAnsi="Century Gothic" w:cs="Arial"/>
          <w:bCs/>
          <w:sz w:val="24"/>
          <w:szCs w:val="24"/>
        </w:rPr>
        <w:t>J</w:t>
      </w:r>
      <w:r w:rsidR="001C7636" w:rsidRPr="00292F0B">
        <w:rPr>
          <w:rFonts w:ascii="Century Gothic" w:hAnsi="Century Gothic" w:cs="Arial"/>
          <w:bCs/>
          <w:sz w:val="24"/>
          <w:szCs w:val="24"/>
        </w:rPr>
        <w:t xml:space="preserve">urisprudencia en materia común, número </w:t>
      </w:r>
      <w:r w:rsidR="001C7636" w:rsidRPr="00292F0B">
        <w:rPr>
          <w:rFonts w:ascii="Century Gothic" w:eastAsia="Times New Roman" w:hAnsi="Century Gothic" w:cs="Arial"/>
          <w:sz w:val="24"/>
          <w:szCs w:val="24"/>
        </w:rPr>
        <w:t xml:space="preserve">2a./J. 58/2010, de la Novena Época, emitida por la Segunda Sala de la Suprema Corte de Justicia de la Nación, </w:t>
      </w:r>
      <w:r w:rsidR="001C7636" w:rsidRPr="00292F0B">
        <w:rPr>
          <w:rFonts w:ascii="Century Gothic" w:hAnsi="Century Gothic" w:cs="Arial"/>
          <w:bCs/>
          <w:sz w:val="24"/>
          <w:szCs w:val="24"/>
        </w:rPr>
        <w:t xml:space="preserve">con número de registro digital </w:t>
      </w:r>
      <w:r w:rsidR="001C7636" w:rsidRPr="00292F0B">
        <w:rPr>
          <w:rFonts w:ascii="Century Gothic" w:eastAsia="Times New Roman" w:hAnsi="Century Gothic" w:cs="Arial"/>
          <w:sz w:val="24"/>
          <w:szCs w:val="24"/>
        </w:rPr>
        <w:t xml:space="preserve">164618, publicada en el Semanario Judicial de la Federación y su Gaceta. En el Tomo XXXI, </w:t>
      </w:r>
      <w:proofErr w:type="gramStart"/>
      <w:r w:rsidR="001C7636" w:rsidRPr="00292F0B">
        <w:rPr>
          <w:rFonts w:ascii="Century Gothic" w:eastAsia="Times New Roman" w:hAnsi="Century Gothic" w:cs="Arial"/>
          <w:sz w:val="24"/>
          <w:szCs w:val="24"/>
        </w:rPr>
        <w:t>Mayo</w:t>
      </w:r>
      <w:proofErr w:type="gramEnd"/>
      <w:r w:rsidR="001C7636" w:rsidRPr="00292F0B">
        <w:rPr>
          <w:rFonts w:ascii="Century Gothic" w:eastAsia="Times New Roman" w:hAnsi="Century Gothic" w:cs="Arial"/>
          <w:sz w:val="24"/>
          <w:szCs w:val="24"/>
        </w:rPr>
        <w:t xml:space="preserve"> de 2010, visible a página 830, </w:t>
      </w:r>
      <w:r w:rsidR="001C7636" w:rsidRPr="00292F0B">
        <w:rPr>
          <w:rFonts w:ascii="Century Gothic" w:hAnsi="Century Gothic" w:cs="Arial"/>
          <w:bCs/>
          <w:sz w:val="24"/>
          <w:szCs w:val="24"/>
        </w:rPr>
        <w:t xml:space="preserve">bajo el rubro y texto siguiente: </w:t>
      </w:r>
    </w:p>
    <w:p w14:paraId="219AD011" w14:textId="42DF2B39" w:rsidR="001C7636" w:rsidRPr="00292F0B" w:rsidRDefault="001C7636" w:rsidP="00FE770C">
      <w:pPr>
        <w:spacing w:before="240"/>
        <w:ind w:left="567" w:right="616"/>
        <w:jc w:val="both"/>
        <w:rPr>
          <w:rFonts w:ascii="Century Gothic" w:eastAsia="Times New Roman" w:hAnsi="Century Gothic" w:cs="Arial"/>
          <w:i/>
          <w:iCs/>
          <w:sz w:val="24"/>
          <w:szCs w:val="24"/>
        </w:rPr>
      </w:pPr>
      <w:r w:rsidRPr="00292F0B">
        <w:rPr>
          <w:rFonts w:ascii="Century Gothic" w:eastAsia="Times New Roman" w:hAnsi="Century Gothic" w:cs="Arial"/>
          <w:b/>
          <w:bCs/>
          <w:i/>
          <w:iCs/>
          <w:sz w:val="24"/>
          <w:szCs w:val="24"/>
        </w:rPr>
        <w:t>“CONCEPTOS DE VIOLACIÓN O AGRAVIOS. PARA CUMPLIR CON LOS PRINCIPIOS DE CONGRUENCIA Y EXHAUSTIVIDAD EN LAS SENTENCIAS DE AMPARO ES INNECESARIA SU TRANSCRIPCIÓN</w:t>
      </w:r>
      <w:r w:rsidR="00FE770C" w:rsidRPr="00292F0B">
        <w:rPr>
          <w:rFonts w:ascii="Century Gothic" w:eastAsia="Times New Roman" w:hAnsi="Century Gothic" w:cs="Arial"/>
          <w:b/>
          <w:bCs/>
          <w:i/>
          <w:iCs/>
          <w:sz w:val="24"/>
          <w:szCs w:val="24"/>
        </w:rPr>
        <w:t>”</w:t>
      </w:r>
      <w:r w:rsidRPr="00292F0B">
        <w:rPr>
          <w:rFonts w:ascii="Century Gothic" w:eastAsia="Times New Roman" w:hAnsi="Century Gothic" w:cs="Arial"/>
          <w:b/>
          <w:bCs/>
          <w:i/>
          <w:iCs/>
          <w:sz w:val="24"/>
          <w:szCs w:val="24"/>
        </w:rPr>
        <w:t xml:space="preserve">. </w:t>
      </w:r>
      <w:r w:rsidR="00FE770C" w:rsidRPr="00292F0B">
        <w:rPr>
          <w:rStyle w:val="Refdenotaalpie"/>
          <w:rFonts w:ascii="Century Gothic" w:eastAsia="Times New Roman" w:hAnsi="Century Gothic" w:cs="Arial"/>
          <w:b/>
          <w:bCs/>
          <w:i/>
          <w:iCs/>
          <w:sz w:val="24"/>
          <w:szCs w:val="24"/>
        </w:rPr>
        <w:footnoteReference w:id="3"/>
      </w:r>
    </w:p>
    <w:p w14:paraId="0E5C0504" w14:textId="77777777" w:rsidR="00C50570" w:rsidRDefault="00287983" w:rsidP="00FE770C">
      <w:pPr>
        <w:spacing w:before="240"/>
        <w:ind w:firstLine="708"/>
        <w:jc w:val="both"/>
        <w:rPr>
          <w:rFonts w:ascii="Century Gothic" w:eastAsia="Calibri" w:hAnsi="Century Gothic" w:cs="Arial"/>
          <w:bCs/>
          <w:sz w:val="24"/>
          <w:szCs w:val="24"/>
        </w:rPr>
      </w:pPr>
      <w:r w:rsidRPr="00292F0B">
        <w:rPr>
          <w:rFonts w:ascii="Century Gothic" w:hAnsi="Century Gothic" w:cs="Arial"/>
          <w:b/>
          <w:bCs/>
          <w:sz w:val="24"/>
          <w:szCs w:val="24"/>
        </w:rPr>
        <w:t>TERCERO.</w:t>
      </w:r>
      <w:r w:rsidRPr="00292F0B">
        <w:rPr>
          <w:rFonts w:ascii="Century Gothic" w:eastAsia="Calibri" w:hAnsi="Century Gothic" w:cs="Arial"/>
          <w:b/>
          <w:bCs/>
          <w:sz w:val="24"/>
          <w:szCs w:val="24"/>
        </w:rPr>
        <w:t xml:space="preserve"> </w:t>
      </w:r>
      <w:r w:rsidR="00FE770C" w:rsidRPr="00292F0B">
        <w:rPr>
          <w:rFonts w:ascii="Century Gothic" w:eastAsia="Calibri" w:hAnsi="Century Gothic" w:cs="Arial"/>
          <w:b/>
          <w:bCs/>
          <w:sz w:val="24"/>
          <w:szCs w:val="24"/>
        </w:rPr>
        <w:t>Estudio y análisis de los agravios</w:t>
      </w:r>
      <w:r w:rsidR="00FE770C" w:rsidRPr="00292F0B">
        <w:rPr>
          <w:rFonts w:ascii="Century Gothic" w:eastAsia="Calibri" w:hAnsi="Century Gothic" w:cs="Arial"/>
          <w:bCs/>
          <w:sz w:val="24"/>
          <w:szCs w:val="24"/>
        </w:rPr>
        <w:t>.</w:t>
      </w:r>
    </w:p>
    <w:p w14:paraId="7275331F" w14:textId="3545BF4E" w:rsidR="00812C99" w:rsidRPr="00292F0B" w:rsidRDefault="00C50570" w:rsidP="00FE770C">
      <w:pPr>
        <w:spacing w:before="240"/>
        <w:ind w:firstLine="708"/>
        <w:jc w:val="both"/>
        <w:rPr>
          <w:rFonts w:ascii="Century Gothic" w:eastAsia="Calibri" w:hAnsi="Century Gothic" w:cs="Arial"/>
          <w:bCs/>
          <w:sz w:val="24"/>
          <w:szCs w:val="24"/>
        </w:rPr>
      </w:pPr>
      <w:r>
        <w:rPr>
          <w:rFonts w:ascii="Century Gothic" w:eastAsia="Calibri" w:hAnsi="Century Gothic" w:cs="Arial"/>
          <w:bCs/>
          <w:sz w:val="24"/>
          <w:szCs w:val="24"/>
        </w:rPr>
        <w:t xml:space="preserve">9. </w:t>
      </w:r>
      <w:r w:rsidR="00167772" w:rsidRPr="00292F0B">
        <w:rPr>
          <w:rFonts w:ascii="Century Gothic" w:eastAsia="Calibri" w:hAnsi="Century Gothic" w:cs="Arial"/>
          <w:bCs/>
          <w:sz w:val="24"/>
          <w:szCs w:val="24"/>
        </w:rPr>
        <w:t>Del análisis de</w:t>
      </w:r>
      <w:r w:rsidR="00DC5F95" w:rsidRPr="00292F0B">
        <w:rPr>
          <w:rFonts w:ascii="Century Gothic" w:eastAsia="Calibri" w:hAnsi="Century Gothic" w:cs="Arial"/>
          <w:bCs/>
          <w:sz w:val="24"/>
          <w:szCs w:val="24"/>
        </w:rPr>
        <w:t xml:space="preserve">l </w:t>
      </w:r>
      <w:r w:rsidR="00DC5F95" w:rsidRPr="005F4BB6">
        <w:rPr>
          <w:rFonts w:ascii="Century Gothic" w:eastAsia="Calibri" w:hAnsi="Century Gothic" w:cs="Arial"/>
          <w:b/>
          <w:bCs/>
          <w:sz w:val="24"/>
          <w:szCs w:val="24"/>
        </w:rPr>
        <w:t>primer agravio</w:t>
      </w:r>
      <w:r w:rsidR="00DC5F95" w:rsidRPr="00292F0B">
        <w:rPr>
          <w:rFonts w:ascii="Century Gothic" w:eastAsia="Calibri" w:hAnsi="Century Gothic" w:cs="Arial"/>
          <w:bCs/>
          <w:sz w:val="24"/>
          <w:szCs w:val="24"/>
        </w:rPr>
        <w:t xml:space="preserve"> hecho por el recurrente, donde aduce que e</w:t>
      </w:r>
      <w:r w:rsidR="00655491" w:rsidRPr="00292F0B">
        <w:rPr>
          <w:rFonts w:ascii="Century Gothic" w:eastAsia="Calibri" w:hAnsi="Century Gothic" w:cs="Arial"/>
          <w:sz w:val="24"/>
          <w:szCs w:val="24"/>
        </w:rPr>
        <w:t xml:space="preserve">l considerando </w:t>
      </w:r>
      <w:r w:rsidR="00DC5F95" w:rsidRPr="00292F0B">
        <w:rPr>
          <w:rFonts w:ascii="Century Gothic" w:eastAsia="Calibri" w:hAnsi="Century Gothic" w:cs="Arial"/>
          <w:sz w:val="24"/>
          <w:szCs w:val="24"/>
        </w:rPr>
        <w:t>cuarto</w:t>
      </w:r>
      <w:r w:rsidR="00655491" w:rsidRPr="00292F0B">
        <w:rPr>
          <w:rFonts w:ascii="Century Gothic" w:eastAsia="Calibri" w:hAnsi="Century Gothic" w:cs="Arial"/>
          <w:sz w:val="24"/>
          <w:szCs w:val="24"/>
        </w:rPr>
        <w:t xml:space="preserve"> de la sentencia que </w:t>
      </w:r>
      <w:r w:rsidR="000C1407" w:rsidRPr="00292F0B">
        <w:rPr>
          <w:rFonts w:ascii="Century Gothic" w:eastAsia="Calibri" w:hAnsi="Century Gothic" w:cs="Arial"/>
          <w:sz w:val="24"/>
          <w:szCs w:val="24"/>
        </w:rPr>
        <w:t>combate</w:t>
      </w:r>
      <w:r w:rsidR="00655491" w:rsidRPr="00292F0B">
        <w:rPr>
          <w:rFonts w:ascii="Century Gothic" w:eastAsia="Calibri" w:hAnsi="Century Gothic" w:cs="Arial"/>
          <w:sz w:val="24"/>
          <w:szCs w:val="24"/>
        </w:rPr>
        <w:t xml:space="preserve">, viola </w:t>
      </w:r>
      <w:r w:rsidR="0040309B" w:rsidRPr="00292F0B">
        <w:rPr>
          <w:rFonts w:ascii="Century Gothic" w:eastAsia="Calibri" w:hAnsi="Century Gothic" w:cs="Arial"/>
          <w:bCs/>
          <w:sz w:val="24"/>
          <w:szCs w:val="24"/>
        </w:rPr>
        <w:t xml:space="preserve">en perjuicio de la autoridad que representa </w:t>
      </w:r>
      <w:r w:rsidR="00675E2C" w:rsidRPr="00292F0B">
        <w:rPr>
          <w:rFonts w:ascii="Century Gothic" w:eastAsia="Calibri" w:hAnsi="Century Gothic" w:cs="Arial"/>
          <w:bCs/>
          <w:sz w:val="24"/>
          <w:szCs w:val="24"/>
        </w:rPr>
        <w:t xml:space="preserve">los </w:t>
      </w:r>
      <w:r w:rsidR="00812C99" w:rsidRPr="00292F0B">
        <w:rPr>
          <w:rFonts w:ascii="Century Gothic" w:eastAsia="Calibri" w:hAnsi="Century Gothic" w:cs="Arial"/>
          <w:bCs/>
          <w:sz w:val="24"/>
          <w:szCs w:val="24"/>
        </w:rPr>
        <w:t>artículos 14 y 16 de l</w:t>
      </w:r>
      <w:r w:rsidR="00675E2C" w:rsidRPr="00292F0B">
        <w:rPr>
          <w:rFonts w:ascii="Century Gothic" w:eastAsia="Calibri" w:hAnsi="Century Gothic" w:cs="Arial"/>
          <w:bCs/>
          <w:sz w:val="24"/>
          <w:szCs w:val="24"/>
        </w:rPr>
        <w:t xml:space="preserve">a </w:t>
      </w:r>
      <w:r w:rsidR="00675E2C" w:rsidRPr="00292F0B">
        <w:rPr>
          <w:rFonts w:ascii="Century Gothic" w:eastAsia="Calibri" w:hAnsi="Century Gothic" w:cs="Arial"/>
          <w:bCs/>
          <w:sz w:val="24"/>
          <w:szCs w:val="24"/>
        </w:rPr>
        <w:lastRenderedPageBreak/>
        <w:t>Constitución Política de los E</w:t>
      </w:r>
      <w:r w:rsidR="00812C99" w:rsidRPr="00292F0B">
        <w:rPr>
          <w:rFonts w:ascii="Century Gothic" w:eastAsia="Calibri" w:hAnsi="Century Gothic" w:cs="Arial"/>
          <w:bCs/>
          <w:sz w:val="24"/>
          <w:szCs w:val="24"/>
        </w:rPr>
        <w:t xml:space="preserve">stados Unidos Mexicanos </w:t>
      </w:r>
      <w:r w:rsidR="00675E2C" w:rsidRPr="00292F0B">
        <w:rPr>
          <w:rFonts w:ascii="Century Gothic" w:eastAsia="Calibri" w:hAnsi="Century Gothic" w:cs="Arial"/>
          <w:bCs/>
          <w:sz w:val="24"/>
          <w:szCs w:val="24"/>
        </w:rPr>
        <w:t>y</w:t>
      </w:r>
      <w:r w:rsidR="00812C99" w:rsidRPr="00292F0B">
        <w:rPr>
          <w:rFonts w:ascii="Century Gothic" w:eastAsia="Calibri" w:hAnsi="Century Gothic" w:cs="Arial"/>
          <w:bCs/>
          <w:sz w:val="24"/>
          <w:szCs w:val="24"/>
        </w:rPr>
        <w:t xml:space="preserve"> 207, fracción II de la Ley de Procedimiento y Justicia Administrativa para el Estado de Oaxaca, </w:t>
      </w:r>
      <w:r w:rsidR="00655491" w:rsidRPr="00292F0B">
        <w:rPr>
          <w:rFonts w:ascii="Century Gothic" w:eastAsia="Calibri" w:hAnsi="Century Gothic" w:cs="Arial"/>
          <w:bCs/>
          <w:sz w:val="24"/>
          <w:szCs w:val="24"/>
        </w:rPr>
        <w:t xml:space="preserve">en virtud de que </w:t>
      </w:r>
      <w:r w:rsidR="00812C99" w:rsidRPr="00292F0B">
        <w:rPr>
          <w:rFonts w:ascii="Century Gothic" w:eastAsia="Calibri" w:hAnsi="Century Gothic" w:cs="Arial"/>
          <w:bCs/>
          <w:sz w:val="24"/>
          <w:szCs w:val="24"/>
        </w:rPr>
        <w:t>no está emitida de forma congruente con el acto impugnado</w:t>
      </w:r>
      <w:r w:rsidR="00655491" w:rsidRPr="00292F0B">
        <w:rPr>
          <w:rFonts w:ascii="Century Gothic" w:eastAsia="Calibri" w:hAnsi="Century Gothic" w:cs="Arial"/>
          <w:bCs/>
          <w:sz w:val="24"/>
          <w:szCs w:val="24"/>
        </w:rPr>
        <w:t xml:space="preserve">, ya que a pesar de que </w:t>
      </w:r>
      <w:r w:rsidR="00812C99" w:rsidRPr="00292F0B">
        <w:rPr>
          <w:rFonts w:ascii="Century Gothic" w:eastAsia="Calibri" w:hAnsi="Century Gothic" w:cs="Arial"/>
          <w:bCs/>
          <w:sz w:val="24"/>
          <w:szCs w:val="24"/>
        </w:rPr>
        <w:t>quedó acreditada la correcta fundamentación y motivación</w:t>
      </w:r>
      <w:r w:rsidR="00655491" w:rsidRPr="00292F0B">
        <w:rPr>
          <w:rFonts w:ascii="Century Gothic" w:eastAsia="Calibri" w:hAnsi="Century Gothic" w:cs="Arial"/>
          <w:bCs/>
          <w:sz w:val="24"/>
          <w:szCs w:val="24"/>
        </w:rPr>
        <w:t xml:space="preserve"> del acto</w:t>
      </w:r>
      <w:r w:rsidR="00812C99" w:rsidRPr="00292F0B">
        <w:rPr>
          <w:rFonts w:ascii="Century Gothic" w:eastAsia="Calibri" w:hAnsi="Century Gothic" w:cs="Arial"/>
          <w:bCs/>
          <w:sz w:val="24"/>
          <w:szCs w:val="24"/>
        </w:rPr>
        <w:t xml:space="preserve">, </w:t>
      </w:r>
      <w:r w:rsidR="007D44B7" w:rsidRPr="00292F0B">
        <w:rPr>
          <w:rFonts w:ascii="Century Gothic" w:eastAsia="Calibri" w:hAnsi="Century Gothic" w:cs="Arial"/>
          <w:bCs/>
          <w:sz w:val="24"/>
          <w:szCs w:val="24"/>
        </w:rPr>
        <w:t xml:space="preserve">y con ello </w:t>
      </w:r>
      <w:r w:rsidR="00655491" w:rsidRPr="00292F0B">
        <w:rPr>
          <w:rFonts w:ascii="Century Gothic" w:eastAsia="Calibri" w:hAnsi="Century Gothic" w:cs="Arial"/>
          <w:bCs/>
          <w:sz w:val="24"/>
          <w:szCs w:val="24"/>
        </w:rPr>
        <w:t>la validez del mismo, l</w:t>
      </w:r>
      <w:r w:rsidR="001810D5" w:rsidRPr="00292F0B">
        <w:rPr>
          <w:rFonts w:ascii="Century Gothic" w:eastAsia="Calibri" w:hAnsi="Century Gothic" w:cs="Arial"/>
          <w:bCs/>
          <w:sz w:val="24"/>
          <w:szCs w:val="24"/>
        </w:rPr>
        <w:t>a</w:t>
      </w:r>
      <w:r w:rsidR="00655491" w:rsidRPr="00292F0B">
        <w:rPr>
          <w:rFonts w:ascii="Century Gothic" w:eastAsia="Calibri" w:hAnsi="Century Gothic" w:cs="Arial"/>
          <w:bCs/>
          <w:sz w:val="24"/>
          <w:szCs w:val="24"/>
        </w:rPr>
        <w:t xml:space="preserve"> </w:t>
      </w:r>
      <w:r w:rsidR="00593EC0">
        <w:rPr>
          <w:rFonts w:ascii="Century Gothic" w:eastAsia="Calibri" w:hAnsi="Century Gothic" w:cs="Arial"/>
          <w:bCs/>
          <w:sz w:val="24"/>
          <w:szCs w:val="24"/>
        </w:rPr>
        <w:t>Magistrada</w:t>
      </w:r>
      <w:r w:rsidR="00812C99" w:rsidRPr="00292F0B">
        <w:rPr>
          <w:rFonts w:ascii="Century Gothic" w:eastAsia="Calibri" w:hAnsi="Century Gothic" w:cs="Arial"/>
          <w:bCs/>
          <w:i/>
          <w:iCs/>
          <w:sz w:val="24"/>
          <w:szCs w:val="24"/>
        </w:rPr>
        <w:t xml:space="preserve"> </w:t>
      </w:r>
      <w:r w:rsidR="00655491" w:rsidRPr="00292F0B">
        <w:rPr>
          <w:rFonts w:ascii="Century Gothic" w:eastAsia="Calibri" w:hAnsi="Century Gothic" w:cs="Arial"/>
          <w:bCs/>
          <w:sz w:val="24"/>
          <w:szCs w:val="24"/>
        </w:rPr>
        <w:t>omi</w:t>
      </w:r>
      <w:r w:rsidR="001810D5" w:rsidRPr="00292F0B">
        <w:rPr>
          <w:rFonts w:ascii="Century Gothic" w:eastAsia="Calibri" w:hAnsi="Century Gothic" w:cs="Arial"/>
          <w:bCs/>
          <w:sz w:val="24"/>
          <w:szCs w:val="24"/>
        </w:rPr>
        <w:t xml:space="preserve">tió razonarla </w:t>
      </w:r>
      <w:r w:rsidR="00655491" w:rsidRPr="00292F0B">
        <w:rPr>
          <w:rFonts w:ascii="Century Gothic" w:eastAsia="Calibri" w:hAnsi="Century Gothic" w:cs="Arial"/>
          <w:bCs/>
          <w:sz w:val="24"/>
          <w:szCs w:val="24"/>
        </w:rPr>
        <w:t xml:space="preserve">para declarar </w:t>
      </w:r>
      <w:r w:rsidR="001810D5" w:rsidRPr="00292F0B">
        <w:rPr>
          <w:rFonts w:ascii="Century Gothic" w:eastAsia="Calibri" w:hAnsi="Century Gothic" w:cs="Arial"/>
          <w:bCs/>
          <w:sz w:val="24"/>
          <w:szCs w:val="24"/>
        </w:rPr>
        <w:t xml:space="preserve">su nulidad </w:t>
      </w:r>
      <w:r w:rsidR="00812C99" w:rsidRPr="00292F0B">
        <w:rPr>
          <w:rFonts w:ascii="Century Gothic" w:eastAsia="Calibri" w:hAnsi="Century Gothic" w:cs="Arial"/>
          <w:bCs/>
          <w:sz w:val="24"/>
          <w:szCs w:val="24"/>
        </w:rPr>
        <w:t>lisa y llana</w:t>
      </w:r>
      <w:r w:rsidR="001810D5" w:rsidRPr="00292F0B">
        <w:rPr>
          <w:rFonts w:ascii="Century Gothic" w:eastAsia="Calibri" w:hAnsi="Century Gothic" w:cs="Arial"/>
          <w:bCs/>
          <w:sz w:val="24"/>
          <w:szCs w:val="24"/>
        </w:rPr>
        <w:t>.</w:t>
      </w:r>
    </w:p>
    <w:p w14:paraId="476AC4DF" w14:textId="52D0730C" w:rsidR="00092E19" w:rsidRPr="00292F0B" w:rsidRDefault="007F0C5F" w:rsidP="007F0C5F">
      <w:pPr>
        <w:spacing w:before="240"/>
        <w:ind w:firstLine="708"/>
        <w:jc w:val="both"/>
        <w:rPr>
          <w:rFonts w:ascii="Century Gothic" w:eastAsia="Calibri" w:hAnsi="Century Gothic" w:cs="Arial"/>
          <w:bCs/>
          <w:sz w:val="24"/>
          <w:szCs w:val="24"/>
        </w:rPr>
      </w:pPr>
      <w:r>
        <w:rPr>
          <w:rFonts w:ascii="Century Gothic" w:eastAsia="Calibri" w:hAnsi="Century Gothic" w:cs="Arial"/>
          <w:bCs/>
          <w:sz w:val="24"/>
          <w:szCs w:val="24"/>
        </w:rPr>
        <w:t xml:space="preserve">10. </w:t>
      </w:r>
      <w:r w:rsidR="00092E19" w:rsidRPr="00292F0B">
        <w:rPr>
          <w:rFonts w:ascii="Century Gothic" w:eastAsia="Calibri" w:hAnsi="Century Gothic" w:cs="Arial"/>
          <w:bCs/>
          <w:sz w:val="24"/>
          <w:szCs w:val="24"/>
        </w:rPr>
        <w:t>R</w:t>
      </w:r>
      <w:r w:rsidR="00655491" w:rsidRPr="00292F0B">
        <w:rPr>
          <w:rFonts w:ascii="Century Gothic" w:eastAsia="Calibri" w:hAnsi="Century Gothic" w:cs="Arial"/>
          <w:bCs/>
          <w:sz w:val="24"/>
          <w:szCs w:val="24"/>
        </w:rPr>
        <w:t xml:space="preserve">efiere que la </w:t>
      </w:r>
      <w:r w:rsidR="00234A27" w:rsidRPr="00292F0B">
        <w:rPr>
          <w:rFonts w:ascii="Century Gothic" w:eastAsia="Calibri" w:hAnsi="Century Gothic" w:cs="Arial"/>
          <w:bCs/>
          <w:sz w:val="24"/>
          <w:szCs w:val="24"/>
        </w:rPr>
        <w:t xml:space="preserve">entonces </w:t>
      </w:r>
      <w:r w:rsidR="00655491" w:rsidRPr="00292F0B">
        <w:rPr>
          <w:rFonts w:ascii="Century Gothic" w:eastAsia="Calibri" w:hAnsi="Century Gothic" w:cs="Arial"/>
          <w:bCs/>
          <w:sz w:val="24"/>
          <w:szCs w:val="24"/>
        </w:rPr>
        <w:t xml:space="preserve">titular de la </w:t>
      </w:r>
      <w:r w:rsidR="006B0008" w:rsidRPr="00292F0B">
        <w:rPr>
          <w:rFonts w:ascii="Century Gothic" w:eastAsia="Calibri" w:hAnsi="Century Gothic" w:cs="Arial"/>
          <w:bCs/>
          <w:sz w:val="24"/>
          <w:szCs w:val="24"/>
        </w:rPr>
        <w:t>Cuart</w:t>
      </w:r>
      <w:r w:rsidR="00092E19" w:rsidRPr="00292F0B">
        <w:rPr>
          <w:rFonts w:ascii="Century Gothic" w:eastAsia="Calibri" w:hAnsi="Century Gothic" w:cs="Arial"/>
          <w:bCs/>
          <w:sz w:val="24"/>
          <w:szCs w:val="24"/>
        </w:rPr>
        <w:t>a Sala Unitaria de Primera Instancia, le causa</w:t>
      </w:r>
      <w:r w:rsidR="00655491" w:rsidRPr="00292F0B">
        <w:rPr>
          <w:rFonts w:ascii="Century Gothic" w:eastAsia="Calibri" w:hAnsi="Century Gothic" w:cs="Arial"/>
          <w:bCs/>
          <w:sz w:val="24"/>
          <w:szCs w:val="24"/>
        </w:rPr>
        <w:t xml:space="preserve"> agravio a su investidura como P</w:t>
      </w:r>
      <w:r w:rsidR="00092E19" w:rsidRPr="00292F0B">
        <w:rPr>
          <w:rFonts w:ascii="Century Gothic" w:eastAsia="Calibri" w:hAnsi="Century Gothic" w:cs="Arial"/>
          <w:bCs/>
          <w:sz w:val="24"/>
          <w:szCs w:val="24"/>
        </w:rPr>
        <w:t xml:space="preserve">olicía </w:t>
      </w:r>
      <w:r w:rsidR="003626E5" w:rsidRPr="00292F0B">
        <w:rPr>
          <w:rFonts w:ascii="Century Gothic" w:eastAsia="Calibri" w:hAnsi="Century Gothic" w:cs="Arial"/>
          <w:bCs/>
          <w:sz w:val="24"/>
          <w:szCs w:val="24"/>
        </w:rPr>
        <w:t>Vial M</w:t>
      </w:r>
      <w:r w:rsidR="00092E19" w:rsidRPr="00292F0B">
        <w:rPr>
          <w:rFonts w:ascii="Century Gothic" w:eastAsia="Calibri" w:hAnsi="Century Gothic" w:cs="Arial"/>
          <w:bCs/>
          <w:sz w:val="24"/>
          <w:szCs w:val="24"/>
        </w:rPr>
        <w:t xml:space="preserve">unicipal, ya que en primer término el acta de infracción con número de folio </w:t>
      </w:r>
      <w:r w:rsidR="00BE5DFA" w:rsidRPr="00292F0B">
        <w:rPr>
          <w:rFonts w:ascii="Century Gothic" w:eastAsia="Calibri" w:hAnsi="Century Gothic" w:cs="Arial"/>
          <w:bCs/>
          <w:sz w:val="24"/>
          <w:szCs w:val="24"/>
        </w:rPr>
        <w:t xml:space="preserve">7542-A </w:t>
      </w:r>
      <w:r w:rsidR="00092E19" w:rsidRPr="00292F0B">
        <w:rPr>
          <w:rFonts w:ascii="Century Gothic" w:eastAsia="Calibri" w:hAnsi="Century Gothic" w:cs="Arial"/>
          <w:bCs/>
          <w:sz w:val="24"/>
          <w:szCs w:val="24"/>
        </w:rPr>
        <w:t xml:space="preserve">de </w:t>
      </w:r>
      <w:r w:rsidR="00BE5DFA" w:rsidRPr="00292F0B">
        <w:rPr>
          <w:rFonts w:ascii="Century Gothic" w:eastAsia="Calibri" w:hAnsi="Century Gothic" w:cs="Arial"/>
          <w:bCs/>
          <w:sz w:val="24"/>
          <w:szCs w:val="24"/>
        </w:rPr>
        <w:t>fecha treinta y uno de agosto</w:t>
      </w:r>
      <w:r w:rsidR="006B0008" w:rsidRPr="00292F0B">
        <w:rPr>
          <w:rFonts w:ascii="Century Gothic" w:eastAsia="Calibri" w:hAnsi="Century Gothic" w:cs="Arial"/>
          <w:bCs/>
          <w:sz w:val="24"/>
          <w:szCs w:val="24"/>
        </w:rPr>
        <w:t xml:space="preserve"> de d</w:t>
      </w:r>
      <w:r w:rsidR="003626E5" w:rsidRPr="00292F0B">
        <w:rPr>
          <w:rFonts w:ascii="Century Gothic" w:eastAsia="Calibri" w:hAnsi="Century Gothic" w:cs="Arial"/>
          <w:bCs/>
          <w:sz w:val="24"/>
          <w:szCs w:val="24"/>
        </w:rPr>
        <w:t>os mil veinti</w:t>
      </w:r>
      <w:r w:rsidR="006B0008" w:rsidRPr="00292F0B">
        <w:rPr>
          <w:rFonts w:ascii="Century Gothic" w:eastAsia="Calibri" w:hAnsi="Century Gothic" w:cs="Arial"/>
          <w:bCs/>
          <w:sz w:val="24"/>
          <w:szCs w:val="24"/>
        </w:rPr>
        <w:t xml:space="preserve">dós, </w:t>
      </w:r>
      <w:r w:rsidR="00092E19" w:rsidRPr="00292F0B">
        <w:rPr>
          <w:rFonts w:ascii="Century Gothic" w:eastAsia="Calibri" w:hAnsi="Century Gothic" w:cs="Arial"/>
          <w:bCs/>
          <w:sz w:val="24"/>
          <w:szCs w:val="24"/>
        </w:rPr>
        <w:t>se</w:t>
      </w:r>
      <w:r w:rsidR="00BE5DFA" w:rsidRPr="00292F0B">
        <w:rPr>
          <w:rFonts w:ascii="Century Gothic" w:eastAsia="Calibri" w:hAnsi="Century Gothic" w:cs="Arial"/>
          <w:bCs/>
          <w:sz w:val="24"/>
          <w:szCs w:val="24"/>
        </w:rPr>
        <w:t xml:space="preserve"> indicó como fundamentación los artículos 16 fracción II, 70 y 130 del </w:t>
      </w:r>
      <w:r w:rsidR="00092E19" w:rsidRPr="00292F0B">
        <w:rPr>
          <w:rFonts w:ascii="Century Gothic" w:eastAsia="Calibri" w:hAnsi="Century Gothic" w:cs="Arial"/>
          <w:bCs/>
          <w:sz w:val="24"/>
          <w:szCs w:val="24"/>
        </w:rPr>
        <w:t>Reglamento de Vialidad para el Municipio de</w:t>
      </w:r>
      <w:r w:rsidR="00C54E60" w:rsidRPr="00292F0B">
        <w:rPr>
          <w:rFonts w:ascii="Century Gothic" w:eastAsia="Calibri" w:hAnsi="Century Gothic" w:cs="Arial"/>
          <w:bCs/>
          <w:sz w:val="24"/>
          <w:szCs w:val="24"/>
        </w:rPr>
        <w:t xml:space="preserve"> </w:t>
      </w:r>
      <w:r w:rsidR="00092E19" w:rsidRPr="00292F0B">
        <w:rPr>
          <w:rFonts w:ascii="Century Gothic" w:eastAsia="Calibri" w:hAnsi="Century Gothic" w:cs="Arial"/>
          <w:bCs/>
          <w:sz w:val="24"/>
          <w:szCs w:val="24"/>
        </w:rPr>
        <w:t xml:space="preserve"> Oaxaca de Juárez, Oaxaca</w:t>
      </w:r>
      <w:r w:rsidR="006B0008" w:rsidRPr="00292F0B">
        <w:rPr>
          <w:rFonts w:ascii="Century Gothic" w:eastAsia="Calibri" w:hAnsi="Century Gothic" w:cs="Arial"/>
          <w:bCs/>
          <w:sz w:val="24"/>
          <w:szCs w:val="24"/>
        </w:rPr>
        <w:t xml:space="preserve">, </w:t>
      </w:r>
      <w:r w:rsidR="00092E19" w:rsidRPr="00292F0B">
        <w:rPr>
          <w:rFonts w:ascii="Century Gothic" w:eastAsia="Calibri" w:hAnsi="Century Gothic" w:cs="Arial"/>
          <w:bCs/>
          <w:sz w:val="24"/>
          <w:szCs w:val="24"/>
        </w:rPr>
        <w:t>que prevé l</w:t>
      </w:r>
      <w:r w:rsidR="00C54E60" w:rsidRPr="00292F0B">
        <w:rPr>
          <w:rFonts w:ascii="Century Gothic" w:eastAsia="Calibri" w:hAnsi="Century Gothic" w:cs="Arial"/>
          <w:bCs/>
          <w:sz w:val="24"/>
          <w:szCs w:val="24"/>
        </w:rPr>
        <w:t>a conducta ilegal del infractor por estacionarte en banqueta</w:t>
      </w:r>
      <w:r w:rsidR="00821FB2" w:rsidRPr="00292F0B">
        <w:rPr>
          <w:rFonts w:ascii="Century Gothic" w:eastAsia="Calibri" w:hAnsi="Century Gothic" w:cs="Arial"/>
          <w:bCs/>
          <w:sz w:val="24"/>
          <w:szCs w:val="24"/>
        </w:rPr>
        <w:t xml:space="preserve">, </w:t>
      </w:r>
      <w:r w:rsidR="00092E19" w:rsidRPr="00292F0B">
        <w:rPr>
          <w:rFonts w:ascii="Century Gothic" w:eastAsia="Calibri" w:hAnsi="Century Gothic" w:cs="Arial"/>
          <w:bCs/>
          <w:sz w:val="24"/>
          <w:szCs w:val="24"/>
        </w:rPr>
        <w:t xml:space="preserve"> </w:t>
      </w:r>
      <w:r w:rsidR="008D4B95" w:rsidRPr="00292F0B">
        <w:rPr>
          <w:rFonts w:ascii="Century Gothic" w:eastAsia="Calibri" w:hAnsi="Century Gothic" w:cs="Arial"/>
          <w:bCs/>
          <w:sz w:val="24"/>
          <w:szCs w:val="24"/>
        </w:rPr>
        <w:t xml:space="preserve">por lo que </w:t>
      </w:r>
      <w:r w:rsidR="00092E19" w:rsidRPr="00292F0B">
        <w:rPr>
          <w:rFonts w:ascii="Century Gothic" w:eastAsia="Calibri" w:hAnsi="Century Gothic" w:cs="Arial"/>
          <w:bCs/>
          <w:sz w:val="24"/>
          <w:szCs w:val="24"/>
        </w:rPr>
        <w:t>se hizo acreedor a una sanción como consecuencia de su conducta ilegal</w:t>
      </w:r>
      <w:r w:rsidR="00C9056B" w:rsidRPr="00292F0B">
        <w:rPr>
          <w:rFonts w:ascii="Century Gothic" w:eastAsia="Calibri" w:hAnsi="Century Gothic" w:cs="Arial"/>
          <w:bCs/>
          <w:sz w:val="24"/>
          <w:szCs w:val="24"/>
        </w:rPr>
        <w:t xml:space="preserve">, </w:t>
      </w:r>
      <w:r w:rsidR="008D4B95" w:rsidRPr="00292F0B">
        <w:rPr>
          <w:rFonts w:ascii="Century Gothic" w:eastAsia="Calibri" w:hAnsi="Century Gothic" w:cs="Arial"/>
          <w:bCs/>
          <w:sz w:val="24"/>
          <w:szCs w:val="24"/>
        </w:rPr>
        <w:t>de lo que se desprende la</w:t>
      </w:r>
      <w:r w:rsidR="003925FB" w:rsidRPr="00292F0B">
        <w:rPr>
          <w:rFonts w:ascii="Century Gothic" w:eastAsia="Calibri" w:hAnsi="Century Gothic" w:cs="Arial"/>
          <w:bCs/>
          <w:sz w:val="24"/>
          <w:szCs w:val="24"/>
        </w:rPr>
        <w:t xml:space="preserve"> legalidad de la multa impuesta; por </w:t>
      </w:r>
      <w:r w:rsidR="003626E5" w:rsidRPr="00292F0B">
        <w:rPr>
          <w:rFonts w:ascii="Century Gothic" w:eastAsia="Calibri" w:hAnsi="Century Gothic" w:cs="Arial"/>
          <w:bCs/>
          <w:sz w:val="24"/>
          <w:szCs w:val="24"/>
        </w:rPr>
        <w:t>el</w:t>
      </w:r>
      <w:r w:rsidR="003925FB" w:rsidRPr="00292F0B">
        <w:rPr>
          <w:rFonts w:ascii="Century Gothic" w:eastAsia="Calibri" w:hAnsi="Century Gothic" w:cs="Arial"/>
          <w:bCs/>
          <w:sz w:val="24"/>
          <w:szCs w:val="24"/>
        </w:rPr>
        <w:t>lo</w:t>
      </w:r>
      <w:r w:rsidR="003626E5" w:rsidRPr="00292F0B">
        <w:rPr>
          <w:rFonts w:ascii="Century Gothic" w:eastAsia="Calibri" w:hAnsi="Century Gothic" w:cs="Arial"/>
          <w:bCs/>
          <w:sz w:val="24"/>
          <w:szCs w:val="24"/>
        </w:rPr>
        <w:t>, l</w:t>
      </w:r>
      <w:r w:rsidR="003925FB" w:rsidRPr="00292F0B">
        <w:rPr>
          <w:rFonts w:ascii="Century Gothic" w:eastAsia="Calibri" w:hAnsi="Century Gothic" w:cs="Arial"/>
          <w:bCs/>
          <w:sz w:val="24"/>
          <w:szCs w:val="24"/>
        </w:rPr>
        <w:t xml:space="preserve">a sentencia no </w:t>
      </w:r>
      <w:r w:rsidR="003626E5" w:rsidRPr="00292F0B">
        <w:rPr>
          <w:rFonts w:ascii="Century Gothic" w:eastAsia="Calibri" w:hAnsi="Century Gothic" w:cs="Arial"/>
          <w:bCs/>
          <w:sz w:val="24"/>
          <w:szCs w:val="24"/>
        </w:rPr>
        <w:t>está apegada a derecho, ni fundada ni motivada</w:t>
      </w:r>
      <w:r w:rsidR="003925FB" w:rsidRPr="00292F0B">
        <w:rPr>
          <w:rFonts w:ascii="Century Gothic" w:eastAsia="Calibri" w:hAnsi="Century Gothic" w:cs="Arial"/>
          <w:bCs/>
          <w:sz w:val="24"/>
          <w:szCs w:val="24"/>
        </w:rPr>
        <w:t>.</w:t>
      </w:r>
      <w:r w:rsidR="00E4394F" w:rsidRPr="00292F0B">
        <w:rPr>
          <w:rFonts w:ascii="Century Gothic" w:eastAsia="Calibri" w:hAnsi="Century Gothic" w:cs="Arial"/>
          <w:bCs/>
          <w:sz w:val="24"/>
          <w:szCs w:val="24"/>
        </w:rPr>
        <w:t xml:space="preserve"> Aunado a que en el acta de infracción se citaron las circunstancias de modo, tiempo y lugar, para cumplir con el requisito de fundamentación y motivación que exige el artículo 17, fracción V de la Ley de Procedimiento y Justicia Administrativa para el Estado de O</w:t>
      </w:r>
      <w:r w:rsidR="00484F8B" w:rsidRPr="00292F0B">
        <w:rPr>
          <w:rFonts w:ascii="Century Gothic" w:eastAsia="Calibri" w:hAnsi="Century Gothic" w:cs="Arial"/>
          <w:bCs/>
          <w:sz w:val="24"/>
          <w:szCs w:val="24"/>
        </w:rPr>
        <w:t xml:space="preserve">axaca; </w:t>
      </w:r>
      <w:r w:rsidR="00821FB2" w:rsidRPr="00292F0B">
        <w:rPr>
          <w:rFonts w:ascii="Century Gothic" w:eastAsia="Calibri" w:hAnsi="Century Gothic" w:cs="Arial"/>
          <w:bCs/>
          <w:sz w:val="24"/>
          <w:szCs w:val="24"/>
        </w:rPr>
        <w:t xml:space="preserve">que si bien es cierto que el artículo 16 Constitucional establece la obligación de las autoridades de fundar y motivar sus actos, desde el punto de vista formal, cuando se expresen las normas legales aplicables y los hechos que hacen que el caso encaje en las hipótesis normativas, basta el razonamiento sustancial, sin que pueda exigirse formalmente mayor amplitud o abundancia, para que se comprenda el argumento expresado; además que se debe </w:t>
      </w:r>
      <w:r w:rsidR="00484F8B" w:rsidRPr="00292F0B">
        <w:rPr>
          <w:rFonts w:ascii="Century Gothic" w:eastAsia="Calibri" w:hAnsi="Century Gothic" w:cs="Arial"/>
          <w:bCs/>
          <w:sz w:val="24"/>
          <w:szCs w:val="24"/>
        </w:rPr>
        <w:t>resolver bajo la premisa de que todo acto de autoridad es v</w:t>
      </w:r>
      <w:r w:rsidR="00821FB2" w:rsidRPr="00292F0B">
        <w:rPr>
          <w:rFonts w:ascii="Century Gothic" w:eastAsia="Calibri" w:hAnsi="Century Gothic" w:cs="Arial"/>
          <w:bCs/>
          <w:sz w:val="24"/>
          <w:szCs w:val="24"/>
        </w:rPr>
        <w:t>á</w:t>
      </w:r>
      <w:r w:rsidR="00484F8B" w:rsidRPr="00292F0B">
        <w:rPr>
          <w:rFonts w:ascii="Century Gothic" w:eastAsia="Calibri" w:hAnsi="Century Gothic" w:cs="Arial"/>
          <w:bCs/>
          <w:sz w:val="24"/>
          <w:szCs w:val="24"/>
        </w:rPr>
        <w:t>li</w:t>
      </w:r>
      <w:r w:rsidR="00821FB2" w:rsidRPr="00292F0B">
        <w:rPr>
          <w:rFonts w:ascii="Century Gothic" w:eastAsia="Calibri" w:hAnsi="Century Gothic" w:cs="Arial"/>
          <w:bCs/>
          <w:sz w:val="24"/>
          <w:szCs w:val="24"/>
        </w:rPr>
        <w:t>do hasta demostrar lo contrario, correspondiéndole al promovente aportar los elementos necesarios para que desvirtúen la legalidad del acto de autoridad.</w:t>
      </w:r>
    </w:p>
    <w:p w14:paraId="48325F9A" w14:textId="64B752CB" w:rsidR="00D00D3F" w:rsidRPr="00292F0B" w:rsidRDefault="007F0C5F" w:rsidP="00FE770C">
      <w:pPr>
        <w:ind w:firstLine="708"/>
        <w:jc w:val="both"/>
        <w:rPr>
          <w:rFonts w:ascii="Century Gothic" w:eastAsia="Calibri" w:hAnsi="Century Gothic" w:cs="Arial"/>
          <w:bCs/>
          <w:sz w:val="24"/>
          <w:szCs w:val="24"/>
        </w:rPr>
      </w:pPr>
      <w:r>
        <w:rPr>
          <w:rFonts w:ascii="Century Gothic" w:hAnsi="Century Gothic" w:cs="Arial"/>
          <w:sz w:val="24"/>
          <w:szCs w:val="24"/>
        </w:rPr>
        <w:t xml:space="preserve">11. </w:t>
      </w:r>
      <w:r w:rsidR="001E0503" w:rsidRPr="00292F0B">
        <w:rPr>
          <w:rFonts w:ascii="Century Gothic" w:hAnsi="Century Gothic" w:cs="Arial"/>
          <w:sz w:val="24"/>
          <w:szCs w:val="24"/>
        </w:rPr>
        <w:t>Al caso,</w:t>
      </w:r>
      <w:r w:rsidR="00D00D3F" w:rsidRPr="00292F0B">
        <w:rPr>
          <w:rFonts w:ascii="Century Gothic" w:hAnsi="Century Gothic" w:cs="Arial"/>
          <w:b/>
          <w:color w:val="000000"/>
          <w:sz w:val="24"/>
          <w:szCs w:val="24"/>
        </w:rPr>
        <w:t xml:space="preserve"> </w:t>
      </w:r>
      <w:r w:rsidR="001E0503" w:rsidRPr="00292F0B">
        <w:rPr>
          <w:rFonts w:ascii="Century Gothic" w:hAnsi="Century Gothic" w:cs="Arial"/>
          <w:color w:val="000000"/>
          <w:sz w:val="24"/>
          <w:szCs w:val="24"/>
        </w:rPr>
        <w:t xml:space="preserve"> el agravio</w:t>
      </w:r>
      <w:r w:rsidR="00D00D3F" w:rsidRPr="00292F0B">
        <w:rPr>
          <w:rFonts w:ascii="Century Gothic" w:hAnsi="Century Gothic" w:cs="Arial"/>
          <w:bCs/>
          <w:color w:val="000000"/>
          <w:sz w:val="24"/>
          <w:szCs w:val="24"/>
        </w:rPr>
        <w:t xml:space="preserve"> expuesto</w:t>
      </w:r>
      <w:r w:rsidR="00C565E5" w:rsidRPr="00292F0B">
        <w:rPr>
          <w:rFonts w:ascii="Century Gothic" w:hAnsi="Century Gothic" w:cs="Arial"/>
          <w:bCs/>
          <w:color w:val="000000"/>
          <w:sz w:val="24"/>
          <w:szCs w:val="24"/>
        </w:rPr>
        <w:t xml:space="preserve"> por el</w:t>
      </w:r>
      <w:r w:rsidR="00D00D3F" w:rsidRPr="00292F0B">
        <w:rPr>
          <w:rFonts w:ascii="Century Gothic" w:hAnsi="Century Gothic" w:cs="Arial"/>
          <w:bCs/>
          <w:color w:val="000000"/>
          <w:sz w:val="24"/>
          <w:szCs w:val="24"/>
        </w:rPr>
        <w:t xml:space="preserve"> recurrente</w:t>
      </w:r>
      <w:r w:rsidR="001E0503" w:rsidRPr="00292F0B">
        <w:rPr>
          <w:rFonts w:ascii="Century Gothic" w:hAnsi="Century Gothic" w:cs="Arial"/>
          <w:bCs/>
          <w:color w:val="000000"/>
          <w:sz w:val="24"/>
          <w:szCs w:val="24"/>
        </w:rPr>
        <w:t xml:space="preserve"> resulta </w:t>
      </w:r>
      <w:r w:rsidR="001E0503" w:rsidRPr="00292F0B">
        <w:rPr>
          <w:rFonts w:ascii="Century Gothic" w:hAnsi="Century Gothic" w:cs="Arial"/>
          <w:b/>
          <w:color w:val="000000"/>
          <w:sz w:val="24"/>
          <w:szCs w:val="24"/>
        </w:rPr>
        <w:t>INOPERANTE,</w:t>
      </w:r>
      <w:r w:rsidR="00D00D3F" w:rsidRPr="00292F0B">
        <w:rPr>
          <w:rFonts w:ascii="Century Gothic" w:hAnsi="Century Gothic" w:cs="Arial"/>
          <w:b/>
          <w:color w:val="000000"/>
          <w:sz w:val="24"/>
          <w:szCs w:val="24"/>
        </w:rPr>
        <w:t xml:space="preserve"> </w:t>
      </w:r>
      <w:r w:rsidR="00D00D3F" w:rsidRPr="00292F0B">
        <w:rPr>
          <w:rFonts w:ascii="Century Gothic" w:hAnsi="Century Gothic" w:cs="Arial"/>
          <w:bCs/>
          <w:color w:val="000000"/>
          <w:sz w:val="24"/>
          <w:szCs w:val="24"/>
        </w:rPr>
        <w:t xml:space="preserve">ya que </w:t>
      </w:r>
      <w:r w:rsidR="00D00D3F" w:rsidRPr="00292F0B">
        <w:rPr>
          <w:rFonts w:ascii="Century Gothic" w:eastAsia="Calibri" w:hAnsi="Century Gothic" w:cs="Arial"/>
          <w:bCs/>
          <w:sz w:val="24"/>
          <w:szCs w:val="24"/>
        </w:rPr>
        <w:t xml:space="preserve">no basta que exprese de forma genérica y abstracta que en la sentencia en estudio se incurrió en indebida fundamentación y motivación, sino que debe </w:t>
      </w:r>
      <w:r w:rsidR="00D00D3F" w:rsidRPr="00292F0B">
        <w:rPr>
          <w:rFonts w:ascii="Century Gothic" w:hAnsi="Century Gothic" w:cs="Arial"/>
          <w:sz w:val="24"/>
          <w:szCs w:val="24"/>
        </w:rPr>
        <w:t xml:space="preserve">exponer en forma precisa y razonada, los motivos concretos en los que explique el porqué de sus aseveraciones; es decir, debe </w:t>
      </w:r>
      <w:r w:rsidR="00D00D3F" w:rsidRPr="00292F0B">
        <w:rPr>
          <w:rFonts w:ascii="Century Gothic" w:eastAsia="Calibri" w:hAnsi="Century Gothic" w:cs="Arial"/>
          <w:bCs/>
          <w:sz w:val="24"/>
          <w:szCs w:val="24"/>
        </w:rPr>
        <w:t xml:space="preserve">señalar cual es el pronunciamiento específico de la sentencia en la que se incurrió en indebida fundamentación y motivación y relacionar sus razones de disenso con el perjuicio que se le cause, </w:t>
      </w:r>
      <w:r w:rsidR="00D00D3F" w:rsidRPr="00292F0B">
        <w:rPr>
          <w:rFonts w:ascii="Century Gothic" w:hAnsi="Century Gothic" w:cs="Arial"/>
          <w:sz w:val="24"/>
          <w:szCs w:val="24"/>
          <w:shd w:val="clear" w:color="auto" w:fill="FFFFFF"/>
        </w:rPr>
        <w:t xml:space="preserve">pues es obvio que </w:t>
      </w:r>
      <w:r w:rsidR="001E0503" w:rsidRPr="00292F0B">
        <w:rPr>
          <w:rFonts w:ascii="Century Gothic" w:hAnsi="Century Gothic" w:cs="Arial"/>
          <w:sz w:val="24"/>
          <w:szCs w:val="24"/>
          <w:shd w:val="clear" w:color="auto" w:fill="FFFFFF"/>
        </w:rPr>
        <w:t xml:space="preserve">el </w:t>
      </w:r>
      <w:r w:rsidR="00D00D3F" w:rsidRPr="00292F0B">
        <w:rPr>
          <w:rFonts w:ascii="Century Gothic" w:hAnsi="Century Gothic" w:cs="Arial"/>
          <w:sz w:val="24"/>
          <w:szCs w:val="24"/>
          <w:shd w:val="clear" w:color="auto" w:fill="FFFFFF"/>
        </w:rPr>
        <w:t xml:space="preserve">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w:t>
      </w:r>
      <w:r w:rsidR="005F4BB6">
        <w:rPr>
          <w:rFonts w:ascii="Century Gothic" w:hAnsi="Century Gothic" w:cs="Arial"/>
          <w:sz w:val="24"/>
          <w:szCs w:val="24"/>
          <w:shd w:val="clear" w:color="auto" w:fill="FFFFFF"/>
        </w:rPr>
        <w:t xml:space="preserve">recurrida </w:t>
      </w:r>
      <w:r w:rsidR="00D00D3F" w:rsidRPr="00292F0B">
        <w:rPr>
          <w:rFonts w:ascii="Century Gothic" w:hAnsi="Century Gothic" w:cs="Arial"/>
          <w:sz w:val="24"/>
          <w:szCs w:val="24"/>
          <w:shd w:val="clear" w:color="auto" w:fill="FFFFFF"/>
        </w:rPr>
        <w:t xml:space="preserve">con base en tales </w:t>
      </w:r>
      <w:r w:rsidR="00D00D3F" w:rsidRPr="00292F0B">
        <w:rPr>
          <w:rFonts w:ascii="Century Gothic" w:hAnsi="Century Gothic" w:cs="Arial"/>
          <w:sz w:val="24"/>
          <w:szCs w:val="24"/>
          <w:shd w:val="clear" w:color="auto" w:fill="FFFFFF"/>
        </w:rPr>
        <w:lastRenderedPageBreak/>
        <w:t xml:space="preserve">manifestaciones; consecuentemente, al no controvertir </w:t>
      </w:r>
      <w:r w:rsidR="00D00D3F" w:rsidRPr="00292F0B">
        <w:rPr>
          <w:rFonts w:ascii="Century Gothic" w:eastAsia="Calibri" w:hAnsi="Century Gothic" w:cs="Arial"/>
          <w:bCs/>
          <w:sz w:val="24"/>
          <w:szCs w:val="24"/>
        </w:rPr>
        <w:t xml:space="preserve">de forma adecuada los fundamentos legales y las consideraciones de la primera instancia plasmadas en la sentencia impugnada, es que resulta </w:t>
      </w:r>
      <w:r w:rsidR="00D00D3F" w:rsidRPr="00292F0B">
        <w:rPr>
          <w:rFonts w:ascii="Century Gothic" w:eastAsia="Calibri" w:hAnsi="Century Gothic" w:cs="Arial"/>
          <w:b/>
          <w:sz w:val="24"/>
          <w:szCs w:val="24"/>
        </w:rPr>
        <w:t>inoperante</w:t>
      </w:r>
      <w:r w:rsidR="00C565E5" w:rsidRPr="00292F0B">
        <w:rPr>
          <w:rFonts w:ascii="Century Gothic" w:eastAsia="Calibri" w:hAnsi="Century Gothic" w:cs="Arial"/>
          <w:bCs/>
          <w:sz w:val="24"/>
          <w:szCs w:val="24"/>
        </w:rPr>
        <w:t xml:space="preserve"> lo alegado por el</w:t>
      </w:r>
      <w:r w:rsidR="00D00D3F" w:rsidRPr="00292F0B">
        <w:rPr>
          <w:rFonts w:ascii="Century Gothic" w:eastAsia="Calibri" w:hAnsi="Century Gothic" w:cs="Arial"/>
          <w:bCs/>
          <w:sz w:val="24"/>
          <w:szCs w:val="24"/>
        </w:rPr>
        <w:t xml:space="preserve"> recurrente en el agravio analizado. </w:t>
      </w:r>
    </w:p>
    <w:p w14:paraId="4F8A7AAD" w14:textId="05DF2486" w:rsidR="00D00D3F" w:rsidRPr="00292F0B" w:rsidRDefault="007F0C5F" w:rsidP="00FE770C">
      <w:pPr>
        <w:ind w:firstLine="708"/>
        <w:jc w:val="both"/>
        <w:rPr>
          <w:rFonts w:ascii="Century Gothic" w:hAnsi="Century Gothic" w:cs="Calibri"/>
          <w:color w:val="212529"/>
          <w:sz w:val="24"/>
          <w:szCs w:val="24"/>
        </w:rPr>
      </w:pPr>
      <w:r>
        <w:rPr>
          <w:rFonts w:ascii="Century Gothic" w:eastAsia="Calibri" w:hAnsi="Century Gothic" w:cs="Arial"/>
          <w:bCs/>
          <w:sz w:val="24"/>
          <w:szCs w:val="24"/>
        </w:rPr>
        <w:t xml:space="preserve">12. </w:t>
      </w:r>
      <w:r w:rsidR="00D00D3F" w:rsidRPr="00292F0B">
        <w:rPr>
          <w:rFonts w:ascii="Century Gothic" w:eastAsia="Calibri" w:hAnsi="Century Gothic" w:cs="Arial"/>
          <w:bCs/>
          <w:sz w:val="24"/>
          <w:szCs w:val="24"/>
        </w:rPr>
        <w:t xml:space="preserve">Es aplicable por analogía la </w:t>
      </w:r>
      <w:r w:rsidR="00C75E60" w:rsidRPr="00292F0B">
        <w:rPr>
          <w:rFonts w:ascii="Century Gothic" w:eastAsia="Calibri" w:hAnsi="Century Gothic" w:cs="Arial"/>
          <w:bCs/>
          <w:sz w:val="24"/>
          <w:szCs w:val="24"/>
        </w:rPr>
        <w:t>J</w:t>
      </w:r>
      <w:r w:rsidR="00D00D3F" w:rsidRPr="00292F0B">
        <w:rPr>
          <w:rFonts w:ascii="Century Gothic" w:eastAsia="Calibri" w:hAnsi="Century Gothic" w:cs="Arial"/>
          <w:bCs/>
          <w:sz w:val="24"/>
          <w:szCs w:val="24"/>
        </w:rPr>
        <w:t xml:space="preserve">urisprudencia en materia común, de la novena época, número I.11o. </w:t>
      </w:r>
      <w:proofErr w:type="gramStart"/>
      <w:r w:rsidR="00D00D3F" w:rsidRPr="00292F0B">
        <w:rPr>
          <w:rFonts w:ascii="Century Gothic" w:eastAsia="Calibri" w:hAnsi="Century Gothic" w:cs="Arial"/>
          <w:bCs/>
          <w:sz w:val="24"/>
          <w:szCs w:val="24"/>
        </w:rPr>
        <w:t>C.J</w:t>
      </w:r>
      <w:proofErr w:type="gramEnd"/>
      <w:r w:rsidR="00D00D3F" w:rsidRPr="00292F0B">
        <w:rPr>
          <w:rFonts w:ascii="Century Gothic" w:eastAsia="Calibri" w:hAnsi="Century Gothic" w:cs="Arial"/>
          <w:bCs/>
          <w:sz w:val="24"/>
          <w:szCs w:val="24"/>
        </w:rPr>
        <w:t xml:space="preserve">/5, con número de registro 176045, de los Tribunales Colegiados de Circuito, publicado en el Semanario Judicial de la Federación y su Gaceta, en el Tomo XXIII, febrero de 2006, visible a página 1600, de rubro y texto siguiente: </w:t>
      </w:r>
    </w:p>
    <w:p w14:paraId="0E910FA0" w14:textId="5AEDCD0C" w:rsidR="00D00D3F" w:rsidRPr="00292F0B" w:rsidRDefault="00D00D3F" w:rsidP="00FE770C">
      <w:pPr>
        <w:pStyle w:val="NormalWeb"/>
        <w:shd w:val="clear" w:color="auto" w:fill="FFFFFF"/>
        <w:spacing w:beforeAutospacing="0" w:after="240" w:afterAutospacing="0" w:line="276" w:lineRule="auto"/>
        <w:ind w:left="567" w:right="616"/>
        <w:jc w:val="both"/>
        <w:rPr>
          <w:rFonts w:ascii="Century Gothic" w:hAnsi="Century Gothic" w:cs="Calibri"/>
          <w:b/>
          <w:bCs/>
          <w:sz w:val="22"/>
          <w:szCs w:val="22"/>
        </w:rPr>
      </w:pPr>
      <w:r w:rsidRPr="00292F0B">
        <w:rPr>
          <w:rFonts w:ascii="Century Gothic" w:hAnsi="Century Gothic" w:cs="Calibri"/>
          <w:b/>
          <w:bCs/>
          <w:sz w:val="22"/>
          <w:szCs w:val="22"/>
        </w:rPr>
        <w:t>“AGRAVIOS </w:t>
      </w:r>
      <w:r w:rsidR="00182189" w:rsidRPr="00292F0B">
        <w:rPr>
          <w:rFonts w:ascii="Century Gothic" w:hAnsi="Century Gothic" w:cs="Calibri"/>
          <w:b/>
          <w:bCs/>
          <w:sz w:val="22"/>
          <w:szCs w:val="22"/>
        </w:rPr>
        <w:t>INOPERANTES EN</w:t>
      </w:r>
      <w:r w:rsidRPr="00292F0B">
        <w:rPr>
          <w:rFonts w:ascii="Century Gothic" w:hAnsi="Century Gothic" w:cs="Calibri"/>
          <w:b/>
          <w:bCs/>
          <w:sz w:val="22"/>
          <w:szCs w:val="22"/>
        </w:rPr>
        <w:t xml:space="preserve"> LA REVISIÓN. LO SON LAS SIMPLES EXPRESIONES GENÉRICAS Y ABSTRACTAS CUANDO NO PROCEDE LA SUPLENCIA DE LA QUEJA DEFICIENTE. </w:t>
      </w:r>
      <w:r w:rsidRPr="00292F0B">
        <w:rPr>
          <w:rFonts w:ascii="Century Gothic" w:hAnsi="Century Gothic" w:cs="Calibri"/>
          <w:sz w:val="22"/>
          <w:szCs w:val="22"/>
        </w:rPr>
        <w:t>Si no se está en el caso de suplir la deficiencia de los agravios en términos del artículo </w:t>
      </w:r>
      <w:hyperlink r:id="rId8" w:history="1">
        <w:r w:rsidRPr="00292F0B">
          <w:rPr>
            <w:rStyle w:val="Hipervnculo"/>
            <w:rFonts w:ascii="Century Gothic" w:hAnsi="Century Gothic" w:cs="Calibri"/>
            <w:color w:val="auto"/>
            <w:sz w:val="22"/>
            <w:szCs w:val="22"/>
            <w:u w:val="none"/>
          </w:rPr>
          <w:t>76 Bis, fracción VI, de la Ley de Amparo</w:t>
        </w:r>
      </w:hyperlink>
      <w:r w:rsidRPr="00292F0B">
        <w:rPr>
          <w:rFonts w:ascii="Century Gothic" w:hAnsi="Century Gothic" w:cs="Calibri"/>
          <w:sz w:val="22"/>
          <w:szCs w:val="22"/>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292F0B">
        <w:rPr>
          <w:rFonts w:ascii="Century Gothic" w:hAnsi="Century Gothic" w:cs="Calibri"/>
          <w:b/>
          <w:bCs/>
          <w:sz w:val="22"/>
          <w:szCs w:val="22"/>
        </w:rPr>
        <w:t>”</w:t>
      </w:r>
    </w:p>
    <w:p w14:paraId="5A675D04" w14:textId="63F020A8" w:rsidR="008D4B95" w:rsidRPr="00292F0B" w:rsidRDefault="007F0C5F" w:rsidP="00FE770C">
      <w:pPr>
        <w:widowControl w:val="0"/>
        <w:autoSpaceDE w:val="0"/>
        <w:autoSpaceDN w:val="0"/>
        <w:adjustRightInd w:val="0"/>
        <w:spacing w:before="240" w:after="0"/>
        <w:ind w:firstLine="567"/>
        <w:jc w:val="both"/>
        <w:rPr>
          <w:rFonts w:ascii="Century Gothic" w:eastAsia="Calibri" w:hAnsi="Century Gothic" w:cs="Arial"/>
          <w:bCs/>
          <w:sz w:val="24"/>
          <w:szCs w:val="24"/>
        </w:rPr>
      </w:pPr>
      <w:r>
        <w:rPr>
          <w:rFonts w:ascii="Century Gothic" w:eastAsia="Calibri" w:hAnsi="Century Gothic" w:cs="Arial"/>
          <w:sz w:val="24"/>
          <w:szCs w:val="24"/>
        </w:rPr>
        <w:t xml:space="preserve">13. </w:t>
      </w:r>
      <w:r w:rsidR="001E0503" w:rsidRPr="00292F0B">
        <w:rPr>
          <w:rFonts w:ascii="Century Gothic" w:eastAsia="Calibri" w:hAnsi="Century Gothic" w:cs="Arial"/>
          <w:sz w:val="24"/>
          <w:szCs w:val="24"/>
        </w:rPr>
        <w:t>Ahora bien, respecto a lo manifestado por el recurrente, tocante a</w:t>
      </w:r>
      <w:r w:rsidR="001E0503" w:rsidRPr="00292F0B">
        <w:rPr>
          <w:rFonts w:ascii="Century Gothic" w:eastAsia="Calibri" w:hAnsi="Century Gothic" w:cs="Arial"/>
          <w:b/>
          <w:sz w:val="24"/>
          <w:szCs w:val="24"/>
        </w:rPr>
        <w:t xml:space="preserve"> </w:t>
      </w:r>
      <w:r w:rsidR="008D4B95" w:rsidRPr="00292F0B">
        <w:rPr>
          <w:rFonts w:ascii="Century Gothic" w:eastAsia="Calibri" w:hAnsi="Century Gothic" w:cs="Arial"/>
          <w:sz w:val="24"/>
          <w:szCs w:val="24"/>
        </w:rPr>
        <w:t xml:space="preserve">que </w:t>
      </w:r>
      <w:r w:rsidR="004F5408" w:rsidRPr="00292F0B">
        <w:rPr>
          <w:rFonts w:ascii="Century Gothic" w:eastAsia="Calibri" w:hAnsi="Century Gothic" w:cs="Arial"/>
          <w:sz w:val="24"/>
          <w:szCs w:val="24"/>
        </w:rPr>
        <w:t>la motivación en el acta de infracción fue correcta y los preceptos legales citados, son aplicables al caso particular, por lo que de ning</w:t>
      </w:r>
      <w:r w:rsidR="00682AEE" w:rsidRPr="00292F0B">
        <w:rPr>
          <w:rFonts w:ascii="Century Gothic" w:eastAsia="Calibri" w:hAnsi="Century Gothic" w:cs="Arial"/>
          <w:sz w:val="24"/>
          <w:szCs w:val="24"/>
        </w:rPr>
        <w:t>una</w:t>
      </w:r>
      <w:r w:rsidR="004F5408" w:rsidRPr="00292F0B">
        <w:rPr>
          <w:rFonts w:ascii="Century Gothic" w:eastAsia="Calibri" w:hAnsi="Century Gothic" w:cs="Arial"/>
          <w:sz w:val="24"/>
          <w:szCs w:val="24"/>
        </w:rPr>
        <w:t xml:space="preserve"> manera se dejó al administrado en estado de indefensión, ya que se señalaron los  motivos, circunstancias especiales o razones particulares para determinar la conducta ilegal del infractor</w:t>
      </w:r>
      <w:r w:rsidR="004F5408" w:rsidRPr="00292F0B">
        <w:rPr>
          <w:rFonts w:ascii="Century Gothic" w:eastAsia="Calibri" w:hAnsi="Century Gothic" w:cs="Arial"/>
          <w:bCs/>
          <w:sz w:val="24"/>
          <w:szCs w:val="24"/>
        </w:rPr>
        <w:t xml:space="preserve">, así como los artículos invocados por el recurrente elementos suficientes para cumplir con los requisitos de fundamentación y motivación previsto por el </w:t>
      </w:r>
      <w:r w:rsidR="008D4B95" w:rsidRPr="00292F0B">
        <w:rPr>
          <w:rFonts w:ascii="Century Gothic" w:eastAsia="Calibri" w:hAnsi="Century Gothic" w:cs="Arial"/>
          <w:bCs/>
          <w:sz w:val="24"/>
          <w:szCs w:val="24"/>
        </w:rPr>
        <w:t>artículo 17</w:t>
      </w:r>
      <w:r w:rsidR="004F5408" w:rsidRPr="00292F0B">
        <w:rPr>
          <w:rFonts w:ascii="Century Gothic" w:eastAsia="Calibri" w:hAnsi="Century Gothic" w:cs="Arial"/>
          <w:bCs/>
          <w:sz w:val="24"/>
          <w:szCs w:val="24"/>
        </w:rPr>
        <w:t>, fracción V</w:t>
      </w:r>
      <w:r w:rsidR="008D4B95" w:rsidRPr="00292F0B">
        <w:rPr>
          <w:rFonts w:ascii="Century Gothic" w:eastAsia="Calibri" w:hAnsi="Century Gothic" w:cs="Arial"/>
          <w:bCs/>
          <w:sz w:val="24"/>
          <w:szCs w:val="24"/>
        </w:rPr>
        <w:t xml:space="preserve"> de la Ley de Procedimiento y Justicia Administr</w:t>
      </w:r>
      <w:r w:rsidR="004F5408" w:rsidRPr="00292F0B">
        <w:rPr>
          <w:rFonts w:ascii="Century Gothic" w:eastAsia="Calibri" w:hAnsi="Century Gothic" w:cs="Arial"/>
          <w:bCs/>
          <w:sz w:val="24"/>
          <w:szCs w:val="24"/>
        </w:rPr>
        <w:t>ativa para el Estado de Oaxaca; en ese tenor, es evidente que la sentencia que recurre fue di</w:t>
      </w:r>
      <w:r w:rsidR="006B0008" w:rsidRPr="00292F0B">
        <w:rPr>
          <w:rFonts w:ascii="Century Gothic" w:eastAsia="Calibri" w:hAnsi="Century Gothic" w:cs="Arial"/>
          <w:bCs/>
          <w:sz w:val="24"/>
          <w:szCs w:val="24"/>
        </w:rPr>
        <w:t>cta</w:t>
      </w:r>
      <w:r w:rsidR="004F5408" w:rsidRPr="00292F0B">
        <w:rPr>
          <w:rFonts w:ascii="Century Gothic" w:eastAsia="Calibri" w:hAnsi="Century Gothic" w:cs="Arial"/>
          <w:bCs/>
          <w:sz w:val="24"/>
          <w:szCs w:val="24"/>
        </w:rPr>
        <w:t>da en contravención al artículo 207, fracción II de la Ley de la materia.</w:t>
      </w:r>
    </w:p>
    <w:p w14:paraId="57FB390C" w14:textId="5AF08CAF" w:rsidR="00EE3279" w:rsidRPr="00292F0B" w:rsidRDefault="007F0C5F" w:rsidP="00FE770C">
      <w:pPr>
        <w:spacing w:before="240"/>
        <w:ind w:firstLine="708"/>
        <w:jc w:val="both"/>
        <w:rPr>
          <w:rFonts w:ascii="Century Gothic" w:hAnsi="Century Gothic" w:cs="Arial"/>
          <w:color w:val="FF0000"/>
          <w:sz w:val="24"/>
          <w:szCs w:val="24"/>
        </w:rPr>
      </w:pPr>
      <w:r>
        <w:rPr>
          <w:rFonts w:ascii="Century Gothic" w:hAnsi="Century Gothic" w:cs="Arial"/>
          <w:sz w:val="24"/>
          <w:szCs w:val="24"/>
        </w:rPr>
        <w:t xml:space="preserve">14. </w:t>
      </w:r>
      <w:r w:rsidR="00AB5502" w:rsidRPr="00292F0B">
        <w:rPr>
          <w:rFonts w:ascii="Century Gothic" w:hAnsi="Century Gothic" w:cs="Arial"/>
          <w:sz w:val="24"/>
          <w:szCs w:val="24"/>
        </w:rPr>
        <w:t xml:space="preserve">Es </w:t>
      </w:r>
      <w:r w:rsidR="0099718D" w:rsidRPr="00292F0B">
        <w:rPr>
          <w:rFonts w:ascii="Century Gothic" w:hAnsi="Century Gothic" w:cs="Arial"/>
          <w:b/>
          <w:bCs/>
          <w:sz w:val="24"/>
          <w:szCs w:val="24"/>
        </w:rPr>
        <w:t>INFUNDA</w:t>
      </w:r>
      <w:r w:rsidR="00DD3CA3" w:rsidRPr="00292F0B">
        <w:rPr>
          <w:rFonts w:ascii="Century Gothic" w:hAnsi="Century Gothic" w:cs="Arial"/>
          <w:b/>
          <w:bCs/>
          <w:sz w:val="24"/>
          <w:szCs w:val="24"/>
        </w:rPr>
        <w:t>DO</w:t>
      </w:r>
      <w:r w:rsidR="00AB5502" w:rsidRPr="00292F0B">
        <w:rPr>
          <w:rFonts w:ascii="Century Gothic" w:hAnsi="Century Gothic" w:cs="Arial"/>
          <w:sz w:val="24"/>
          <w:szCs w:val="24"/>
        </w:rPr>
        <w:t xml:space="preserve"> el agravio anterior</w:t>
      </w:r>
      <w:r w:rsidR="0099718D" w:rsidRPr="00292F0B">
        <w:rPr>
          <w:rFonts w:ascii="Century Gothic" w:hAnsi="Century Gothic" w:cs="Arial"/>
          <w:sz w:val="24"/>
          <w:szCs w:val="24"/>
        </w:rPr>
        <w:t xml:space="preserve">, </w:t>
      </w:r>
      <w:r w:rsidR="00EE3279" w:rsidRPr="00292F0B">
        <w:rPr>
          <w:rFonts w:ascii="Century Gothic" w:eastAsia="Calibri" w:hAnsi="Century Gothic" w:cs="Arial"/>
          <w:bCs/>
          <w:sz w:val="24"/>
          <w:szCs w:val="24"/>
        </w:rPr>
        <w:t xml:space="preserve">en razón del análisis de </w:t>
      </w:r>
      <w:r w:rsidR="00EE3279" w:rsidRPr="00292F0B">
        <w:rPr>
          <w:rFonts w:ascii="Century Gothic" w:hAnsi="Century Gothic" w:cs="Arial"/>
          <w:sz w:val="24"/>
          <w:szCs w:val="24"/>
        </w:rPr>
        <w:t xml:space="preserve">las constancias de autos que fueron remitidas para la substanciación del presente asunto, con valor probatorio pleno conforme lo dispuesto por el artículo 203, fracción I, de la Ley de Procedimiento y Justicia Administrativa para el Estado de Oaxaca, por tratarse </w:t>
      </w:r>
      <w:r w:rsidR="002E1E05" w:rsidRPr="00292F0B">
        <w:rPr>
          <w:rFonts w:ascii="Century Gothic" w:hAnsi="Century Gothic" w:cs="Arial"/>
          <w:sz w:val="24"/>
          <w:szCs w:val="24"/>
        </w:rPr>
        <w:t>de actuaciones judiciales; que de</w:t>
      </w:r>
      <w:r w:rsidR="00EE3279" w:rsidRPr="00292F0B">
        <w:rPr>
          <w:rFonts w:ascii="Century Gothic" w:hAnsi="Century Gothic" w:cs="Arial"/>
          <w:sz w:val="24"/>
          <w:szCs w:val="24"/>
        </w:rPr>
        <w:t xml:space="preserve"> </w:t>
      </w:r>
      <w:r w:rsidR="00CF6459" w:rsidRPr="00292F0B">
        <w:rPr>
          <w:rFonts w:ascii="Century Gothic" w:hAnsi="Century Gothic" w:cs="Arial"/>
          <w:sz w:val="24"/>
          <w:szCs w:val="24"/>
        </w:rPr>
        <w:t xml:space="preserve">las </w:t>
      </w:r>
      <w:r w:rsidR="00EE3279" w:rsidRPr="00292F0B">
        <w:rPr>
          <w:rFonts w:ascii="Century Gothic" w:hAnsi="Century Gothic" w:cs="Arial"/>
          <w:sz w:val="24"/>
          <w:szCs w:val="24"/>
        </w:rPr>
        <w:t>fojas</w:t>
      </w:r>
      <w:r w:rsidR="007F2E3D" w:rsidRPr="00292F0B">
        <w:rPr>
          <w:rFonts w:ascii="Century Gothic" w:hAnsi="Century Gothic" w:cs="Arial"/>
          <w:sz w:val="24"/>
          <w:szCs w:val="24"/>
        </w:rPr>
        <w:t xml:space="preserve"> </w:t>
      </w:r>
      <w:r w:rsidR="00CF6459" w:rsidRPr="00292F0B">
        <w:rPr>
          <w:rFonts w:ascii="Century Gothic" w:hAnsi="Century Gothic" w:cs="Arial"/>
          <w:sz w:val="24"/>
          <w:szCs w:val="24"/>
        </w:rPr>
        <w:t xml:space="preserve">treinta y cinco a la foja treinta y </w:t>
      </w:r>
      <w:r w:rsidR="003D63A6">
        <w:rPr>
          <w:rFonts w:ascii="Century Gothic" w:hAnsi="Century Gothic" w:cs="Arial"/>
          <w:sz w:val="24"/>
          <w:szCs w:val="24"/>
        </w:rPr>
        <w:t>siete</w:t>
      </w:r>
      <w:r w:rsidR="002E1E05" w:rsidRPr="00292F0B">
        <w:rPr>
          <w:rFonts w:ascii="Century Gothic" w:hAnsi="Century Gothic" w:cs="Arial"/>
          <w:sz w:val="24"/>
          <w:szCs w:val="24"/>
        </w:rPr>
        <w:t>, se</w:t>
      </w:r>
      <w:r w:rsidR="00AE598A" w:rsidRPr="00292F0B">
        <w:rPr>
          <w:rFonts w:ascii="Century Gothic" w:hAnsi="Century Gothic" w:cs="Arial"/>
          <w:sz w:val="24"/>
          <w:szCs w:val="24"/>
        </w:rPr>
        <w:t xml:space="preserve"> advierte </w:t>
      </w:r>
      <w:r w:rsidR="00EE3279" w:rsidRPr="00292F0B">
        <w:rPr>
          <w:rFonts w:ascii="Century Gothic" w:hAnsi="Century Gothic" w:cs="Arial"/>
          <w:sz w:val="24"/>
          <w:szCs w:val="24"/>
        </w:rPr>
        <w:t>la sentencia impugnada en cuy</w:t>
      </w:r>
      <w:r w:rsidR="008003EB" w:rsidRPr="00292F0B">
        <w:rPr>
          <w:rFonts w:ascii="Century Gothic" w:hAnsi="Century Gothic" w:cs="Arial"/>
          <w:sz w:val="24"/>
          <w:szCs w:val="24"/>
        </w:rPr>
        <w:t xml:space="preserve">a parte que interesa del </w:t>
      </w:r>
      <w:r w:rsidR="00EE3279" w:rsidRPr="00292F0B">
        <w:rPr>
          <w:rFonts w:ascii="Century Gothic" w:hAnsi="Century Gothic" w:cs="Arial"/>
          <w:sz w:val="24"/>
          <w:szCs w:val="24"/>
        </w:rPr>
        <w:t>considerando</w:t>
      </w:r>
      <w:r w:rsidR="00CF6459" w:rsidRPr="00292F0B">
        <w:rPr>
          <w:rFonts w:ascii="Century Gothic" w:hAnsi="Century Gothic" w:cs="Arial"/>
          <w:sz w:val="24"/>
          <w:szCs w:val="24"/>
        </w:rPr>
        <w:t xml:space="preserve"> cuarto</w:t>
      </w:r>
      <w:r w:rsidR="002E1E05" w:rsidRPr="00292F0B">
        <w:rPr>
          <w:rFonts w:ascii="Century Gothic" w:hAnsi="Century Gothic" w:cs="Arial"/>
          <w:sz w:val="24"/>
          <w:szCs w:val="24"/>
        </w:rPr>
        <w:t>,</w:t>
      </w:r>
      <w:r w:rsidR="00AB5502" w:rsidRPr="00292F0B">
        <w:rPr>
          <w:rFonts w:ascii="Century Gothic" w:hAnsi="Century Gothic" w:cs="Arial"/>
          <w:sz w:val="24"/>
          <w:szCs w:val="24"/>
        </w:rPr>
        <w:t xml:space="preserve"> la </w:t>
      </w:r>
      <w:r w:rsidR="002E1E05" w:rsidRPr="00292F0B">
        <w:rPr>
          <w:rFonts w:ascii="Century Gothic" w:hAnsi="Century Gothic" w:cs="Arial"/>
          <w:sz w:val="24"/>
          <w:szCs w:val="24"/>
        </w:rPr>
        <w:t xml:space="preserve">Magistrada de la </w:t>
      </w:r>
      <w:r w:rsidR="006B0008" w:rsidRPr="00292F0B">
        <w:rPr>
          <w:rFonts w:ascii="Century Gothic" w:hAnsi="Century Gothic" w:cs="Arial"/>
          <w:sz w:val="24"/>
          <w:szCs w:val="24"/>
        </w:rPr>
        <w:t>Cuar</w:t>
      </w:r>
      <w:r w:rsidR="002E1E05" w:rsidRPr="00292F0B">
        <w:rPr>
          <w:rFonts w:ascii="Century Gothic" w:hAnsi="Century Gothic" w:cs="Arial"/>
          <w:sz w:val="24"/>
          <w:szCs w:val="24"/>
        </w:rPr>
        <w:t xml:space="preserve">ta </w:t>
      </w:r>
      <w:r w:rsidR="00BA095C" w:rsidRPr="00292F0B">
        <w:rPr>
          <w:rFonts w:ascii="Century Gothic" w:hAnsi="Century Gothic" w:cs="Arial"/>
          <w:sz w:val="24"/>
          <w:szCs w:val="24"/>
        </w:rPr>
        <w:t xml:space="preserve">Sala </w:t>
      </w:r>
      <w:r w:rsidR="00AE598A" w:rsidRPr="00292F0B">
        <w:rPr>
          <w:rFonts w:ascii="Century Gothic" w:hAnsi="Century Gothic" w:cs="Arial"/>
          <w:sz w:val="24"/>
          <w:szCs w:val="24"/>
        </w:rPr>
        <w:t xml:space="preserve">Unitaria de Primera Instancia </w:t>
      </w:r>
      <w:r w:rsidR="00EE3279" w:rsidRPr="00292F0B">
        <w:rPr>
          <w:rFonts w:ascii="Century Gothic" w:hAnsi="Century Gothic" w:cs="Arial"/>
          <w:sz w:val="24"/>
          <w:szCs w:val="24"/>
        </w:rPr>
        <w:t xml:space="preserve">determinó lo siguiente: </w:t>
      </w:r>
    </w:p>
    <w:p w14:paraId="1AFEF563" w14:textId="682769B7" w:rsidR="002C0D09" w:rsidRPr="00292F0B" w:rsidRDefault="00EE3279" w:rsidP="00FE770C">
      <w:pPr>
        <w:ind w:left="567" w:right="616" w:firstLine="284"/>
        <w:jc w:val="both"/>
        <w:rPr>
          <w:rFonts w:ascii="Century Gothic" w:hAnsi="Century Gothic" w:cs="Arial"/>
          <w:b/>
          <w:i/>
          <w:iCs/>
        </w:rPr>
      </w:pPr>
      <w:r w:rsidRPr="00292F0B">
        <w:rPr>
          <w:rFonts w:ascii="Century Gothic" w:hAnsi="Century Gothic" w:cs="Arial"/>
          <w:i/>
          <w:iCs/>
        </w:rPr>
        <w:lastRenderedPageBreak/>
        <w:t>“</w:t>
      </w:r>
      <w:proofErr w:type="gramStart"/>
      <w:r w:rsidR="00E0468C" w:rsidRPr="00292F0B">
        <w:rPr>
          <w:rFonts w:ascii="Century Gothic" w:hAnsi="Century Gothic" w:cs="Arial"/>
          <w:b/>
          <w:i/>
          <w:iCs/>
        </w:rPr>
        <w:t>CUARTO</w:t>
      </w:r>
      <w:r w:rsidR="002C0D09" w:rsidRPr="00292F0B">
        <w:rPr>
          <w:rFonts w:ascii="Century Gothic" w:hAnsi="Century Gothic" w:cs="Arial"/>
          <w:b/>
          <w:i/>
          <w:iCs/>
        </w:rPr>
        <w:t>.-</w:t>
      </w:r>
      <w:proofErr w:type="gramEnd"/>
      <w:r w:rsidR="002C0D09" w:rsidRPr="00292F0B">
        <w:rPr>
          <w:rFonts w:ascii="Century Gothic" w:hAnsi="Century Gothic" w:cs="Arial"/>
          <w:b/>
          <w:i/>
          <w:iCs/>
        </w:rPr>
        <w:t xml:space="preserve"> </w:t>
      </w:r>
      <w:r w:rsidR="00CF6459" w:rsidRPr="00292F0B">
        <w:rPr>
          <w:rFonts w:ascii="Century Gothic" w:hAnsi="Century Gothic" w:cs="Arial"/>
          <w:i/>
          <w:iCs/>
        </w:rPr>
        <w:t xml:space="preserve">El actor </w:t>
      </w:r>
      <w:r w:rsidR="00EE3149">
        <w:rPr>
          <w:rFonts w:ascii="Century Gothic" w:hAnsi="Century Gothic" w:cs="Arial"/>
          <w:i/>
          <w:iCs/>
        </w:rPr>
        <w:t xml:space="preserve">********** </w:t>
      </w:r>
      <w:r w:rsidR="002C0D09" w:rsidRPr="00292F0B">
        <w:rPr>
          <w:rFonts w:ascii="Century Gothic" w:hAnsi="Century Gothic" w:cs="Arial"/>
          <w:i/>
          <w:iCs/>
        </w:rPr>
        <w:t xml:space="preserve">demandó la nulidad del acta de infracción con número de folio </w:t>
      </w:r>
      <w:r w:rsidR="00CF6459" w:rsidRPr="00292F0B">
        <w:rPr>
          <w:rFonts w:ascii="Century Gothic" w:hAnsi="Century Gothic" w:cs="Arial"/>
          <w:i/>
          <w:iCs/>
        </w:rPr>
        <w:t>7542</w:t>
      </w:r>
      <w:r w:rsidR="002C0D09" w:rsidRPr="00292F0B">
        <w:rPr>
          <w:rFonts w:ascii="Century Gothic" w:hAnsi="Century Gothic" w:cs="Arial"/>
          <w:i/>
          <w:iCs/>
        </w:rPr>
        <w:t xml:space="preserve"> A, de</w:t>
      </w:r>
      <w:r w:rsidR="00CF6459" w:rsidRPr="00292F0B">
        <w:rPr>
          <w:rFonts w:ascii="Century Gothic" w:hAnsi="Century Gothic" w:cs="Arial"/>
          <w:i/>
          <w:iCs/>
        </w:rPr>
        <w:t xml:space="preserve"> treinta y uno de agosto de dos mil veinti</w:t>
      </w:r>
      <w:r w:rsidR="002C0D09" w:rsidRPr="00292F0B">
        <w:rPr>
          <w:rFonts w:ascii="Century Gothic" w:hAnsi="Century Gothic" w:cs="Arial"/>
          <w:i/>
          <w:iCs/>
        </w:rPr>
        <w:t>dós, emitido por el Policía Vial con número estadístico PV-</w:t>
      </w:r>
      <w:r w:rsidR="00CF6459" w:rsidRPr="00292F0B">
        <w:rPr>
          <w:rFonts w:ascii="Century Gothic" w:hAnsi="Century Gothic" w:cs="Arial"/>
          <w:i/>
          <w:iCs/>
        </w:rPr>
        <w:t xml:space="preserve">69 adscrito a la </w:t>
      </w:r>
      <w:r w:rsidR="00DF45E0" w:rsidRPr="00292F0B">
        <w:rPr>
          <w:rFonts w:ascii="Century Gothic" w:hAnsi="Century Gothic" w:cs="Arial"/>
          <w:i/>
          <w:iCs/>
        </w:rPr>
        <w:t>Dirección</w:t>
      </w:r>
      <w:r w:rsidR="00CF6459" w:rsidRPr="00292F0B">
        <w:rPr>
          <w:rFonts w:ascii="Century Gothic" w:hAnsi="Century Gothic" w:cs="Arial"/>
          <w:i/>
          <w:iCs/>
        </w:rPr>
        <w:t xml:space="preserve"> </w:t>
      </w:r>
      <w:r w:rsidR="00DF45E0" w:rsidRPr="00292F0B">
        <w:rPr>
          <w:rFonts w:ascii="Century Gothic" w:hAnsi="Century Gothic" w:cs="Arial"/>
          <w:i/>
          <w:iCs/>
        </w:rPr>
        <w:t>de Movilidad, dependiente de la Secretaria de Seguridad Ciudadana, Movilidad y Protección Civil del Municipio de Oaxaca de Juárez, Oaxaca</w:t>
      </w:r>
      <w:r w:rsidR="002C0D09" w:rsidRPr="00292F0B">
        <w:rPr>
          <w:rFonts w:ascii="Century Gothic" w:hAnsi="Century Gothic" w:cs="Arial"/>
          <w:i/>
          <w:iCs/>
        </w:rPr>
        <w:t xml:space="preserve">, además expresa en sus conceptos de impugnación, que ésta no se encuentra debidamente </w:t>
      </w:r>
      <w:r w:rsidR="002C0D09" w:rsidRPr="00292F0B">
        <w:rPr>
          <w:rFonts w:ascii="Century Gothic" w:hAnsi="Century Gothic" w:cs="Arial"/>
          <w:b/>
          <w:i/>
          <w:iCs/>
        </w:rPr>
        <w:t>fundada y motivada.</w:t>
      </w:r>
    </w:p>
    <w:p w14:paraId="42189C33" w14:textId="5EC021A2" w:rsidR="002C0D09" w:rsidRPr="00292F0B" w:rsidRDefault="002C0D09" w:rsidP="00FE770C">
      <w:pPr>
        <w:ind w:left="567" w:right="616" w:firstLine="284"/>
        <w:jc w:val="both"/>
        <w:rPr>
          <w:rFonts w:ascii="Century Gothic" w:hAnsi="Century Gothic" w:cs="Arial"/>
          <w:i/>
          <w:iCs/>
        </w:rPr>
      </w:pPr>
      <w:r w:rsidRPr="00292F0B">
        <w:rPr>
          <w:rFonts w:ascii="Century Gothic" w:hAnsi="Century Gothic" w:cs="Arial"/>
          <w:i/>
          <w:iCs/>
        </w:rPr>
        <w:t xml:space="preserve">Ahora, esta Juzgadora procede al análisis del acta de infracción impugnada con número de folio </w:t>
      </w:r>
      <w:r w:rsidR="00DF45E0" w:rsidRPr="00292F0B">
        <w:rPr>
          <w:rFonts w:ascii="Century Gothic" w:hAnsi="Century Gothic" w:cs="Arial"/>
          <w:b/>
          <w:i/>
          <w:iCs/>
        </w:rPr>
        <w:t>7542</w:t>
      </w:r>
      <w:r w:rsidRPr="00292F0B">
        <w:rPr>
          <w:rFonts w:ascii="Century Gothic" w:hAnsi="Century Gothic" w:cs="Arial"/>
          <w:b/>
          <w:i/>
          <w:iCs/>
        </w:rPr>
        <w:t xml:space="preserve"> A,</w:t>
      </w:r>
      <w:r w:rsidR="00DF45E0" w:rsidRPr="00292F0B">
        <w:rPr>
          <w:rFonts w:ascii="Century Gothic" w:hAnsi="Century Gothic" w:cs="Arial"/>
          <w:b/>
          <w:i/>
          <w:iCs/>
        </w:rPr>
        <w:t xml:space="preserve"> </w:t>
      </w:r>
      <w:r w:rsidR="00DF45E0" w:rsidRPr="00292F0B">
        <w:rPr>
          <w:rFonts w:ascii="Century Gothic" w:hAnsi="Century Gothic" w:cs="Arial"/>
          <w:i/>
          <w:iCs/>
        </w:rPr>
        <w:t>de treinta y uno de agosto de dos mil</w:t>
      </w:r>
      <w:r w:rsidRPr="00292F0B">
        <w:rPr>
          <w:rFonts w:ascii="Century Gothic" w:hAnsi="Century Gothic" w:cs="Arial"/>
          <w:i/>
          <w:iCs/>
        </w:rPr>
        <w:t xml:space="preserve"> veintidós, emitido por el Policía Vial con número estadístico PV-</w:t>
      </w:r>
      <w:r w:rsidR="00DF45E0" w:rsidRPr="00292F0B">
        <w:rPr>
          <w:rFonts w:ascii="Century Gothic" w:hAnsi="Century Gothic" w:cs="Arial"/>
          <w:i/>
          <w:iCs/>
        </w:rPr>
        <w:t>6</w:t>
      </w:r>
      <w:r w:rsidRPr="00292F0B">
        <w:rPr>
          <w:rFonts w:ascii="Century Gothic" w:hAnsi="Century Gothic" w:cs="Arial"/>
          <w:i/>
          <w:iCs/>
        </w:rPr>
        <w:t xml:space="preserve">9, </w:t>
      </w:r>
      <w:r w:rsidR="00DF45E0" w:rsidRPr="00292F0B">
        <w:rPr>
          <w:rFonts w:ascii="Century Gothic" w:hAnsi="Century Gothic" w:cs="Arial"/>
          <w:i/>
          <w:iCs/>
        </w:rPr>
        <w:t>adscrito a la Dirección de Movilidad, dependiente de la Secretaria de Seguridad Ciudadana, Movilidad y Protección Civil del Municipio de Oaxaca de Juárez, Oaxaca</w:t>
      </w:r>
      <w:r w:rsidRPr="00292F0B">
        <w:rPr>
          <w:rFonts w:ascii="Century Gothic" w:hAnsi="Century Gothic" w:cs="Arial"/>
          <w:i/>
          <w:iCs/>
        </w:rPr>
        <w:t xml:space="preserve">, a la cual se le confiere valor probatorio pleno, por ser un documento público expedido por un servidor público en ejercicio de sus funciones, en términos del artículo 203 fracción I, de la Ley que rige a este Tribunal. </w:t>
      </w:r>
    </w:p>
    <w:p w14:paraId="565F253A" w14:textId="77777777" w:rsidR="003E143B" w:rsidRPr="00292F0B" w:rsidRDefault="00DF45E0" w:rsidP="00FE770C">
      <w:pPr>
        <w:ind w:left="567" w:right="616" w:firstLine="284"/>
        <w:jc w:val="both"/>
        <w:rPr>
          <w:rFonts w:ascii="Century Gothic" w:hAnsi="Century Gothic" w:cs="Arial"/>
          <w:i/>
          <w:iCs/>
        </w:rPr>
      </w:pPr>
      <w:r w:rsidRPr="00292F0B">
        <w:rPr>
          <w:rFonts w:ascii="Century Gothic" w:hAnsi="Century Gothic" w:cs="Arial"/>
          <w:i/>
          <w:iCs/>
        </w:rPr>
        <w:t>De ella se advierte, que el</w:t>
      </w:r>
      <w:r w:rsidR="002C0D09" w:rsidRPr="00292F0B">
        <w:rPr>
          <w:rFonts w:ascii="Century Gothic" w:hAnsi="Century Gothic" w:cs="Arial"/>
          <w:i/>
          <w:iCs/>
        </w:rPr>
        <w:t xml:space="preserve"> Policía Vial que lo emitió, en el rubro de </w:t>
      </w:r>
      <w:r w:rsidR="002C0D09" w:rsidRPr="00292F0B">
        <w:rPr>
          <w:rFonts w:ascii="Century Gothic" w:hAnsi="Century Gothic" w:cs="Arial"/>
          <w:b/>
          <w:i/>
          <w:iCs/>
        </w:rPr>
        <w:t xml:space="preserve">motivación </w:t>
      </w:r>
      <w:r w:rsidRPr="00292F0B">
        <w:rPr>
          <w:rFonts w:ascii="Century Gothic" w:hAnsi="Century Gothic" w:cs="Arial"/>
          <w:b/>
          <w:i/>
          <w:iCs/>
        </w:rPr>
        <w:t>escribió:</w:t>
      </w:r>
      <w:r w:rsidR="002C0D09" w:rsidRPr="00292F0B">
        <w:rPr>
          <w:rFonts w:ascii="Century Gothic" w:hAnsi="Century Gothic" w:cs="Arial"/>
          <w:i/>
          <w:iCs/>
        </w:rPr>
        <w:t xml:space="preserve"> “E</w:t>
      </w:r>
      <w:r w:rsidRPr="00292F0B">
        <w:rPr>
          <w:rFonts w:ascii="Century Gothic" w:hAnsi="Century Gothic" w:cs="Arial"/>
          <w:i/>
          <w:iCs/>
        </w:rPr>
        <w:t>stacionado sobre banqueta”</w:t>
      </w:r>
      <w:r w:rsidR="002C0D09" w:rsidRPr="00292F0B">
        <w:rPr>
          <w:rFonts w:ascii="Century Gothic" w:hAnsi="Century Gothic" w:cs="Arial"/>
          <w:i/>
          <w:iCs/>
        </w:rPr>
        <w:t xml:space="preserve"> </w:t>
      </w:r>
    </w:p>
    <w:p w14:paraId="452D2413" w14:textId="73DAA6A4" w:rsidR="002C0D09" w:rsidRPr="00292F0B" w:rsidRDefault="003E143B" w:rsidP="00FE770C">
      <w:pPr>
        <w:ind w:left="567" w:right="616" w:firstLine="284"/>
        <w:jc w:val="both"/>
        <w:rPr>
          <w:rFonts w:ascii="Century Gothic" w:hAnsi="Century Gothic" w:cs="Arial"/>
          <w:i/>
          <w:iCs/>
        </w:rPr>
      </w:pPr>
      <w:r w:rsidRPr="00292F0B">
        <w:rPr>
          <w:rFonts w:ascii="Century Gothic" w:hAnsi="Century Gothic" w:cs="Arial"/>
          <w:i/>
          <w:iCs/>
        </w:rPr>
        <w:t>S</w:t>
      </w:r>
      <w:r w:rsidR="002C0D09" w:rsidRPr="00292F0B">
        <w:rPr>
          <w:rFonts w:ascii="Century Gothic" w:hAnsi="Century Gothic" w:cs="Arial"/>
          <w:i/>
          <w:iCs/>
        </w:rPr>
        <w:t>in embargo, no precisó las</w:t>
      </w:r>
      <w:r w:rsidR="002C0D09" w:rsidRPr="00292F0B">
        <w:rPr>
          <w:rFonts w:ascii="Century Gothic" w:hAnsi="Century Gothic" w:cs="Arial"/>
          <w:b/>
          <w:i/>
          <w:iCs/>
        </w:rPr>
        <w:t xml:space="preserve"> razones, motivos o circunstancias especiales que llevaron a esa autoridad a concluir que el caso en particular encuadraba en el supuesto previsto en las normas legales invocadas</w:t>
      </w:r>
      <w:r w:rsidR="002C0D09" w:rsidRPr="00292F0B">
        <w:rPr>
          <w:rFonts w:ascii="Century Gothic" w:hAnsi="Century Gothic" w:cs="Arial"/>
          <w:i/>
          <w:iCs/>
        </w:rPr>
        <w:t xml:space="preserve"> como fundamento. </w:t>
      </w:r>
    </w:p>
    <w:p w14:paraId="419977DD" w14:textId="3B69DB6B" w:rsidR="002C0D09" w:rsidRPr="00292F0B" w:rsidRDefault="002C0D09" w:rsidP="00FE770C">
      <w:pPr>
        <w:ind w:left="567" w:right="616" w:firstLine="284"/>
        <w:jc w:val="both"/>
        <w:rPr>
          <w:rFonts w:ascii="Century Gothic" w:hAnsi="Century Gothic" w:cs="Arial"/>
          <w:i/>
          <w:iCs/>
        </w:rPr>
      </w:pPr>
      <w:r w:rsidRPr="00292F0B">
        <w:rPr>
          <w:rFonts w:ascii="Century Gothic" w:hAnsi="Century Gothic" w:cs="Arial"/>
          <w:i/>
          <w:iCs/>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w:t>
      </w:r>
      <w:r w:rsidR="003E143B" w:rsidRPr="00292F0B">
        <w:rPr>
          <w:rFonts w:ascii="Century Gothic" w:hAnsi="Century Gothic" w:cs="Arial"/>
          <w:i/>
          <w:iCs/>
        </w:rPr>
        <w:t xml:space="preserve">fundamento de su actuar los artículos 70 del Reglamento de Vialidad para el Municipio de Oaxaca de Juárez, Oaxaca y 21 Constitucional, sin que hiciera </w:t>
      </w:r>
      <w:r w:rsidRPr="00292F0B">
        <w:rPr>
          <w:rFonts w:ascii="Century Gothic" w:hAnsi="Century Gothic" w:cs="Arial"/>
          <w:i/>
          <w:iCs/>
        </w:rPr>
        <w:t xml:space="preserve"> referencia de los hechos ocurridos ni especificar las razones particulares o causas inmediatas, que lo llevaron a concluir el sustento para emitir el acto. </w:t>
      </w:r>
    </w:p>
    <w:p w14:paraId="37982E7B" w14:textId="565555A1" w:rsidR="002C0D09" w:rsidRPr="00292F0B" w:rsidRDefault="002C0D09" w:rsidP="00FE770C">
      <w:pPr>
        <w:ind w:left="567" w:right="616" w:firstLine="284"/>
        <w:jc w:val="both"/>
        <w:rPr>
          <w:rFonts w:ascii="Century Gothic" w:hAnsi="Century Gothic" w:cs="Arial"/>
          <w:i/>
          <w:iCs/>
        </w:rPr>
      </w:pPr>
      <w:r w:rsidRPr="00292F0B">
        <w:rPr>
          <w:rFonts w:ascii="Century Gothic" w:hAnsi="Century Gothic" w:cs="Arial"/>
          <w:i/>
          <w:iCs/>
        </w:rPr>
        <w:t>Así, el Policía Vial Municipal con número estadístico PV-</w:t>
      </w:r>
      <w:r w:rsidR="00A8339C" w:rsidRPr="00292F0B">
        <w:rPr>
          <w:rFonts w:ascii="Century Gothic" w:hAnsi="Century Gothic" w:cs="Arial"/>
          <w:i/>
          <w:iCs/>
        </w:rPr>
        <w:t>6</w:t>
      </w:r>
      <w:r w:rsidRPr="00292F0B">
        <w:rPr>
          <w:rFonts w:ascii="Century Gothic" w:hAnsi="Century Gothic" w:cs="Arial"/>
          <w:i/>
          <w:iCs/>
        </w:rPr>
        <w:t xml:space="preserve">9, </w:t>
      </w:r>
      <w:r w:rsidR="00A8339C" w:rsidRPr="00292F0B">
        <w:rPr>
          <w:rFonts w:ascii="Century Gothic" w:hAnsi="Century Gothic" w:cs="Arial"/>
          <w:i/>
          <w:iCs/>
        </w:rPr>
        <w:t>adscrito a la Dirección de Movilidad, dependiente de la Secretaria de Seguridad Ciudadana, Movilidad y Protección Civil del Municipio de Oaxaca de Juárez, Oaxaca</w:t>
      </w:r>
      <w:r w:rsidRPr="00292F0B">
        <w:rPr>
          <w:rFonts w:ascii="Century Gothic" w:hAnsi="Century Gothic" w:cs="Arial"/>
          <w:i/>
          <w:iCs/>
        </w:rPr>
        <w:t>, al no precisar y concluir con argumentos lógico jurídicos las circunstancias por las cuales estimó que</w:t>
      </w:r>
      <w:r w:rsidR="00A8339C" w:rsidRPr="00292F0B">
        <w:rPr>
          <w:rFonts w:ascii="Century Gothic" w:hAnsi="Century Gothic" w:cs="Arial"/>
          <w:i/>
          <w:iCs/>
        </w:rPr>
        <w:t xml:space="preserve"> el </w:t>
      </w:r>
      <w:r w:rsidRPr="00292F0B">
        <w:rPr>
          <w:rFonts w:ascii="Century Gothic" w:hAnsi="Century Gothic" w:cs="Arial"/>
          <w:i/>
          <w:iCs/>
        </w:rPr>
        <w:t>supuest</w:t>
      </w:r>
      <w:r w:rsidR="00A8339C" w:rsidRPr="00292F0B">
        <w:rPr>
          <w:rFonts w:ascii="Century Gothic" w:hAnsi="Century Gothic" w:cs="Arial"/>
          <w:i/>
          <w:iCs/>
        </w:rPr>
        <w:t>o</w:t>
      </w:r>
      <w:r w:rsidRPr="00292F0B">
        <w:rPr>
          <w:rFonts w:ascii="Century Gothic" w:hAnsi="Century Gothic" w:cs="Arial"/>
          <w:i/>
          <w:iCs/>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w:t>
      </w:r>
      <w:r w:rsidRPr="00292F0B">
        <w:rPr>
          <w:rFonts w:ascii="Century Gothic" w:hAnsi="Century Gothic" w:cs="Arial"/>
          <w:i/>
          <w:iCs/>
        </w:rPr>
        <w:lastRenderedPageBreak/>
        <w:t xml:space="preserve">especiales, razones particulares o causas inmediatas que haya tenido en consideración para la emisión del acto, tal y como lo prevé la fracción V del artículo 17, de la Ley de Procedimiento y Justicia Administrativa para el Estado de Oaxaca. </w:t>
      </w:r>
    </w:p>
    <w:p w14:paraId="643BEC50" w14:textId="77777777" w:rsidR="002C0D09" w:rsidRPr="00292F0B" w:rsidRDefault="002C0D09" w:rsidP="00FE770C">
      <w:pPr>
        <w:ind w:left="567" w:right="616" w:firstLine="284"/>
        <w:jc w:val="both"/>
        <w:rPr>
          <w:rFonts w:ascii="Century Gothic" w:hAnsi="Century Gothic" w:cs="Arial"/>
          <w:i/>
          <w:iCs/>
        </w:rPr>
      </w:pPr>
      <w:r w:rsidRPr="00292F0B">
        <w:rPr>
          <w:rFonts w:ascii="Century Gothic" w:hAnsi="Century Gothic" w:cs="Arial"/>
          <w:i/>
          <w:iCs/>
        </w:rPr>
        <w:t xml:space="preserve">Lo anterior encuentra apoyo en la Jurisprudencia VI.2 J.7248. sustentada por el Segundo Tribunal Colegiado del Sexto Circuito, que aparece publicada en la página 43 de la Gaceta del Semanario Judicial de la Federación, tomo 64, abril de 1993, octava época, materia administrativa, bajo el rubro y texto siguientes: </w:t>
      </w:r>
    </w:p>
    <w:p w14:paraId="69E5ABC7" w14:textId="77777777" w:rsidR="002C0D09" w:rsidRPr="00292F0B" w:rsidRDefault="002C0D09" w:rsidP="00FE770C">
      <w:pPr>
        <w:ind w:left="567" w:right="616" w:firstLine="284"/>
        <w:jc w:val="both"/>
        <w:rPr>
          <w:rFonts w:ascii="Century Gothic" w:hAnsi="Century Gothic" w:cs="Arial"/>
          <w:i/>
          <w:iCs/>
        </w:rPr>
      </w:pPr>
      <w:r w:rsidRPr="00292F0B">
        <w:rPr>
          <w:rFonts w:ascii="Century Gothic" w:hAnsi="Century Gothic" w:cs="Arial"/>
          <w:b/>
          <w:i/>
          <w:iCs/>
        </w:rPr>
        <w:t xml:space="preserve">“FUNDAMENTACIÓN Y MOTIVACIÓN DE LOS ACTOS ADMINISTRATIVOS. </w:t>
      </w:r>
      <w:r w:rsidRPr="00292F0B">
        <w:rPr>
          <w:rFonts w:ascii="Century Gothic" w:hAnsi="Century Gothic" w:cs="Arial"/>
          <w:i/>
          <w:iCs/>
        </w:rPr>
        <w:t>[…]</w:t>
      </w:r>
    </w:p>
    <w:p w14:paraId="3D078121" w14:textId="473C9864" w:rsidR="003638B9" w:rsidRPr="00292F0B" w:rsidRDefault="002C0D09" w:rsidP="00FE770C">
      <w:pPr>
        <w:ind w:left="567" w:right="616" w:firstLine="284"/>
        <w:jc w:val="both"/>
        <w:rPr>
          <w:rFonts w:ascii="Century Gothic" w:hAnsi="Century Gothic" w:cs="Arial"/>
          <w:b/>
          <w:i/>
          <w:iCs/>
        </w:rPr>
      </w:pPr>
      <w:r w:rsidRPr="00292F0B">
        <w:rPr>
          <w:rFonts w:ascii="Century Gothic" w:hAnsi="Century Gothic" w:cs="Arial"/>
          <w:i/>
          <w:iCs/>
        </w:rPr>
        <w:t xml:space="preserve">En consecuencia, procede con fundamento en el artículo 208 fracción II, de la Ley de Procedimiento y Justicia Administrativa para el Estado de Oaxaca, declarar la </w:t>
      </w:r>
      <w:r w:rsidRPr="00292F0B">
        <w:rPr>
          <w:rFonts w:ascii="Century Gothic" w:hAnsi="Century Gothic" w:cs="Arial"/>
          <w:b/>
          <w:i/>
          <w:iCs/>
        </w:rPr>
        <w:t xml:space="preserve">NULIDAD LISA Y LLANA, </w:t>
      </w:r>
      <w:r w:rsidRPr="00292F0B">
        <w:rPr>
          <w:rFonts w:ascii="Century Gothic" w:hAnsi="Century Gothic" w:cs="Arial"/>
          <w:i/>
          <w:iCs/>
        </w:rPr>
        <w:t xml:space="preserve">del acta de infracción </w:t>
      </w:r>
      <w:r w:rsidR="00A8339C" w:rsidRPr="00292F0B">
        <w:rPr>
          <w:rFonts w:ascii="Century Gothic" w:hAnsi="Century Gothic" w:cs="Arial"/>
          <w:b/>
          <w:i/>
          <w:iCs/>
        </w:rPr>
        <w:t>7542</w:t>
      </w:r>
      <w:r w:rsidRPr="00292F0B">
        <w:rPr>
          <w:rFonts w:ascii="Century Gothic" w:hAnsi="Century Gothic" w:cs="Arial"/>
          <w:b/>
          <w:i/>
          <w:iCs/>
        </w:rPr>
        <w:t xml:space="preserve"> A, </w:t>
      </w:r>
      <w:r w:rsidRPr="00292F0B">
        <w:rPr>
          <w:rFonts w:ascii="Century Gothic" w:hAnsi="Century Gothic" w:cs="Arial"/>
          <w:i/>
          <w:iCs/>
        </w:rPr>
        <w:t xml:space="preserve">de </w:t>
      </w:r>
      <w:r w:rsidR="00A8339C" w:rsidRPr="00292F0B">
        <w:rPr>
          <w:rFonts w:ascii="Century Gothic" w:hAnsi="Century Gothic" w:cs="Arial"/>
          <w:i/>
          <w:iCs/>
        </w:rPr>
        <w:t xml:space="preserve">treinta y uno de agosto de </w:t>
      </w:r>
      <w:r w:rsidRPr="00292F0B">
        <w:rPr>
          <w:rFonts w:ascii="Century Gothic" w:hAnsi="Century Gothic" w:cs="Arial"/>
          <w:i/>
          <w:iCs/>
        </w:rPr>
        <w:t>dos mil veintidós, emitido por el Policía Vial con número estadístico PV-</w:t>
      </w:r>
      <w:r w:rsidR="00A8339C" w:rsidRPr="00292F0B">
        <w:rPr>
          <w:rFonts w:ascii="Century Gothic" w:hAnsi="Century Gothic" w:cs="Arial"/>
          <w:i/>
          <w:iCs/>
        </w:rPr>
        <w:t>69 adscrito a la Dirección de Movilidad, dependiente de la Secretaria de Seguridad Ciudadana, Movilidad y Protección Civil del Municipio de Oaxaca de Juárez, Oaxaca</w:t>
      </w:r>
      <w:r w:rsidRPr="00292F0B">
        <w:rPr>
          <w:rFonts w:ascii="Century Gothic" w:hAnsi="Century Gothic" w:cs="Arial"/>
          <w:i/>
          <w:iCs/>
        </w:rPr>
        <w:t xml:space="preserve"> y una vez que cause ejecutori</w:t>
      </w:r>
      <w:r w:rsidR="00A8339C" w:rsidRPr="00292F0B">
        <w:rPr>
          <w:rFonts w:ascii="Century Gothic" w:hAnsi="Century Gothic" w:cs="Arial"/>
          <w:i/>
          <w:iCs/>
        </w:rPr>
        <w:t xml:space="preserve">a la sentencia se dé baja </w:t>
      </w:r>
      <w:r w:rsidRPr="00292F0B">
        <w:rPr>
          <w:rFonts w:ascii="Century Gothic" w:hAnsi="Century Gothic" w:cs="Arial"/>
          <w:i/>
          <w:iCs/>
        </w:rPr>
        <w:t>del Sistema  SAP, el acta de infracción impugnada.</w:t>
      </w:r>
      <w:r w:rsidR="00045BAD" w:rsidRPr="00292F0B">
        <w:rPr>
          <w:rFonts w:ascii="Century Gothic" w:hAnsi="Century Gothic" w:cs="Arial"/>
          <w:b/>
          <w:i/>
          <w:iCs/>
        </w:rPr>
        <w:t>”</w:t>
      </w:r>
    </w:p>
    <w:p w14:paraId="0036E191" w14:textId="77777777" w:rsidR="000A3CC1" w:rsidRPr="00292F0B" w:rsidRDefault="000A3CC1" w:rsidP="00FE770C">
      <w:pPr>
        <w:spacing w:after="0"/>
        <w:ind w:left="567" w:right="616"/>
        <w:jc w:val="both"/>
        <w:rPr>
          <w:rFonts w:ascii="Century Gothic" w:hAnsi="Century Gothic" w:cs="Arial"/>
          <w:sz w:val="24"/>
          <w:szCs w:val="24"/>
        </w:rPr>
      </w:pPr>
    </w:p>
    <w:p w14:paraId="32F38206" w14:textId="0C63B304" w:rsidR="003922BF" w:rsidRPr="00292F0B" w:rsidRDefault="007F0C5F" w:rsidP="00FE770C">
      <w:pPr>
        <w:ind w:firstLine="708"/>
        <w:jc w:val="both"/>
        <w:rPr>
          <w:rFonts w:ascii="Century Gothic" w:hAnsi="Century Gothic" w:cs="Arial"/>
          <w:sz w:val="24"/>
          <w:szCs w:val="24"/>
        </w:rPr>
      </w:pPr>
      <w:r>
        <w:rPr>
          <w:rFonts w:ascii="Century Gothic" w:hAnsi="Century Gothic" w:cs="Arial"/>
          <w:sz w:val="24"/>
          <w:szCs w:val="24"/>
        </w:rPr>
        <w:t xml:space="preserve">15. </w:t>
      </w:r>
      <w:r w:rsidR="003638B9" w:rsidRPr="00292F0B">
        <w:rPr>
          <w:rFonts w:ascii="Century Gothic" w:hAnsi="Century Gothic" w:cs="Arial"/>
          <w:sz w:val="24"/>
          <w:szCs w:val="24"/>
        </w:rPr>
        <w:t xml:space="preserve">De la transcripción anterior, se advierte </w:t>
      </w:r>
      <w:r w:rsidR="00221E9A" w:rsidRPr="00292F0B">
        <w:rPr>
          <w:rFonts w:ascii="Century Gothic" w:hAnsi="Century Gothic" w:cs="Arial"/>
          <w:bCs/>
          <w:sz w:val="24"/>
          <w:szCs w:val="24"/>
        </w:rPr>
        <w:t>que</w:t>
      </w:r>
      <w:r w:rsidR="008D105A" w:rsidRPr="00292F0B">
        <w:rPr>
          <w:rFonts w:ascii="Century Gothic" w:hAnsi="Century Gothic" w:cs="Arial"/>
          <w:bCs/>
          <w:sz w:val="24"/>
          <w:szCs w:val="24"/>
        </w:rPr>
        <w:t xml:space="preserve"> </w:t>
      </w:r>
      <w:r w:rsidR="003922BF" w:rsidRPr="00292F0B">
        <w:rPr>
          <w:rFonts w:ascii="Century Gothic" w:hAnsi="Century Gothic" w:cs="Arial"/>
          <w:bCs/>
          <w:color w:val="000000"/>
          <w:sz w:val="24"/>
          <w:szCs w:val="24"/>
        </w:rPr>
        <w:t>contrario a lo que alega</w:t>
      </w:r>
      <w:r w:rsidR="00105C87" w:rsidRPr="00292F0B">
        <w:rPr>
          <w:rFonts w:ascii="Century Gothic" w:hAnsi="Century Gothic" w:cs="Arial"/>
          <w:bCs/>
          <w:color w:val="000000"/>
          <w:sz w:val="24"/>
          <w:szCs w:val="24"/>
        </w:rPr>
        <w:t xml:space="preserve"> la autoridad recurrente</w:t>
      </w:r>
      <w:r w:rsidR="003922BF" w:rsidRPr="00292F0B">
        <w:rPr>
          <w:rFonts w:ascii="Century Gothic" w:hAnsi="Century Gothic" w:cs="Arial"/>
          <w:bCs/>
          <w:color w:val="000000"/>
          <w:sz w:val="24"/>
          <w:szCs w:val="24"/>
        </w:rPr>
        <w:t xml:space="preserve">, la sala </w:t>
      </w:r>
      <w:r w:rsidR="00313BD1" w:rsidRPr="00292F0B">
        <w:rPr>
          <w:rFonts w:ascii="Century Gothic" w:hAnsi="Century Gothic" w:cs="Arial"/>
          <w:bCs/>
          <w:color w:val="000000"/>
          <w:sz w:val="24"/>
          <w:szCs w:val="24"/>
        </w:rPr>
        <w:t>d</w:t>
      </w:r>
      <w:r w:rsidR="00221E9A" w:rsidRPr="00292F0B">
        <w:rPr>
          <w:rFonts w:ascii="Century Gothic" w:hAnsi="Century Gothic" w:cs="Arial"/>
          <w:bCs/>
          <w:color w:val="000000"/>
          <w:sz w:val="24"/>
          <w:szCs w:val="24"/>
        </w:rPr>
        <w:t>e primera instancia se</w:t>
      </w:r>
      <w:r w:rsidR="00105C87" w:rsidRPr="00292F0B">
        <w:rPr>
          <w:rFonts w:ascii="Century Gothic" w:hAnsi="Century Gothic" w:cs="Arial"/>
          <w:bCs/>
          <w:color w:val="000000"/>
          <w:sz w:val="24"/>
          <w:szCs w:val="24"/>
        </w:rPr>
        <w:t xml:space="preserve"> ab</w:t>
      </w:r>
      <w:r w:rsidR="003922BF" w:rsidRPr="00292F0B">
        <w:rPr>
          <w:rFonts w:ascii="Century Gothic" w:hAnsi="Century Gothic" w:cs="Arial"/>
          <w:bCs/>
          <w:color w:val="000000"/>
          <w:sz w:val="24"/>
          <w:szCs w:val="24"/>
        </w:rPr>
        <w:t>ocó a analizar el act</w:t>
      </w:r>
      <w:r w:rsidR="003638B9" w:rsidRPr="00292F0B">
        <w:rPr>
          <w:rFonts w:ascii="Century Gothic" w:hAnsi="Century Gothic" w:cs="Arial"/>
          <w:bCs/>
          <w:color w:val="000000"/>
          <w:sz w:val="24"/>
          <w:szCs w:val="24"/>
        </w:rPr>
        <w:t>o administrativo impugnado</w:t>
      </w:r>
      <w:r w:rsidR="00105C87" w:rsidRPr="00292F0B">
        <w:rPr>
          <w:rFonts w:ascii="Century Gothic" w:hAnsi="Century Gothic" w:cs="Arial"/>
          <w:sz w:val="24"/>
          <w:szCs w:val="24"/>
        </w:rPr>
        <w:t xml:space="preserve">, </w:t>
      </w:r>
      <w:r w:rsidR="003922BF" w:rsidRPr="00292F0B">
        <w:rPr>
          <w:rFonts w:ascii="Century Gothic" w:hAnsi="Century Gothic" w:cs="Arial"/>
          <w:bCs/>
          <w:sz w:val="24"/>
          <w:szCs w:val="24"/>
        </w:rPr>
        <w:t>para verter las consideraciones sustentadas en ra</w:t>
      </w:r>
      <w:r w:rsidR="003922BF" w:rsidRPr="00292F0B">
        <w:rPr>
          <w:rFonts w:ascii="Century Gothic" w:hAnsi="Century Gothic" w:cs="Arial"/>
          <w:sz w:val="24"/>
          <w:szCs w:val="24"/>
        </w:rPr>
        <w:t xml:space="preserve">zonamientos debidamente fundados y motivados, que </w:t>
      </w:r>
      <w:r w:rsidR="00221E9A" w:rsidRPr="00292F0B">
        <w:rPr>
          <w:rFonts w:ascii="Century Gothic" w:hAnsi="Century Gothic" w:cs="Arial"/>
          <w:sz w:val="24"/>
          <w:szCs w:val="24"/>
        </w:rPr>
        <w:t xml:space="preserve">la </w:t>
      </w:r>
      <w:r w:rsidR="003922BF" w:rsidRPr="00292F0B">
        <w:rPr>
          <w:rFonts w:ascii="Century Gothic" w:hAnsi="Century Gothic" w:cs="Arial"/>
          <w:sz w:val="24"/>
          <w:szCs w:val="24"/>
        </w:rPr>
        <w:t xml:space="preserve">llevaron </w:t>
      </w:r>
      <w:r w:rsidR="00221E9A" w:rsidRPr="00292F0B">
        <w:rPr>
          <w:rFonts w:ascii="Century Gothic" w:hAnsi="Century Gothic" w:cs="Arial"/>
          <w:sz w:val="24"/>
          <w:szCs w:val="24"/>
        </w:rPr>
        <w:t>a</w:t>
      </w:r>
      <w:r w:rsidR="003922BF" w:rsidRPr="00292F0B">
        <w:rPr>
          <w:rFonts w:ascii="Century Gothic" w:hAnsi="Century Gothic" w:cs="Arial"/>
          <w:sz w:val="24"/>
          <w:szCs w:val="24"/>
        </w:rPr>
        <w:t xml:space="preserve"> determinar la nulidad lisa y llana del acto de autoridad. </w:t>
      </w:r>
    </w:p>
    <w:p w14:paraId="6F9336E9" w14:textId="19A9FA2F" w:rsidR="00952794" w:rsidRPr="00292F0B" w:rsidRDefault="007F0C5F" w:rsidP="00FE770C">
      <w:pPr>
        <w:ind w:firstLine="708"/>
        <w:jc w:val="both"/>
        <w:rPr>
          <w:rFonts w:ascii="Century Gothic" w:hAnsi="Century Gothic" w:cs="Arial"/>
          <w:sz w:val="24"/>
          <w:szCs w:val="24"/>
        </w:rPr>
      </w:pPr>
      <w:r>
        <w:rPr>
          <w:rFonts w:ascii="Century Gothic" w:hAnsi="Century Gothic" w:cs="Arial"/>
          <w:sz w:val="24"/>
          <w:szCs w:val="24"/>
        </w:rPr>
        <w:t xml:space="preserve">16. </w:t>
      </w:r>
      <w:r w:rsidR="00313BD1" w:rsidRPr="00292F0B">
        <w:rPr>
          <w:rFonts w:ascii="Century Gothic" w:hAnsi="Century Gothic" w:cs="Arial"/>
          <w:sz w:val="24"/>
          <w:szCs w:val="24"/>
        </w:rPr>
        <w:t>Se dice lo anterior</w:t>
      </w:r>
      <w:r w:rsidR="00221E9A" w:rsidRPr="00292F0B">
        <w:rPr>
          <w:rFonts w:ascii="Century Gothic" w:hAnsi="Century Gothic" w:cs="Arial"/>
          <w:sz w:val="24"/>
          <w:szCs w:val="24"/>
        </w:rPr>
        <w:t>,</w:t>
      </w:r>
      <w:r w:rsidR="003922BF" w:rsidRPr="00292F0B">
        <w:rPr>
          <w:rFonts w:ascii="Century Gothic" w:hAnsi="Century Gothic" w:cs="Arial"/>
          <w:sz w:val="24"/>
          <w:szCs w:val="24"/>
        </w:rPr>
        <w:t xml:space="preserve"> porque a foja</w:t>
      </w:r>
      <w:r w:rsidR="00A8339C" w:rsidRPr="00292F0B">
        <w:rPr>
          <w:rFonts w:ascii="Century Gothic" w:hAnsi="Century Gothic" w:cs="Arial"/>
          <w:sz w:val="24"/>
          <w:szCs w:val="24"/>
        </w:rPr>
        <w:t xml:space="preserve"> ocho</w:t>
      </w:r>
      <w:r w:rsidR="002C0D09" w:rsidRPr="00292F0B">
        <w:rPr>
          <w:rFonts w:ascii="Century Gothic" w:hAnsi="Century Gothic" w:cs="Arial"/>
          <w:sz w:val="24"/>
          <w:szCs w:val="24"/>
        </w:rPr>
        <w:t xml:space="preserve"> </w:t>
      </w:r>
      <w:r w:rsidR="00952794" w:rsidRPr="00292F0B">
        <w:rPr>
          <w:rFonts w:ascii="Century Gothic" w:hAnsi="Century Gothic" w:cs="Arial"/>
          <w:sz w:val="24"/>
          <w:szCs w:val="24"/>
        </w:rPr>
        <w:t xml:space="preserve">de </w:t>
      </w:r>
      <w:r w:rsidR="003922BF" w:rsidRPr="00292F0B">
        <w:rPr>
          <w:rFonts w:ascii="Century Gothic" w:hAnsi="Century Gothic" w:cs="Arial"/>
          <w:sz w:val="24"/>
          <w:szCs w:val="24"/>
        </w:rPr>
        <w:t>los autos, obra glosada el acta de infracción de folio</w:t>
      </w:r>
      <w:r w:rsidR="00A8339C" w:rsidRPr="00292F0B">
        <w:rPr>
          <w:rFonts w:ascii="Century Gothic" w:hAnsi="Century Gothic" w:cs="Arial"/>
          <w:sz w:val="24"/>
          <w:szCs w:val="24"/>
        </w:rPr>
        <w:t xml:space="preserve"> 7542 A de fecha treinta y uno de agosto del año</w:t>
      </w:r>
      <w:r w:rsidR="00D11379" w:rsidRPr="00292F0B">
        <w:rPr>
          <w:rFonts w:ascii="Century Gothic" w:hAnsi="Century Gothic" w:cs="Arial"/>
          <w:sz w:val="24"/>
          <w:szCs w:val="24"/>
        </w:rPr>
        <w:t xml:space="preserve"> dos mil veintidós</w:t>
      </w:r>
      <w:r w:rsidR="005549D7" w:rsidRPr="00292F0B">
        <w:rPr>
          <w:rFonts w:ascii="Century Gothic" w:hAnsi="Century Gothic" w:cs="Arial"/>
          <w:sz w:val="24"/>
          <w:szCs w:val="24"/>
        </w:rPr>
        <w:t>,</w:t>
      </w:r>
      <w:r w:rsidR="003638B9" w:rsidRPr="00292F0B">
        <w:rPr>
          <w:rFonts w:ascii="Century Gothic" w:hAnsi="Century Gothic" w:cs="Arial"/>
          <w:sz w:val="24"/>
          <w:szCs w:val="24"/>
        </w:rPr>
        <w:t xml:space="preserve"> </w:t>
      </w:r>
      <w:r w:rsidR="003922BF" w:rsidRPr="00292F0B">
        <w:rPr>
          <w:rFonts w:ascii="Century Gothic" w:hAnsi="Century Gothic" w:cs="Arial"/>
          <w:sz w:val="24"/>
          <w:szCs w:val="24"/>
        </w:rPr>
        <w:t xml:space="preserve">emitida por </w:t>
      </w:r>
      <w:r w:rsidR="00952794" w:rsidRPr="00292F0B">
        <w:rPr>
          <w:rFonts w:ascii="Century Gothic" w:hAnsi="Century Gothic" w:cs="Arial"/>
          <w:sz w:val="24"/>
          <w:szCs w:val="24"/>
        </w:rPr>
        <w:t>la P</w:t>
      </w:r>
      <w:r w:rsidR="003922BF" w:rsidRPr="00292F0B">
        <w:rPr>
          <w:rFonts w:ascii="Century Gothic" w:hAnsi="Century Gothic" w:cs="Arial"/>
          <w:sz w:val="24"/>
          <w:szCs w:val="24"/>
        </w:rPr>
        <w:t xml:space="preserve">olicía </w:t>
      </w:r>
      <w:r w:rsidR="00952794" w:rsidRPr="00292F0B">
        <w:rPr>
          <w:rFonts w:ascii="Century Gothic" w:hAnsi="Century Gothic" w:cs="Arial"/>
          <w:sz w:val="24"/>
          <w:szCs w:val="24"/>
        </w:rPr>
        <w:t>V</w:t>
      </w:r>
      <w:r w:rsidR="003922BF" w:rsidRPr="00292F0B">
        <w:rPr>
          <w:rFonts w:ascii="Century Gothic" w:hAnsi="Century Gothic" w:cs="Arial"/>
          <w:sz w:val="24"/>
          <w:szCs w:val="24"/>
        </w:rPr>
        <w:t xml:space="preserve">ial recurrente, de cuyo texto se advierte que en el apartado relativo a todos los supuestos descritos como “Faltas Administrativas </w:t>
      </w:r>
      <w:r w:rsidR="00973F60" w:rsidRPr="00292F0B">
        <w:rPr>
          <w:rFonts w:ascii="Century Gothic" w:hAnsi="Century Gothic" w:cs="Arial"/>
          <w:sz w:val="24"/>
          <w:szCs w:val="24"/>
        </w:rPr>
        <w:t>contempladas en el Re</w:t>
      </w:r>
      <w:r w:rsidR="003922BF" w:rsidRPr="00292F0B">
        <w:rPr>
          <w:rFonts w:ascii="Century Gothic" w:hAnsi="Century Gothic" w:cs="Arial"/>
          <w:sz w:val="24"/>
          <w:szCs w:val="24"/>
        </w:rPr>
        <w:t>glamento de Vialidad para el Municipio de Oaxaca</w:t>
      </w:r>
      <w:r w:rsidR="007C1CCF" w:rsidRPr="00292F0B">
        <w:rPr>
          <w:rFonts w:ascii="Century Gothic" w:hAnsi="Century Gothic" w:cs="Arial"/>
          <w:sz w:val="24"/>
          <w:szCs w:val="24"/>
        </w:rPr>
        <w:t xml:space="preserve"> de Juárez”, </w:t>
      </w:r>
      <w:r w:rsidR="00952794" w:rsidRPr="00292F0B">
        <w:rPr>
          <w:rFonts w:ascii="Century Gothic" w:hAnsi="Century Gothic" w:cs="Arial"/>
          <w:sz w:val="24"/>
          <w:szCs w:val="24"/>
        </w:rPr>
        <w:t>remarcó la hipótesis que señala:</w:t>
      </w:r>
    </w:p>
    <w:p w14:paraId="6BB077AB" w14:textId="3E79DC3C" w:rsidR="00952794" w:rsidRPr="0080772F" w:rsidRDefault="00952794" w:rsidP="00FE770C">
      <w:pPr>
        <w:ind w:firstLine="708"/>
        <w:jc w:val="both"/>
        <w:rPr>
          <w:rFonts w:ascii="Century Gothic" w:hAnsi="Century Gothic" w:cstheme="minorHAnsi"/>
          <w:b/>
          <w:sz w:val="24"/>
          <w:szCs w:val="24"/>
        </w:rPr>
      </w:pPr>
      <w:r w:rsidRPr="0080772F">
        <w:rPr>
          <w:rFonts w:ascii="Century Gothic" w:hAnsi="Century Gothic" w:cstheme="minorHAnsi"/>
          <w:b/>
          <w:sz w:val="24"/>
          <w:szCs w:val="24"/>
        </w:rPr>
        <w:t>“</w:t>
      </w:r>
      <w:r w:rsidR="00A8339C" w:rsidRPr="0080772F">
        <w:rPr>
          <w:rFonts w:ascii="Century Gothic" w:hAnsi="Century Gothic" w:cstheme="minorHAnsi"/>
          <w:b/>
          <w:sz w:val="24"/>
          <w:szCs w:val="24"/>
        </w:rPr>
        <w:t>ESTACIONARSE SOBRE BANQUETA</w:t>
      </w:r>
      <w:r w:rsidRPr="0080772F">
        <w:rPr>
          <w:rFonts w:ascii="Century Gothic" w:hAnsi="Century Gothic" w:cstheme="minorHAnsi"/>
          <w:b/>
          <w:sz w:val="24"/>
          <w:szCs w:val="24"/>
        </w:rPr>
        <w:t>. ARTÍ</w:t>
      </w:r>
      <w:r w:rsidR="00973F60" w:rsidRPr="0080772F">
        <w:rPr>
          <w:rFonts w:ascii="Century Gothic" w:hAnsi="Century Gothic" w:cstheme="minorHAnsi"/>
          <w:b/>
          <w:sz w:val="24"/>
          <w:szCs w:val="24"/>
        </w:rPr>
        <w:t>CU</w:t>
      </w:r>
      <w:r w:rsidRPr="0080772F">
        <w:rPr>
          <w:rFonts w:ascii="Century Gothic" w:hAnsi="Century Gothic" w:cstheme="minorHAnsi"/>
          <w:b/>
          <w:sz w:val="24"/>
          <w:szCs w:val="24"/>
        </w:rPr>
        <w:t>LO</w:t>
      </w:r>
      <w:r w:rsidR="00A8339C" w:rsidRPr="0080772F">
        <w:rPr>
          <w:rFonts w:ascii="Century Gothic" w:hAnsi="Century Gothic" w:cstheme="minorHAnsi"/>
          <w:b/>
          <w:sz w:val="24"/>
          <w:szCs w:val="24"/>
        </w:rPr>
        <w:t xml:space="preserve"> 70</w:t>
      </w:r>
      <w:r w:rsidR="00BB51D8" w:rsidRPr="0080772F">
        <w:rPr>
          <w:rFonts w:ascii="Century Gothic" w:hAnsi="Century Gothic" w:cstheme="minorHAnsi"/>
          <w:b/>
          <w:sz w:val="24"/>
          <w:szCs w:val="24"/>
        </w:rPr>
        <w:t>”</w:t>
      </w:r>
    </w:p>
    <w:p w14:paraId="68F792C9" w14:textId="11F89EDB" w:rsidR="00AC66DE" w:rsidRPr="00292F0B" w:rsidRDefault="007F0C5F" w:rsidP="00FE770C">
      <w:pPr>
        <w:ind w:firstLine="708"/>
        <w:jc w:val="both"/>
        <w:rPr>
          <w:rFonts w:ascii="Century Gothic" w:hAnsi="Century Gothic" w:cs="Arial"/>
          <w:sz w:val="24"/>
          <w:szCs w:val="24"/>
        </w:rPr>
      </w:pPr>
      <w:r>
        <w:rPr>
          <w:rFonts w:ascii="Century Gothic" w:hAnsi="Century Gothic" w:cs="Arial"/>
          <w:sz w:val="24"/>
          <w:szCs w:val="24"/>
        </w:rPr>
        <w:t xml:space="preserve">17. </w:t>
      </w:r>
      <w:r w:rsidR="00BB51D8" w:rsidRPr="00292F0B">
        <w:rPr>
          <w:rFonts w:ascii="Century Gothic" w:hAnsi="Century Gothic" w:cs="Arial"/>
          <w:sz w:val="24"/>
          <w:szCs w:val="24"/>
        </w:rPr>
        <w:t>E</w:t>
      </w:r>
      <w:r w:rsidR="00193904" w:rsidRPr="00292F0B">
        <w:rPr>
          <w:rFonts w:ascii="Century Gothic" w:hAnsi="Century Gothic" w:cs="Arial"/>
          <w:sz w:val="24"/>
          <w:szCs w:val="24"/>
        </w:rPr>
        <w:t xml:space="preserve">n el espacio </w:t>
      </w:r>
      <w:r w:rsidR="00555536" w:rsidRPr="00292F0B">
        <w:rPr>
          <w:rFonts w:ascii="Century Gothic" w:hAnsi="Century Gothic" w:cs="Arial"/>
          <w:sz w:val="24"/>
          <w:szCs w:val="24"/>
        </w:rPr>
        <w:t xml:space="preserve">reservado para la </w:t>
      </w:r>
      <w:r w:rsidR="00BB51D8" w:rsidRPr="00292F0B">
        <w:rPr>
          <w:rFonts w:ascii="Century Gothic" w:hAnsi="Century Gothic" w:cs="Arial"/>
          <w:sz w:val="24"/>
          <w:szCs w:val="24"/>
        </w:rPr>
        <w:t>“MOTIVACIÓN”</w:t>
      </w:r>
      <w:r w:rsidR="00555536" w:rsidRPr="00292F0B">
        <w:rPr>
          <w:rFonts w:ascii="Century Gothic" w:hAnsi="Century Gothic" w:cs="Arial"/>
          <w:sz w:val="24"/>
          <w:szCs w:val="24"/>
        </w:rPr>
        <w:t xml:space="preserve"> del acta de inf</w:t>
      </w:r>
      <w:r w:rsidR="00BB51D8" w:rsidRPr="00292F0B">
        <w:rPr>
          <w:rFonts w:ascii="Century Gothic" w:hAnsi="Century Gothic" w:cs="Arial"/>
          <w:sz w:val="24"/>
          <w:szCs w:val="24"/>
        </w:rPr>
        <w:t xml:space="preserve">racción </w:t>
      </w:r>
      <w:r w:rsidR="00AC66DE" w:rsidRPr="00292F0B">
        <w:rPr>
          <w:rFonts w:ascii="Century Gothic" w:hAnsi="Century Gothic" w:cs="Arial"/>
          <w:sz w:val="24"/>
          <w:szCs w:val="24"/>
        </w:rPr>
        <w:t>plasmó:</w:t>
      </w:r>
    </w:p>
    <w:p w14:paraId="43AF80DB" w14:textId="72ED51F0" w:rsidR="00AC66DE" w:rsidRPr="0080772F" w:rsidRDefault="00AC66DE" w:rsidP="00FE770C">
      <w:pPr>
        <w:spacing w:after="0"/>
        <w:ind w:left="851" w:right="616"/>
        <w:jc w:val="both"/>
        <w:rPr>
          <w:rFonts w:ascii="Century Gothic" w:hAnsi="Century Gothic" w:cstheme="minorHAnsi"/>
          <w:b/>
          <w:sz w:val="24"/>
          <w:szCs w:val="24"/>
        </w:rPr>
      </w:pPr>
      <w:r w:rsidRPr="0080772F">
        <w:rPr>
          <w:rFonts w:ascii="Century Gothic" w:hAnsi="Century Gothic" w:cstheme="minorHAnsi"/>
          <w:b/>
          <w:sz w:val="24"/>
          <w:szCs w:val="24"/>
        </w:rPr>
        <w:t>“</w:t>
      </w:r>
      <w:r w:rsidR="00A8339C" w:rsidRPr="0080772F">
        <w:rPr>
          <w:rFonts w:ascii="Century Gothic" w:hAnsi="Century Gothic" w:cstheme="minorHAnsi"/>
          <w:b/>
          <w:sz w:val="24"/>
          <w:szCs w:val="24"/>
        </w:rPr>
        <w:t>ESTACIONADO SOBRE BANQUETA</w:t>
      </w:r>
      <w:r w:rsidR="00973F60" w:rsidRPr="0080772F">
        <w:rPr>
          <w:rFonts w:ascii="Century Gothic" w:hAnsi="Century Gothic" w:cstheme="minorHAnsi"/>
          <w:b/>
          <w:sz w:val="24"/>
          <w:szCs w:val="24"/>
        </w:rPr>
        <w:t>”</w:t>
      </w:r>
    </w:p>
    <w:p w14:paraId="68EA1502" w14:textId="63DF8A40" w:rsidR="00426717" w:rsidRPr="00292F0B" w:rsidRDefault="007F0C5F" w:rsidP="00FE770C">
      <w:pPr>
        <w:ind w:firstLine="708"/>
        <w:jc w:val="both"/>
        <w:rPr>
          <w:rFonts w:ascii="Century Gothic" w:hAnsi="Century Gothic" w:cs="Arial"/>
          <w:sz w:val="24"/>
          <w:szCs w:val="24"/>
        </w:rPr>
      </w:pPr>
      <w:r>
        <w:rPr>
          <w:rFonts w:ascii="Century Gothic" w:hAnsi="Century Gothic" w:cs="Arial"/>
          <w:sz w:val="24"/>
          <w:szCs w:val="24"/>
        </w:rPr>
        <w:t xml:space="preserve">18. </w:t>
      </w:r>
      <w:r w:rsidR="00426717" w:rsidRPr="00292F0B">
        <w:rPr>
          <w:rFonts w:ascii="Century Gothic" w:hAnsi="Century Gothic" w:cs="Arial"/>
          <w:sz w:val="24"/>
          <w:szCs w:val="24"/>
        </w:rPr>
        <w:t xml:space="preserve">En el recuadro relativo a la “Fundamentación”, se advierte el texto preestablecido en el formato del acta de infracción que versa lo siguiente: </w:t>
      </w:r>
    </w:p>
    <w:p w14:paraId="7734DCEB" w14:textId="680C132D" w:rsidR="00426717" w:rsidRPr="00292F0B" w:rsidRDefault="00426717" w:rsidP="00FE770C">
      <w:pPr>
        <w:spacing w:before="240" w:after="0"/>
        <w:ind w:firstLine="708"/>
        <w:jc w:val="both"/>
        <w:rPr>
          <w:rFonts w:ascii="Century Gothic" w:hAnsi="Century Gothic" w:cs="Calibri"/>
          <w:sz w:val="24"/>
          <w:szCs w:val="24"/>
        </w:rPr>
      </w:pPr>
      <w:r w:rsidRPr="00292F0B">
        <w:rPr>
          <w:rFonts w:ascii="Century Gothic" w:hAnsi="Century Gothic" w:cs="Calibri"/>
          <w:sz w:val="24"/>
          <w:szCs w:val="24"/>
        </w:rPr>
        <w:lastRenderedPageBreak/>
        <w:t>“A</w:t>
      </w:r>
      <w:bookmarkStart w:id="2" w:name="_Hlk97816004"/>
      <w:r w:rsidR="00CA35C4" w:rsidRPr="00292F0B">
        <w:rPr>
          <w:rFonts w:ascii="Century Gothic" w:hAnsi="Century Gothic" w:cs="Calibri"/>
          <w:sz w:val="24"/>
          <w:szCs w:val="24"/>
        </w:rPr>
        <w:t xml:space="preserve">rtículo </w:t>
      </w:r>
      <w:r w:rsidR="00A8339C" w:rsidRPr="00292F0B">
        <w:rPr>
          <w:rFonts w:ascii="Century Gothic" w:hAnsi="Century Gothic" w:cs="Calibri"/>
          <w:sz w:val="24"/>
          <w:szCs w:val="24"/>
        </w:rPr>
        <w:t>70; Artículo 21 constitucional</w:t>
      </w:r>
      <w:bookmarkEnd w:id="2"/>
      <w:r w:rsidRPr="00292F0B">
        <w:rPr>
          <w:rFonts w:ascii="Century Gothic" w:hAnsi="Century Gothic" w:cs="Calibri"/>
          <w:sz w:val="24"/>
          <w:szCs w:val="24"/>
        </w:rPr>
        <w:t xml:space="preserve">” </w:t>
      </w:r>
    </w:p>
    <w:p w14:paraId="702DFD1C" w14:textId="1D4B6DD1" w:rsidR="00ED638C" w:rsidRPr="00292F0B" w:rsidRDefault="007F0C5F" w:rsidP="00FE770C">
      <w:pPr>
        <w:spacing w:before="240"/>
        <w:ind w:firstLine="708"/>
        <w:jc w:val="both"/>
        <w:rPr>
          <w:rFonts w:ascii="Century Gothic" w:hAnsi="Century Gothic" w:cs="Arial"/>
          <w:color w:val="000000"/>
          <w:sz w:val="24"/>
          <w:szCs w:val="24"/>
        </w:rPr>
      </w:pPr>
      <w:r>
        <w:rPr>
          <w:rFonts w:ascii="Century Gothic" w:hAnsi="Century Gothic" w:cs="Arial"/>
          <w:sz w:val="24"/>
          <w:szCs w:val="24"/>
        </w:rPr>
        <w:t xml:space="preserve">19. </w:t>
      </w:r>
      <w:r w:rsidR="00B65087" w:rsidRPr="00292F0B">
        <w:rPr>
          <w:rFonts w:ascii="Century Gothic" w:hAnsi="Century Gothic" w:cs="Arial"/>
          <w:sz w:val="24"/>
          <w:szCs w:val="24"/>
        </w:rPr>
        <w:t xml:space="preserve">De lo anterior se </w:t>
      </w:r>
      <w:r w:rsidR="00426717" w:rsidRPr="00292F0B">
        <w:rPr>
          <w:rFonts w:ascii="Century Gothic" w:hAnsi="Century Gothic" w:cs="Arial"/>
          <w:sz w:val="24"/>
          <w:szCs w:val="24"/>
        </w:rPr>
        <w:t>advierte que la falta administrativa señalada en el acta motivo del juicio de nulidad</w:t>
      </w:r>
      <w:r w:rsidR="00A36CB0" w:rsidRPr="00292F0B">
        <w:rPr>
          <w:rFonts w:ascii="Century Gothic" w:hAnsi="Century Gothic" w:cs="Arial"/>
          <w:sz w:val="24"/>
          <w:szCs w:val="24"/>
        </w:rPr>
        <w:t>,</w:t>
      </w:r>
      <w:r w:rsidR="00426717" w:rsidRPr="00292F0B">
        <w:rPr>
          <w:rFonts w:ascii="Century Gothic" w:hAnsi="Century Gothic" w:cs="Arial"/>
          <w:sz w:val="24"/>
          <w:szCs w:val="24"/>
        </w:rPr>
        <w:t xml:space="preserve"> no se encuentra debidamente sustentada</w:t>
      </w:r>
      <w:r w:rsidR="00A36CB0" w:rsidRPr="00292F0B">
        <w:rPr>
          <w:rFonts w:ascii="Century Gothic" w:hAnsi="Century Gothic" w:cs="Arial"/>
          <w:sz w:val="24"/>
          <w:szCs w:val="24"/>
        </w:rPr>
        <w:t xml:space="preserve">, </w:t>
      </w:r>
      <w:r w:rsidR="00682AEE" w:rsidRPr="00292F0B">
        <w:rPr>
          <w:rFonts w:ascii="Century Gothic" w:hAnsi="Century Gothic" w:cs="Arial"/>
          <w:sz w:val="24"/>
          <w:szCs w:val="24"/>
        </w:rPr>
        <w:t xml:space="preserve">pues </w:t>
      </w:r>
      <w:r w:rsidR="00426717" w:rsidRPr="00292F0B">
        <w:rPr>
          <w:rFonts w:ascii="Century Gothic" w:hAnsi="Century Gothic" w:cs="Arial"/>
          <w:sz w:val="24"/>
          <w:szCs w:val="24"/>
        </w:rPr>
        <w:t>en el apartado de motivación del acta de infracción</w:t>
      </w:r>
      <w:r w:rsidR="00523746" w:rsidRPr="00292F0B">
        <w:rPr>
          <w:rFonts w:ascii="Century Gothic" w:hAnsi="Century Gothic" w:cs="Arial"/>
          <w:sz w:val="24"/>
          <w:szCs w:val="24"/>
        </w:rPr>
        <w:t>,</w:t>
      </w:r>
      <w:r w:rsidR="00426717" w:rsidRPr="00292F0B">
        <w:rPr>
          <w:rFonts w:ascii="Century Gothic" w:hAnsi="Century Gothic" w:cs="Arial"/>
          <w:sz w:val="24"/>
          <w:szCs w:val="24"/>
        </w:rPr>
        <w:t xml:space="preserve"> la autoridad vial se limitó a indicar </w:t>
      </w:r>
      <w:r w:rsidR="00A8339C" w:rsidRPr="00292F0B">
        <w:rPr>
          <w:rFonts w:ascii="Century Gothic" w:hAnsi="Century Gothic" w:cs="Arial"/>
          <w:sz w:val="24"/>
          <w:szCs w:val="24"/>
        </w:rPr>
        <w:t>“</w:t>
      </w:r>
      <w:r w:rsidR="00A8339C" w:rsidRPr="001F60BF">
        <w:rPr>
          <w:rFonts w:ascii="Century Gothic" w:hAnsi="Century Gothic" w:cs="Arial"/>
          <w:i/>
          <w:sz w:val="24"/>
          <w:szCs w:val="24"/>
        </w:rPr>
        <w:t>estacionado sobre banqueta</w:t>
      </w:r>
      <w:r w:rsidR="00A8339C" w:rsidRPr="00292F0B">
        <w:rPr>
          <w:rFonts w:ascii="Century Gothic" w:hAnsi="Century Gothic" w:cs="Arial"/>
          <w:sz w:val="24"/>
          <w:szCs w:val="24"/>
        </w:rPr>
        <w:t>”</w:t>
      </w:r>
      <w:r w:rsidR="00D11379" w:rsidRPr="00292F0B">
        <w:rPr>
          <w:rFonts w:ascii="Century Gothic" w:hAnsi="Century Gothic" w:cs="Arial"/>
          <w:sz w:val="24"/>
          <w:szCs w:val="24"/>
        </w:rPr>
        <w:t xml:space="preserve">, </w:t>
      </w:r>
      <w:r w:rsidR="00426717" w:rsidRPr="00292F0B">
        <w:rPr>
          <w:rFonts w:ascii="Century Gothic" w:hAnsi="Century Gothic" w:cs="Arial"/>
          <w:sz w:val="24"/>
          <w:szCs w:val="24"/>
        </w:rPr>
        <w:t xml:space="preserve">sin haber precisado las circunstancias de tiempo, modo y lugar, así como las razones particulares, causas inmediatas, motivos o circunstancias especiales que se ajustaron </w:t>
      </w:r>
      <w:r w:rsidR="005B67CC" w:rsidRPr="00292F0B">
        <w:rPr>
          <w:rFonts w:ascii="Century Gothic" w:hAnsi="Century Gothic" w:cs="Arial"/>
          <w:sz w:val="24"/>
          <w:szCs w:val="24"/>
        </w:rPr>
        <w:t>a los artículos 70;</w:t>
      </w:r>
      <w:r w:rsidR="007834E8">
        <w:rPr>
          <w:rFonts w:ascii="Century Gothic" w:hAnsi="Century Gothic" w:cs="Arial"/>
          <w:sz w:val="24"/>
          <w:szCs w:val="24"/>
        </w:rPr>
        <w:t xml:space="preserve"> </w:t>
      </w:r>
      <w:r w:rsidR="00FF7F46">
        <w:rPr>
          <w:rFonts w:ascii="Century Gothic" w:hAnsi="Century Gothic" w:cs="Arial"/>
          <w:sz w:val="24"/>
          <w:szCs w:val="24"/>
        </w:rPr>
        <w:t xml:space="preserve">y </w:t>
      </w:r>
      <w:r w:rsidR="005B67CC" w:rsidRPr="00292F0B">
        <w:rPr>
          <w:rFonts w:ascii="Century Gothic" w:hAnsi="Century Gothic" w:cs="Arial"/>
          <w:sz w:val="24"/>
          <w:szCs w:val="24"/>
        </w:rPr>
        <w:t>21 Constitucional</w:t>
      </w:r>
      <w:r w:rsidR="00075A94" w:rsidRPr="00292F0B">
        <w:rPr>
          <w:rFonts w:ascii="Century Gothic" w:hAnsi="Century Gothic" w:cs="Arial"/>
          <w:sz w:val="24"/>
          <w:szCs w:val="24"/>
        </w:rPr>
        <w:t xml:space="preserve">, </w:t>
      </w:r>
      <w:r w:rsidR="00426717" w:rsidRPr="00292F0B">
        <w:rPr>
          <w:rFonts w:ascii="Century Gothic" w:hAnsi="Century Gothic" w:cs="Arial"/>
          <w:sz w:val="24"/>
          <w:szCs w:val="24"/>
        </w:rPr>
        <w:t>escrito</w:t>
      </w:r>
      <w:r w:rsidR="005B67CC" w:rsidRPr="00292F0B">
        <w:rPr>
          <w:rFonts w:ascii="Century Gothic" w:hAnsi="Century Gothic" w:cs="Arial"/>
          <w:sz w:val="24"/>
          <w:szCs w:val="24"/>
        </w:rPr>
        <w:t>s</w:t>
      </w:r>
      <w:r w:rsidR="00426717" w:rsidRPr="00292F0B">
        <w:rPr>
          <w:rFonts w:ascii="Century Gothic" w:hAnsi="Century Gothic" w:cs="Arial"/>
          <w:sz w:val="24"/>
          <w:szCs w:val="24"/>
        </w:rPr>
        <w:t xml:space="preserve"> en el apartado de la fundamentación en </w:t>
      </w:r>
      <w:r w:rsidR="00075A94" w:rsidRPr="00292F0B">
        <w:rPr>
          <w:rFonts w:ascii="Century Gothic" w:hAnsi="Century Gothic" w:cs="Arial"/>
          <w:sz w:val="24"/>
          <w:szCs w:val="24"/>
        </w:rPr>
        <w:t xml:space="preserve">el </w:t>
      </w:r>
      <w:r w:rsidR="00426717" w:rsidRPr="00292F0B">
        <w:rPr>
          <w:rFonts w:ascii="Century Gothic" w:hAnsi="Century Gothic" w:cs="Arial"/>
          <w:sz w:val="24"/>
          <w:szCs w:val="24"/>
        </w:rPr>
        <w:t xml:space="preserve">que se basa la falta administrativa </w:t>
      </w:r>
      <w:r w:rsidR="00523746" w:rsidRPr="00292F0B">
        <w:rPr>
          <w:rFonts w:ascii="Century Gothic" w:hAnsi="Century Gothic" w:cs="Arial"/>
          <w:sz w:val="24"/>
          <w:szCs w:val="24"/>
        </w:rPr>
        <w:t xml:space="preserve">motivo </w:t>
      </w:r>
      <w:r w:rsidR="00A36CB0" w:rsidRPr="00292F0B">
        <w:rPr>
          <w:rFonts w:ascii="Century Gothic" w:hAnsi="Century Gothic" w:cs="Arial"/>
          <w:sz w:val="24"/>
          <w:szCs w:val="24"/>
        </w:rPr>
        <w:t xml:space="preserve">del </w:t>
      </w:r>
      <w:r w:rsidR="00426717" w:rsidRPr="00292F0B">
        <w:rPr>
          <w:rFonts w:ascii="Century Gothic" w:hAnsi="Century Gothic" w:cs="Arial"/>
          <w:sz w:val="24"/>
          <w:szCs w:val="24"/>
        </w:rPr>
        <w:t xml:space="preserve">acta de infracción; </w:t>
      </w:r>
      <w:r w:rsidR="00292978" w:rsidRPr="00292F0B">
        <w:rPr>
          <w:rFonts w:ascii="Century Gothic" w:hAnsi="Century Gothic" w:cs="Arial"/>
          <w:sz w:val="24"/>
          <w:szCs w:val="24"/>
        </w:rPr>
        <w:t xml:space="preserve">ya que, </w:t>
      </w:r>
      <w:r w:rsidR="00523746" w:rsidRPr="00292F0B">
        <w:rPr>
          <w:rFonts w:ascii="Century Gothic" w:hAnsi="Century Gothic" w:cs="Arial"/>
          <w:sz w:val="24"/>
          <w:szCs w:val="24"/>
        </w:rPr>
        <w:t xml:space="preserve">en el </w:t>
      </w:r>
      <w:r w:rsidR="00426717" w:rsidRPr="00292F0B">
        <w:rPr>
          <w:rFonts w:ascii="Century Gothic" w:hAnsi="Century Gothic" w:cs="Arial"/>
          <w:sz w:val="24"/>
          <w:szCs w:val="24"/>
        </w:rPr>
        <w:t xml:space="preserve">apartado </w:t>
      </w:r>
      <w:r w:rsidR="003C6C6E" w:rsidRPr="00292F0B">
        <w:rPr>
          <w:rFonts w:ascii="Century Gothic" w:hAnsi="Century Gothic" w:cs="Arial"/>
          <w:sz w:val="24"/>
          <w:szCs w:val="24"/>
        </w:rPr>
        <w:t xml:space="preserve">de motivación </w:t>
      </w:r>
      <w:r w:rsidR="00426717" w:rsidRPr="00292F0B">
        <w:rPr>
          <w:rFonts w:ascii="Century Gothic" w:hAnsi="Century Gothic" w:cs="Arial"/>
          <w:sz w:val="24"/>
          <w:szCs w:val="24"/>
        </w:rPr>
        <w:t xml:space="preserve">debió explicar la forma como se percató de que el actor </w:t>
      </w:r>
      <w:r w:rsidR="00075A94" w:rsidRPr="00292F0B">
        <w:rPr>
          <w:rFonts w:ascii="Century Gothic" w:hAnsi="Century Gothic" w:cs="Arial"/>
          <w:sz w:val="24"/>
          <w:szCs w:val="24"/>
        </w:rPr>
        <w:t xml:space="preserve">estaba situado con su vehículo </w:t>
      </w:r>
      <w:r w:rsidR="005B67CC" w:rsidRPr="00292F0B">
        <w:rPr>
          <w:rFonts w:ascii="Century Gothic" w:hAnsi="Century Gothic" w:cs="Arial"/>
          <w:sz w:val="24"/>
          <w:szCs w:val="24"/>
        </w:rPr>
        <w:t>estacionado sobre la banqueta</w:t>
      </w:r>
      <w:r w:rsidR="0077100C" w:rsidRPr="00292F0B">
        <w:rPr>
          <w:rFonts w:ascii="Century Gothic" w:hAnsi="Century Gothic" w:cs="Arial"/>
          <w:sz w:val="24"/>
          <w:szCs w:val="24"/>
        </w:rPr>
        <w:t>; d</w:t>
      </w:r>
      <w:r w:rsidR="00FE6556" w:rsidRPr="00292F0B">
        <w:rPr>
          <w:rFonts w:ascii="Century Gothic" w:hAnsi="Century Gothic" w:cs="Arial"/>
          <w:sz w:val="24"/>
          <w:szCs w:val="24"/>
        </w:rPr>
        <w:t xml:space="preserve">e lo que </w:t>
      </w:r>
      <w:r w:rsidR="00FD4CFD" w:rsidRPr="00292F0B">
        <w:rPr>
          <w:rFonts w:ascii="Century Gothic" w:hAnsi="Century Gothic" w:cs="Arial"/>
          <w:sz w:val="24"/>
          <w:szCs w:val="24"/>
        </w:rPr>
        <w:t xml:space="preserve">se colige que el acta de infracción con número de folio </w:t>
      </w:r>
      <w:r w:rsidR="005B67CC" w:rsidRPr="00292F0B">
        <w:rPr>
          <w:rFonts w:ascii="Century Gothic" w:hAnsi="Century Gothic" w:cs="Arial"/>
          <w:sz w:val="24"/>
          <w:szCs w:val="24"/>
        </w:rPr>
        <w:t>7542 A de fecha treinta y uno de agosto del año dos</w:t>
      </w:r>
      <w:r w:rsidR="0077100C" w:rsidRPr="00292F0B">
        <w:rPr>
          <w:rFonts w:ascii="Century Gothic" w:hAnsi="Century Gothic" w:cs="Arial"/>
          <w:sz w:val="24"/>
          <w:szCs w:val="24"/>
        </w:rPr>
        <w:t xml:space="preserve"> mil veintidós, emitida por </w:t>
      </w:r>
      <w:r w:rsidR="005B67CC" w:rsidRPr="00292F0B">
        <w:rPr>
          <w:rFonts w:ascii="Century Gothic" w:hAnsi="Century Gothic" w:cs="Arial"/>
          <w:sz w:val="24"/>
          <w:szCs w:val="24"/>
        </w:rPr>
        <w:t xml:space="preserve">el policía vial de nombre Salustio Ojeda </w:t>
      </w:r>
      <w:r w:rsidR="00F00F0F" w:rsidRPr="00292F0B">
        <w:rPr>
          <w:rFonts w:ascii="Century Gothic" w:hAnsi="Century Gothic" w:cs="Arial"/>
          <w:sz w:val="24"/>
          <w:szCs w:val="24"/>
        </w:rPr>
        <w:t>Vásquez</w:t>
      </w:r>
      <w:r w:rsidR="00FD4CFD" w:rsidRPr="00292F0B">
        <w:rPr>
          <w:rFonts w:ascii="Century Gothic" w:hAnsi="Century Gothic" w:cs="Arial"/>
          <w:sz w:val="24"/>
          <w:szCs w:val="24"/>
        </w:rPr>
        <w:t xml:space="preserve"> con número estadístico PV-</w:t>
      </w:r>
      <w:r w:rsidR="005B67CC" w:rsidRPr="00292F0B">
        <w:rPr>
          <w:rFonts w:ascii="Century Gothic" w:hAnsi="Century Gothic" w:cs="Arial"/>
          <w:sz w:val="24"/>
          <w:szCs w:val="24"/>
        </w:rPr>
        <w:t>6</w:t>
      </w:r>
      <w:r w:rsidR="0077100C" w:rsidRPr="00292F0B">
        <w:rPr>
          <w:rFonts w:ascii="Century Gothic" w:hAnsi="Century Gothic" w:cs="Arial"/>
          <w:sz w:val="24"/>
          <w:szCs w:val="24"/>
        </w:rPr>
        <w:t>9</w:t>
      </w:r>
      <w:r w:rsidR="00FD4CFD" w:rsidRPr="00292F0B">
        <w:rPr>
          <w:rFonts w:ascii="Century Gothic" w:hAnsi="Century Gothic" w:cs="Arial"/>
          <w:sz w:val="24"/>
          <w:szCs w:val="24"/>
        </w:rPr>
        <w:t xml:space="preserve"> </w:t>
      </w:r>
      <w:r w:rsidR="005B67CC" w:rsidRPr="00292F0B">
        <w:rPr>
          <w:rFonts w:ascii="Century Gothic" w:hAnsi="Century Gothic" w:cs="Arial"/>
          <w:sz w:val="24"/>
          <w:szCs w:val="24"/>
        </w:rPr>
        <w:t>adscrito a la Dirección de Movilidad, dependiente de la Secretaria de Seguridad Ciudadana, Movilidad y Protección Civil del Municipio de Oaxaca de Juárez, Oaxaca</w:t>
      </w:r>
      <w:r w:rsidR="00FD4CFD" w:rsidRPr="00292F0B">
        <w:rPr>
          <w:rFonts w:ascii="Century Gothic" w:hAnsi="Century Gothic" w:cs="Arial"/>
          <w:sz w:val="24"/>
          <w:szCs w:val="24"/>
        </w:rPr>
        <w:t xml:space="preserve">, contiene deficiente </w:t>
      </w:r>
      <w:r w:rsidR="0077100C" w:rsidRPr="00292F0B">
        <w:rPr>
          <w:rFonts w:ascii="Century Gothic" w:hAnsi="Century Gothic" w:cs="Arial"/>
          <w:sz w:val="24"/>
          <w:szCs w:val="24"/>
        </w:rPr>
        <w:t xml:space="preserve">fundamentación y </w:t>
      </w:r>
      <w:r w:rsidR="00FD4CFD" w:rsidRPr="00292F0B">
        <w:rPr>
          <w:rFonts w:ascii="Century Gothic" w:hAnsi="Century Gothic" w:cs="Arial"/>
          <w:sz w:val="24"/>
          <w:szCs w:val="24"/>
        </w:rPr>
        <w:t xml:space="preserve">motivación </w:t>
      </w:r>
      <w:r w:rsidR="00FD4CFD" w:rsidRPr="00292F0B">
        <w:rPr>
          <w:rFonts w:ascii="Century Gothic" w:hAnsi="Century Gothic" w:cs="Arial"/>
          <w:color w:val="000000"/>
          <w:sz w:val="24"/>
          <w:szCs w:val="24"/>
        </w:rPr>
        <w:t>al no constar de manera exhaustiva ni completa</w:t>
      </w:r>
      <w:r w:rsidR="00ED638C" w:rsidRPr="00292F0B">
        <w:rPr>
          <w:rFonts w:ascii="Century Gothic" w:hAnsi="Century Gothic" w:cs="Arial"/>
          <w:color w:val="000000"/>
          <w:sz w:val="24"/>
          <w:szCs w:val="24"/>
        </w:rPr>
        <w:t xml:space="preserve">, las razones que permitan conocer el criterio utilizado </w:t>
      </w:r>
      <w:r w:rsidR="0077100C" w:rsidRPr="00292F0B">
        <w:rPr>
          <w:rFonts w:ascii="Century Gothic" w:hAnsi="Century Gothic" w:cs="Arial"/>
          <w:color w:val="000000"/>
          <w:sz w:val="24"/>
          <w:szCs w:val="24"/>
        </w:rPr>
        <w:t xml:space="preserve">por la autoridad demandada para considerar infringido </w:t>
      </w:r>
      <w:r w:rsidR="003309B9" w:rsidRPr="00292F0B">
        <w:rPr>
          <w:rFonts w:ascii="Century Gothic" w:hAnsi="Century Gothic" w:cs="Arial"/>
          <w:color w:val="000000"/>
          <w:sz w:val="24"/>
          <w:szCs w:val="24"/>
        </w:rPr>
        <w:t>el artículo 70;</w:t>
      </w:r>
      <w:r w:rsidR="005B67CC" w:rsidRPr="00292F0B">
        <w:rPr>
          <w:rFonts w:ascii="Century Gothic" w:hAnsi="Century Gothic" w:cs="Arial"/>
          <w:color w:val="000000"/>
          <w:sz w:val="24"/>
          <w:szCs w:val="24"/>
        </w:rPr>
        <w:t xml:space="preserve"> </w:t>
      </w:r>
      <w:r w:rsidR="00FF7F46">
        <w:rPr>
          <w:rFonts w:ascii="Century Gothic" w:hAnsi="Century Gothic" w:cs="Arial"/>
          <w:color w:val="000000"/>
          <w:sz w:val="24"/>
          <w:szCs w:val="24"/>
        </w:rPr>
        <w:t xml:space="preserve">y </w:t>
      </w:r>
      <w:r w:rsidR="00F00F0F" w:rsidRPr="00292F0B">
        <w:rPr>
          <w:rFonts w:ascii="Century Gothic" w:hAnsi="Century Gothic" w:cs="Arial"/>
          <w:color w:val="000000"/>
          <w:sz w:val="24"/>
          <w:szCs w:val="24"/>
        </w:rPr>
        <w:t>artículo</w:t>
      </w:r>
      <w:r w:rsidR="005B67CC" w:rsidRPr="00292F0B">
        <w:rPr>
          <w:rFonts w:ascii="Century Gothic" w:hAnsi="Century Gothic" w:cs="Arial"/>
          <w:color w:val="000000"/>
          <w:sz w:val="24"/>
          <w:szCs w:val="24"/>
        </w:rPr>
        <w:t xml:space="preserve"> 21 constitucional, aunado a que por lo que concierne al primer precepto citado no especifica la ley o reglamento a que se refiere</w:t>
      </w:r>
      <w:r w:rsidR="003309B9" w:rsidRPr="00292F0B">
        <w:rPr>
          <w:rFonts w:ascii="Century Gothic" w:hAnsi="Century Gothic" w:cs="Arial"/>
          <w:color w:val="000000"/>
          <w:sz w:val="24"/>
          <w:szCs w:val="24"/>
        </w:rPr>
        <w:t xml:space="preserve">; y con respecto al artículo 21 constitucional, no refiere si de la Constitución Federal o la Constitución Local, </w:t>
      </w:r>
      <w:r w:rsidR="002A30BB" w:rsidRPr="00292F0B">
        <w:rPr>
          <w:rFonts w:ascii="Century Gothic" w:hAnsi="Century Gothic" w:cs="Arial"/>
          <w:color w:val="000000"/>
          <w:sz w:val="24"/>
          <w:szCs w:val="24"/>
        </w:rPr>
        <w:t>así</w:t>
      </w:r>
      <w:r w:rsidR="00F00F0F" w:rsidRPr="00292F0B">
        <w:rPr>
          <w:rFonts w:ascii="Century Gothic" w:hAnsi="Century Gothic" w:cs="Arial"/>
          <w:color w:val="000000"/>
          <w:sz w:val="24"/>
          <w:szCs w:val="24"/>
        </w:rPr>
        <w:t xml:space="preserve"> como tampoco señala </w:t>
      </w:r>
      <w:r w:rsidR="0077100C" w:rsidRPr="00292F0B">
        <w:rPr>
          <w:rFonts w:ascii="Century Gothic" w:hAnsi="Century Gothic" w:cs="Arial"/>
          <w:sz w:val="24"/>
          <w:szCs w:val="24"/>
        </w:rPr>
        <w:t xml:space="preserve"> que</w:t>
      </w:r>
      <w:r w:rsidR="00F00F0F" w:rsidRPr="00292F0B">
        <w:rPr>
          <w:rFonts w:ascii="Century Gothic" w:hAnsi="Century Gothic" w:cs="Arial"/>
          <w:sz w:val="24"/>
          <w:szCs w:val="24"/>
        </w:rPr>
        <w:t xml:space="preserve"> lo </w:t>
      </w:r>
      <w:r w:rsidR="0077100C" w:rsidRPr="00292F0B">
        <w:rPr>
          <w:rFonts w:ascii="Century Gothic" w:hAnsi="Century Gothic" w:cs="Arial"/>
          <w:sz w:val="24"/>
          <w:szCs w:val="24"/>
        </w:rPr>
        <w:t xml:space="preserve">llevó a </w:t>
      </w:r>
      <w:r w:rsidR="00ED638C" w:rsidRPr="00292F0B">
        <w:rPr>
          <w:rFonts w:ascii="Century Gothic" w:hAnsi="Century Gothic" w:cs="Arial"/>
          <w:color w:val="000000"/>
          <w:sz w:val="24"/>
          <w:szCs w:val="24"/>
        </w:rPr>
        <w:t xml:space="preserve">elaborar el acta de infracción en contra del actor, </w:t>
      </w:r>
      <w:r w:rsidR="0077100C" w:rsidRPr="00292F0B">
        <w:rPr>
          <w:rFonts w:ascii="Century Gothic" w:hAnsi="Century Gothic" w:cs="Arial"/>
          <w:color w:val="000000"/>
          <w:sz w:val="24"/>
          <w:szCs w:val="24"/>
        </w:rPr>
        <w:t xml:space="preserve">lo que </w:t>
      </w:r>
      <w:r w:rsidR="00ED638C" w:rsidRPr="00292F0B">
        <w:rPr>
          <w:rFonts w:ascii="Century Gothic" w:hAnsi="Century Gothic" w:cs="Arial"/>
          <w:color w:val="000000"/>
          <w:sz w:val="24"/>
          <w:szCs w:val="24"/>
        </w:rPr>
        <w:t>da lugar a interpretar que los hechos fueron apreciados por la autoridad vial de manera equivocada.</w:t>
      </w:r>
    </w:p>
    <w:p w14:paraId="04DC070B" w14:textId="544E40E2" w:rsidR="00E14DC7" w:rsidRPr="00292F0B" w:rsidRDefault="007F0C5F" w:rsidP="00FE770C">
      <w:pPr>
        <w:spacing w:before="240" w:after="0"/>
        <w:ind w:firstLine="567"/>
        <w:jc w:val="both"/>
        <w:rPr>
          <w:rFonts w:ascii="Century Gothic" w:hAnsi="Century Gothic" w:cs="Arial"/>
          <w:sz w:val="24"/>
          <w:szCs w:val="24"/>
        </w:rPr>
      </w:pPr>
      <w:r>
        <w:rPr>
          <w:rFonts w:ascii="Century Gothic" w:hAnsi="Century Gothic" w:cs="Arial"/>
          <w:sz w:val="24"/>
          <w:szCs w:val="24"/>
        </w:rPr>
        <w:t xml:space="preserve">20. </w:t>
      </w:r>
      <w:r w:rsidR="001F60BF">
        <w:rPr>
          <w:rFonts w:ascii="Century Gothic" w:hAnsi="Century Gothic" w:cs="Arial"/>
          <w:sz w:val="24"/>
          <w:szCs w:val="24"/>
        </w:rPr>
        <w:t>Ahora bien, t</w:t>
      </w:r>
      <w:r w:rsidR="00E14DC7" w:rsidRPr="00292F0B">
        <w:rPr>
          <w:rFonts w:ascii="Century Gothic" w:hAnsi="Century Gothic" w:cs="Arial"/>
          <w:sz w:val="24"/>
          <w:szCs w:val="24"/>
        </w:rPr>
        <w:t xml:space="preserve">omando en consideración que </w:t>
      </w:r>
      <w:r w:rsidR="002A30BB" w:rsidRPr="00292F0B">
        <w:rPr>
          <w:rFonts w:ascii="Century Gothic" w:hAnsi="Century Gothic" w:cs="Arial"/>
          <w:sz w:val="24"/>
          <w:szCs w:val="24"/>
        </w:rPr>
        <w:t>Salustio Ojeda Vásquez con número estadístico PV-69  adscrito a la Dirección de Movilidad, dependiente de la Secretaria de Seguridad Ciudadana, Movilidad y Protección Civil del Municipio de Oaxaca de Juárez, Oaxaca</w:t>
      </w:r>
      <w:r w:rsidR="00F80108" w:rsidRPr="00292F0B">
        <w:rPr>
          <w:rFonts w:ascii="Century Gothic" w:hAnsi="Century Gothic" w:cs="Arial"/>
          <w:sz w:val="24"/>
          <w:szCs w:val="24"/>
        </w:rPr>
        <w:t>,</w:t>
      </w:r>
      <w:r w:rsidR="00E14DC7" w:rsidRPr="00292F0B">
        <w:rPr>
          <w:rFonts w:ascii="Century Gothic" w:hAnsi="Century Gothic" w:cs="Arial"/>
          <w:sz w:val="24"/>
          <w:szCs w:val="24"/>
        </w:rPr>
        <w:t xml:space="preserve"> </w:t>
      </w:r>
      <w:r w:rsidR="002A0D21" w:rsidRPr="00292F0B">
        <w:rPr>
          <w:rFonts w:ascii="Century Gothic" w:hAnsi="Century Gothic" w:cs="Arial"/>
          <w:sz w:val="24"/>
          <w:szCs w:val="24"/>
        </w:rPr>
        <w:t>se encuentra investido</w:t>
      </w:r>
      <w:r w:rsidR="00E14DC7" w:rsidRPr="00292F0B">
        <w:rPr>
          <w:rFonts w:ascii="Century Gothic" w:hAnsi="Century Gothic" w:cs="Arial"/>
          <w:sz w:val="24"/>
          <w:szCs w:val="24"/>
        </w:rPr>
        <w:t xml:space="preserve"> con el carácter de autoridad, tiene la obligación de emitir actos debidamente fundados y motivados para legitimar su actuación; esto es, que debe precisar los numerales de la legislación aplicable al caso (fundamentación); y especificar </w:t>
      </w:r>
      <w:bookmarkStart w:id="3" w:name="_Hlk97816464"/>
      <w:r w:rsidR="00E14DC7" w:rsidRPr="00292F0B">
        <w:rPr>
          <w:rFonts w:ascii="Century Gothic" w:hAnsi="Century Gothic" w:cs="Arial"/>
          <w:sz w:val="24"/>
          <w:szCs w:val="24"/>
        </w:rPr>
        <w:t xml:space="preserve">las circunstancias de tiempo, modo y lugar, así como las razones particulares, causas inmediatas, motivos o circunstancias especiales, que justifiquen la aplicación </w:t>
      </w:r>
      <w:bookmarkEnd w:id="3"/>
      <w:r w:rsidR="00E14DC7" w:rsidRPr="00292F0B">
        <w:rPr>
          <w:rFonts w:ascii="Century Gothic" w:hAnsi="Century Gothic" w:cs="Arial"/>
          <w:sz w:val="24"/>
          <w:szCs w:val="24"/>
        </w:rPr>
        <w:t xml:space="preserve">de los artículos al acto de molestia (motivación), para  salvaguardar el principio de legalidad contenido del artículo 16 de la Constitución Política de los Estados Unidos Mexicanos; de lo contrario, es decir, de emitir actos indebidamente fundados y motivados en contra de los administrados, los colocará en estado de indefensión por impedirles conocer los motivos y fundamentos ejercidos en contra de ellos. </w:t>
      </w:r>
    </w:p>
    <w:p w14:paraId="1BF6C1F0" w14:textId="4B15CE5E" w:rsidR="00E90506" w:rsidRPr="00292F0B" w:rsidRDefault="007F0C5F" w:rsidP="001F60BF">
      <w:pPr>
        <w:tabs>
          <w:tab w:val="left" w:pos="0"/>
          <w:tab w:val="left" w:pos="5670"/>
        </w:tabs>
        <w:spacing w:before="240"/>
        <w:ind w:right="51" w:firstLine="709"/>
        <w:jc w:val="both"/>
        <w:rPr>
          <w:rFonts w:ascii="Century Gothic" w:hAnsi="Century Gothic" w:cs="Arial"/>
        </w:rPr>
      </w:pPr>
      <w:r>
        <w:rPr>
          <w:rFonts w:ascii="Century Gothic" w:hAnsi="Century Gothic" w:cs="Arial"/>
          <w:sz w:val="24"/>
          <w:szCs w:val="24"/>
        </w:rPr>
        <w:lastRenderedPageBreak/>
        <w:t xml:space="preserve">21. </w:t>
      </w:r>
      <w:r w:rsidR="00E65099" w:rsidRPr="00292F0B">
        <w:rPr>
          <w:rFonts w:ascii="Century Gothic" w:hAnsi="Century Gothic" w:cs="Arial"/>
          <w:sz w:val="24"/>
          <w:szCs w:val="24"/>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p>
    <w:p w14:paraId="65AFCDE2" w14:textId="6C0061F2" w:rsidR="00ED638C" w:rsidRPr="00292F0B" w:rsidRDefault="007F0C5F" w:rsidP="00FE770C">
      <w:pPr>
        <w:tabs>
          <w:tab w:val="left" w:pos="0"/>
          <w:tab w:val="left" w:pos="5670"/>
        </w:tabs>
        <w:spacing w:before="240"/>
        <w:ind w:right="51" w:firstLine="709"/>
        <w:jc w:val="both"/>
        <w:rPr>
          <w:rFonts w:ascii="Century Gothic" w:hAnsi="Century Gothic" w:cs="Arial"/>
          <w:sz w:val="24"/>
          <w:szCs w:val="24"/>
        </w:rPr>
      </w:pPr>
      <w:r>
        <w:rPr>
          <w:rFonts w:ascii="Century Gothic" w:hAnsi="Century Gothic" w:cs="Arial"/>
          <w:sz w:val="24"/>
          <w:szCs w:val="24"/>
        </w:rPr>
        <w:t xml:space="preserve">22. </w:t>
      </w:r>
      <w:r w:rsidR="00ED638C" w:rsidRPr="00292F0B">
        <w:rPr>
          <w:rFonts w:ascii="Century Gothic" w:hAnsi="Century Gothic" w:cs="Arial"/>
          <w:sz w:val="24"/>
          <w:szCs w:val="24"/>
        </w:rPr>
        <w:t>Ahora</w:t>
      </w:r>
      <w:r w:rsidR="001F60BF">
        <w:rPr>
          <w:rFonts w:ascii="Century Gothic" w:hAnsi="Century Gothic" w:cs="Arial"/>
          <w:sz w:val="24"/>
          <w:szCs w:val="24"/>
        </w:rPr>
        <w:t xml:space="preserve"> bien,</w:t>
      </w:r>
      <w:r w:rsidR="00ED638C" w:rsidRPr="00292F0B">
        <w:rPr>
          <w:rFonts w:ascii="Century Gothic" w:hAnsi="Century Gothic" w:cs="Arial"/>
          <w:sz w:val="24"/>
          <w:szCs w:val="24"/>
        </w:rPr>
        <w:t xml:space="preserve">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p>
    <w:p w14:paraId="48D8F2C8" w14:textId="27A141E6" w:rsidR="00D90CED" w:rsidRPr="00292F0B" w:rsidRDefault="007F0C5F" w:rsidP="00FE770C">
      <w:pPr>
        <w:tabs>
          <w:tab w:val="left" w:pos="0"/>
          <w:tab w:val="left" w:pos="5670"/>
        </w:tabs>
        <w:spacing w:before="240"/>
        <w:ind w:right="51" w:firstLine="709"/>
        <w:jc w:val="both"/>
        <w:rPr>
          <w:rFonts w:ascii="Century Gothic" w:eastAsia="Times New Roman" w:hAnsi="Century Gothic" w:cs="Arial"/>
          <w:sz w:val="24"/>
          <w:szCs w:val="24"/>
        </w:rPr>
      </w:pPr>
      <w:r>
        <w:rPr>
          <w:rFonts w:ascii="Century Gothic" w:hAnsi="Century Gothic" w:cs="Arial"/>
          <w:sz w:val="24"/>
          <w:szCs w:val="24"/>
        </w:rPr>
        <w:t xml:space="preserve">23. </w:t>
      </w:r>
      <w:r w:rsidR="00ED638C" w:rsidRPr="00292F0B">
        <w:rPr>
          <w:rFonts w:ascii="Century Gothic" w:hAnsi="Century Gothic" w:cs="Arial"/>
          <w:sz w:val="24"/>
          <w:szCs w:val="24"/>
        </w:rPr>
        <w:t>En tal</w:t>
      </w:r>
      <w:r w:rsidR="00ED638C" w:rsidRPr="00292F0B">
        <w:rPr>
          <w:rFonts w:ascii="Century Gothic" w:hAnsi="Century Gothic" w:cs="Arial"/>
          <w:b/>
          <w:sz w:val="24"/>
          <w:szCs w:val="24"/>
        </w:rPr>
        <w:t xml:space="preserve"> </w:t>
      </w:r>
      <w:r w:rsidR="00ED638C" w:rsidRPr="00292F0B">
        <w:rPr>
          <w:rFonts w:ascii="Century Gothic" w:hAnsi="Century Gothic" w:cs="Arial"/>
          <w:sz w:val="24"/>
          <w:szCs w:val="24"/>
        </w:rPr>
        <w:t>consideración,</w:t>
      </w:r>
      <w:r w:rsidR="00ED638C" w:rsidRPr="00292F0B">
        <w:rPr>
          <w:rFonts w:ascii="Century Gothic" w:hAnsi="Century Gothic" w:cs="Arial"/>
          <w:b/>
          <w:sz w:val="24"/>
          <w:szCs w:val="24"/>
        </w:rPr>
        <w:t xml:space="preserve"> </w:t>
      </w:r>
      <w:r w:rsidR="00ED638C" w:rsidRPr="00292F0B">
        <w:rPr>
          <w:rFonts w:ascii="Century Gothic" w:hAnsi="Century Gothic" w:cs="Arial"/>
          <w:sz w:val="24"/>
          <w:szCs w:val="24"/>
        </w:rPr>
        <w:t xml:space="preserve">la emisión de un acto por una autoridad en el ejercicio de sus atribuciones, que incumpla con la debida fundamentación y motivación, es ilegal, porque transgrede los principios de legalidad y seguridad jurídica contenidos en el artículo 16 de la Constitución Federal, al colocar al afectado en estado de indefensión, ya que si los fundamentos legales y las razones otorgadas para la emisión del acto administrativo no están en concordancia, la defensa que se pretenda realizar en su contra será deficiente, además que el acto estará apartado de la obligación que tienen las autoridades de actuar en el estricto margen de la legalidad, atendiendo las disposiciones jurídicas al caso en concreto. </w:t>
      </w:r>
      <w:r w:rsidR="00D90CED" w:rsidRPr="00292F0B">
        <w:rPr>
          <w:rFonts w:ascii="Century Gothic" w:hAnsi="Century Gothic" w:cs="Arial"/>
          <w:sz w:val="24"/>
          <w:szCs w:val="24"/>
        </w:rPr>
        <w:t xml:space="preserve">Al caso resulta </w:t>
      </w:r>
      <w:r w:rsidR="003309B9" w:rsidRPr="00292F0B">
        <w:rPr>
          <w:rFonts w:ascii="Century Gothic" w:hAnsi="Century Gothic" w:cs="Arial"/>
          <w:sz w:val="24"/>
          <w:szCs w:val="24"/>
        </w:rPr>
        <w:t>a</w:t>
      </w:r>
      <w:r w:rsidR="00D90CED" w:rsidRPr="00292F0B">
        <w:rPr>
          <w:rFonts w:ascii="Century Gothic" w:hAnsi="Century Gothic" w:cs="Arial"/>
          <w:sz w:val="24"/>
          <w:szCs w:val="24"/>
        </w:rPr>
        <w:t>plicable por analogía la Jurisprudencia en materia Administrativa, tesis:</w:t>
      </w:r>
      <w:r w:rsidR="00D90CED" w:rsidRPr="00292F0B">
        <w:rPr>
          <w:rFonts w:ascii="Century Gothic" w:eastAsia="Times New Roman" w:hAnsi="Century Gothic" w:cs="Arial"/>
          <w:i/>
          <w:sz w:val="24"/>
          <w:szCs w:val="24"/>
        </w:rPr>
        <w:t xml:space="preserve"> 2a./J. 57/2001</w:t>
      </w:r>
      <w:r w:rsidR="00D90CED" w:rsidRPr="00292F0B">
        <w:rPr>
          <w:rFonts w:ascii="Century Gothic" w:hAnsi="Century Gothic" w:cs="Arial"/>
          <w:sz w:val="24"/>
          <w:szCs w:val="24"/>
        </w:rPr>
        <w:t xml:space="preserve">, con número de registro digital 188432, </w:t>
      </w:r>
      <w:r w:rsidR="00D90CED" w:rsidRPr="00292F0B">
        <w:rPr>
          <w:rFonts w:ascii="Century Gothic" w:eastAsia="Calibri" w:hAnsi="Century Gothic" w:cs="Arial"/>
          <w:bCs/>
          <w:sz w:val="24"/>
          <w:szCs w:val="24"/>
        </w:rPr>
        <w:t xml:space="preserve">de la Novena Época, emitida por </w:t>
      </w:r>
      <w:r w:rsidR="00D90CED" w:rsidRPr="00292F0B">
        <w:rPr>
          <w:rFonts w:ascii="Century Gothic" w:hAnsi="Century Gothic" w:cs="Arial"/>
          <w:sz w:val="24"/>
          <w:szCs w:val="24"/>
        </w:rPr>
        <w:t>los Suprema Corte de Justicia de la Nación</w:t>
      </w:r>
      <w:r w:rsidR="00D90CED" w:rsidRPr="00292F0B">
        <w:rPr>
          <w:rFonts w:ascii="Century Gothic" w:eastAsia="Times New Roman" w:hAnsi="Century Gothic" w:cs="Arial"/>
          <w:sz w:val="24"/>
          <w:szCs w:val="24"/>
        </w:rPr>
        <w:t xml:space="preserve">, publicado en el Semanario Judicial de la Federación y su Gaceta, </w:t>
      </w:r>
      <w:r w:rsidR="00745290" w:rsidRPr="00292F0B">
        <w:rPr>
          <w:rFonts w:ascii="Century Gothic" w:eastAsia="Times New Roman" w:hAnsi="Century Gothic" w:cs="Arial"/>
          <w:sz w:val="24"/>
          <w:szCs w:val="24"/>
        </w:rPr>
        <w:t xml:space="preserve">Tomo XIV, </w:t>
      </w:r>
      <w:proofErr w:type="gramStart"/>
      <w:r w:rsidR="00745290" w:rsidRPr="00292F0B">
        <w:rPr>
          <w:rFonts w:ascii="Century Gothic" w:eastAsia="Times New Roman" w:hAnsi="Century Gothic" w:cs="Arial"/>
          <w:sz w:val="24"/>
          <w:szCs w:val="24"/>
        </w:rPr>
        <w:t>Noviembre</w:t>
      </w:r>
      <w:proofErr w:type="gramEnd"/>
      <w:r w:rsidR="00745290" w:rsidRPr="00292F0B">
        <w:rPr>
          <w:rFonts w:ascii="Century Gothic" w:eastAsia="Times New Roman" w:hAnsi="Century Gothic" w:cs="Arial"/>
          <w:sz w:val="24"/>
          <w:szCs w:val="24"/>
        </w:rPr>
        <w:t xml:space="preserve"> de 2001, página 31</w:t>
      </w:r>
      <w:r w:rsidR="00D90CED" w:rsidRPr="00292F0B">
        <w:rPr>
          <w:rFonts w:ascii="Century Gothic" w:eastAsia="Times New Roman" w:hAnsi="Century Gothic" w:cs="Arial"/>
          <w:sz w:val="24"/>
          <w:szCs w:val="24"/>
        </w:rPr>
        <w:t xml:space="preserve">, de rubro y texto siguientes: </w:t>
      </w:r>
    </w:p>
    <w:p w14:paraId="44C95896" w14:textId="2EB49537" w:rsidR="00D90CED" w:rsidRPr="003F5045" w:rsidRDefault="003F5045" w:rsidP="00FE770C">
      <w:pPr>
        <w:spacing w:after="240"/>
        <w:ind w:right="69" w:firstLine="708"/>
        <w:jc w:val="both"/>
        <w:rPr>
          <w:rFonts w:ascii="Century Gothic" w:eastAsia="Times New Roman" w:hAnsi="Century Gothic" w:cs="Arial"/>
          <w:b/>
          <w:i/>
        </w:rPr>
      </w:pPr>
      <w:r>
        <w:rPr>
          <w:rFonts w:ascii="Century Gothic" w:eastAsia="Times New Roman" w:hAnsi="Century Gothic" w:cs="Arial"/>
          <w:b/>
          <w:i/>
        </w:rPr>
        <w:t>“</w:t>
      </w:r>
      <w:r w:rsidR="00D90CED" w:rsidRPr="003F5045">
        <w:rPr>
          <w:rFonts w:ascii="Century Gothic" w:eastAsia="Times New Roman" w:hAnsi="Century Gothic" w:cs="Arial"/>
          <w:b/>
          <w:i/>
        </w:rPr>
        <w:t>COMPETENCIA DE LAS AUTORIDADES ADMINISTRATIVAS. EN EL MANDAMIENTO ESCRITO QUE CONTIENE EL ACTO DE MOLESTIA, DEBE SEÑALARSE CON PRECISIÓN EL PRECEPTO LEGAL QUE LES OTORGUE LA ATRIBUCIÓN EJERCIDA Y, EN SU CASO, LA RESPECTIVA FRACCIÓN, INCISO Y SUBINCISO.</w:t>
      </w:r>
    </w:p>
    <w:p w14:paraId="333B8958" w14:textId="09BDB5E8" w:rsidR="00D90CED" w:rsidRPr="003F5045" w:rsidRDefault="00D90CED" w:rsidP="00FE770C">
      <w:pPr>
        <w:spacing w:after="240"/>
        <w:ind w:right="69" w:firstLine="708"/>
        <w:jc w:val="both"/>
        <w:rPr>
          <w:rFonts w:ascii="Century Gothic" w:eastAsia="Times New Roman" w:hAnsi="Century Gothic" w:cs="Arial"/>
          <w:i/>
        </w:rPr>
      </w:pPr>
      <w:r w:rsidRPr="003F5045">
        <w:rPr>
          <w:rFonts w:ascii="Century Gothic" w:eastAsia="Times New Roman" w:hAnsi="Century Gothic" w:cs="Arial"/>
          <w:i/>
        </w:rPr>
        <w:t>De lo dispuesto en la tesis de jurisprudencia P./J. 10/94 del Tribunal Pleno de la Suprema Corte de Justicia de la Nación, publicada en la Gaceta del Semanario Judicial de la Federación, Número 77, mayo de 1994, página 12, de rubro: "</w:t>
      </w:r>
      <w:r w:rsidRPr="003F5045">
        <w:rPr>
          <w:rFonts w:ascii="Century Gothic" w:eastAsia="Times New Roman" w:hAnsi="Century Gothic" w:cs="Arial"/>
          <w:b/>
          <w:i/>
        </w:rPr>
        <w:t>COMPETENCIA. SU FUNDAMENTACIÓN ES REQUISITO ESENCIAL DEL ACTO DE AUTORIDAD</w:t>
      </w:r>
      <w:r w:rsidRPr="003F5045">
        <w:rPr>
          <w:rFonts w:ascii="Century Gothic" w:eastAsia="Times New Roman" w:hAnsi="Century Gothic" w:cs="Arial"/>
          <w:i/>
        </w:rPr>
        <w:t xml:space="preserve">.",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w:t>
      </w:r>
      <w:r w:rsidRPr="003F5045">
        <w:rPr>
          <w:rFonts w:ascii="Century Gothic" w:eastAsia="Times New Roman" w:hAnsi="Century Gothic" w:cs="Arial"/>
          <w:i/>
        </w:rPr>
        <w:lastRenderedPageBreak/>
        <w:t xml:space="preserve">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3F5045">
        <w:rPr>
          <w:rFonts w:ascii="Century Gothic" w:eastAsia="Times New Roman" w:hAnsi="Century Gothic" w:cs="Arial"/>
          <w:i/>
        </w:rPr>
        <w:t>subincisos</w:t>
      </w:r>
      <w:proofErr w:type="spellEnd"/>
      <w:r w:rsidRPr="003F5045">
        <w:rPr>
          <w:rFonts w:ascii="Century Gothic" w:eastAsia="Times New Roman" w:hAnsi="Century Gothic" w:cs="Arial"/>
          <w:i/>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w:t>
      </w:r>
      <w:r w:rsidR="00745290" w:rsidRPr="003F5045">
        <w:rPr>
          <w:rFonts w:ascii="Century Gothic" w:eastAsia="Times New Roman" w:hAnsi="Century Gothic" w:cs="Arial"/>
          <w:i/>
        </w:rPr>
        <w:t xml:space="preserve"> razones de seguridad jurídica</w:t>
      </w:r>
      <w:r w:rsidR="003F5045">
        <w:rPr>
          <w:rFonts w:ascii="Century Gothic" w:eastAsia="Times New Roman" w:hAnsi="Century Gothic" w:cs="Arial"/>
          <w:i/>
        </w:rPr>
        <w:t>”</w:t>
      </w:r>
      <w:r w:rsidR="00745290" w:rsidRPr="003F5045">
        <w:rPr>
          <w:rFonts w:ascii="Century Gothic" w:eastAsia="Times New Roman" w:hAnsi="Century Gothic" w:cs="Arial"/>
          <w:i/>
        </w:rPr>
        <w:t>.</w:t>
      </w:r>
    </w:p>
    <w:p w14:paraId="7C90871E" w14:textId="68E82A93" w:rsidR="00ED638C" w:rsidRPr="00292F0B" w:rsidRDefault="007F0C5F" w:rsidP="00FE770C">
      <w:pPr>
        <w:spacing w:before="240"/>
        <w:ind w:firstLine="708"/>
        <w:jc w:val="both"/>
        <w:rPr>
          <w:rFonts w:ascii="Century Gothic" w:hAnsi="Century Gothic" w:cs="Arial"/>
          <w:color w:val="000000"/>
          <w:sz w:val="24"/>
          <w:szCs w:val="24"/>
        </w:rPr>
      </w:pPr>
      <w:r>
        <w:rPr>
          <w:rFonts w:ascii="Century Gothic" w:hAnsi="Century Gothic" w:cs="Arial"/>
          <w:sz w:val="24"/>
          <w:szCs w:val="24"/>
        </w:rPr>
        <w:t xml:space="preserve">24. </w:t>
      </w:r>
      <w:r w:rsidR="00745290" w:rsidRPr="00292F0B">
        <w:rPr>
          <w:rFonts w:ascii="Century Gothic" w:hAnsi="Century Gothic" w:cs="Arial"/>
          <w:sz w:val="24"/>
          <w:szCs w:val="24"/>
        </w:rPr>
        <w:t xml:space="preserve">En razón de lo antes expuesto </w:t>
      </w:r>
      <w:r w:rsidR="00014EC2" w:rsidRPr="00292F0B">
        <w:rPr>
          <w:rFonts w:ascii="Century Gothic" w:hAnsi="Century Gothic" w:cs="Arial"/>
          <w:sz w:val="24"/>
          <w:szCs w:val="24"/>
        </w:rPr>
        <w:t xml:space="preserve">y dado que, como ya se dijo, la ahora autoridad recurrente omitió narrar en el apartado de “Motivación” del acta de infracción, cómo fue que se percató que el actor se encontraba estacionado </w:t>
      </w:r>
      <w:r w:rsidR="00745290" w:rsidRPr="00292F0B">
        <w:rPr>
          <w:rFonts w:ascii="Century Gothic" w:hAnsi="Century Gothic" w:cs="Arial"/>
          <w:sz w:val="24"/>
          <w:szCs w:val="24"/>
        </w:rPr>
        <w:t>sobre la banqueta</w:t>
      </w:r>
      <w:r w:rsidR="00014EC2" w:rsidRPr="00292F0B">
        <w:rPr>
          <w:rFonts w:ascii="Century Gothic" w:hAnsi="Century Gothic" w:cs="Arial"/>
          <w:sz w:val="24"/>
          <w:szCs w:val="24"/>
        </w:rPr>
        <w:t xml:space="preserve">, de modo que su explicación se ajustara al artículo </w:t>
      </w:r>
      <w:r w:rsidR="00745290" w:rsidRPr="00FF7F46">
        <w:rPr>
          <w:rFonts w:ascii="Century Gothic" w:hAnsi="Century Gothic" w:cs="Arial"/>
          <w:sz w:val="24"/>
          <w:szCs w:val="24"/>
        </w:rPr>
        <w:t>70; y artículo 21</w:t>
      </w:r>
      <w:r w:rsidR="00745290" w:rsidRPr="00292F0B">
        <w:rPr>
          <w:rFonts w:ascii="Century Gothic" w:hAnsi="Century Gothic" w:cs="Arial"/>
          <w:sz w:val="24"/>
          <w:szCs w:val="24"/>
        </w:rPr>
        <w:t xml:space="preserve"> Constitucional</w:t>
      </w:r>
      <w:r w:rsidR="00014EC2" w:rsidRPr="00292F0B">
        <w:rPr>
          <w:rFonts w:ascii="Century Gothic" w:hAnsi="Century Gothic" w:cs="Arial"/>
          <w:sz w:val="24"/>
          <w:szCs w:val="24"/>
        </w:rPr>
        <w:t xml:space="preserve">; se colige que el acto suscrito por la autoridad vial fue deficiente, </w:t>
      </w:r>
      <w:r w:rsidR="00C8664F" w:rsidRPr="00292F0B">
        <w:rPr>
          <w:rFonts w:ascii="Century Gothic" w:hAnsi="Century Gothic" w:cs="Arial"/>
          <w:sz w:val="24"/>
          <w:szCs w:val="24"/>
        </w:rPr>
        <w:t xml:space="preserve">por no haber citado con exactitud a que ley o reglamento corresponde el articulo 70 plasmado en su acta de infracción </w:t>
      </w:r>
      <w:r w:rsidR="003309B9" w:rsidRPr="00292F0B">
        <w:rPr>
          <w:rFonts w:ascii="Century Gothic" w:hAnsi="Century Gothic" w:cs="Arial"/>
          <w:sz w:val="24"/>
          <w:szCs w:val="24"/>
        </w:rPr>
        <w:t xml:space="preserve">y </w:t>
      </w:r>
      <w:r w:rsidR="00B55733" w:rsidRPr="00292F0B">
        <w:rPr>
          <w:rFonts w:ascii="Century Gothic" w:hAnsi="Century Gothic" w:cs="Arial"/>
          <w:color w:val="000000"/>
          <w:sz w:val="24"/>
          <w:szCs w:val="24"/>
        </w:rPr>
        <w:t xml:space="preserve">con respecto al artículo 21 constitucional, no refiere si de la Constitución Federal o la Constitución Local, </w:t>
      </w:r>
      <w:r w:rsidR="00C8664F" w:rsidRPr="00292F0B">
        <w:rPr>
          <w:rFonts w:ascii="Century Gothic" w:hAnsi="Century Gothic" w:cs="Arial"/>
          <w:sz w:val="24"/>
          <w:szCs w:val="24"/>
        </w:rPr>
        <w:t xml:space="preserve">en el apartado de motivación y </w:t>
      </w:r>
      <w:r w:rsidR="00014EC2" w:rsidRPr="00292F0B">
        <w:rPr>
          <w:rFonts w:ascii="Century Gothic" w:hAnsi="Century Gothic" w:cs="Arial"/>
          <w:sz w:val="24"/>
          <w:szCs w:val="24"/>
        </w:rPr>
        <w:t xml:space="preserve">por haber omitido detallar las circunstancias de tiempo, modo y lugar, así como las razones particulares, causas inmediatas, motivos o circunstancias especiales, que justifiquen la aplicación del supuesto legal señalado en la falta administrativa que marcó en el formato del acta; de lo que se concluye que el acto motivo del juicio de nulidad consistente en el </w:t>
      </w:r>
      <w:r w:rsidR="00F80108" w:rsidRPr="00292F0B">
        <w:rPr>
          <w:rFonts w:ascii="Century Gothic" w:hAnsi="Century Gothic" w:cs="Arial"/>
          <w:sz w:val="24"/>
          <w:szCs w:val="24"/>
        </w:rPr>
        <w:t xml:space="preserve">acta de infracción con número de folio </w:t>
      </w:r>
      <w:r w:rsidR="00C8664F" w:rsidRPr="00292F0B">
        <w:rPr>
          <w:rFonts w:ascii="Century Gothic" w:hAnsi="Century Gothic" w:cs="Arial"/>
          <w:sz w:val="24"/>
          <w:szCs w:val="24"/>
        </w:rPr>
        <w:t>7542</w:t>
      </w:r>
      <w:r w:rsidR="00F80108" w:rsidRPr="00292F0B">
        <w:rPr>
          <w:rFonts w:ascii="Century Gothic" w:hAnsi="Century Gothic" w:cs="Arial"/>
          <w:sz w:val="24"/>
          <w:szCs w:val="24"/>
        </w:rPr>
        <w:t xml:space="preserve"> A de </w:t>
      </w:r>
      <w:r w:rsidR="00C8664F" w:rsidRPr="00292F0B">
        <w:rPr>
          <w:rFonts w:ascii="Century Gothic" w:hAnsi="Century Gothic" w:cs="Arial"/>
          <w:sz w:val="24"/>
          <w:szCs w:val="24"/>
        </w:rPr>
        <w:t xml:space="preserve">treinta y uno de agosto del año dos </w:t>
      </w:r>
      <w:r w:rsidR="00F80108" w:rsidRPr="00292F0B">
        <w:rPr>
          <w:rFonts w:ascii="Century Gothic" w:hAnsi="Century Gothic" w:cs="Arial"/>
          <w:sz w:val="24"/>
          <w:szCs w:val="24"/>
        </w:rPr>
        <w:t xml:space="preserve">mil veintidós, emitida por </w:t>
      </w:r>
      <w:r w:rsidR="00C8664F" w:rsidRPr="00292F0B">
        <w:rPr>
          <w:rFonts w:ascii="Century Gothic" w:hAnsi="Century Gothic" w:cs="Arial"/>
          <w:sz w:val="24"/>
          <w:szCs w:val="24"/>
        </w:rPr>
        <w:t>el</w:t>
      </w:r>
      <w:r w:rsidR="00F80108" w:rsidRPr="00292F0B">
        <w:rPr>
          <w:rFonts w:ascii="Century Gothic" w:hAnsi="Century Gothic" w:cs="Arial"/>
          <w:sz w:val="24"/>
          <w:szCs w:val="24"/>
        </w:rPr>
        <w:t xml:space="preserve"> Policía Vial </w:t>
      </w:r>
      <w:r w:rsidR="00F80108" w:rsidRPr="00292F0B">
        <w:rPr>
          <w:rFonts w:ascii="Century Gothic" w:hAnsi="Century Gothic" w:cs="Arial"/>
          <w:bCs/>
          <w:sz w:val="24"/>
          <w:szCs w:val="24"/>
        </w:rPr>
        <w:t xml:space="preserve">emitida por </w:t>
      </w:r>
      <w:r w:rsidR="00A71C37" w:rsidRPr="00292F0B">
        <w:rPr>
          <w:rFonts w:ascii="Century Gothic" w:hAnsi="Century Gothic" w:cs="Arial"/>
          <w:sz w:val="24"/>
          <w:szCs w:val="24"/>
        </w:rPr>
        <w:t>Salustio Ojeda Vásquez con número estadístico PV-69  adscrito a la Dirección de Movilidad, dependiente de la Secretaria de Seguridad Ciudadana, Movilidad y Protección Civil del Municipio de Oaxaca de Juárez, Oaxaca</w:t>
      </w:r>
      <w:r w:rsidR="00014EC2" w:rsidRPr="00292F0B">
        <w:rPr>
          <w:rFonts w:ascii="Century Gothic" w:hAnsi="Century Gothic" w:cs="Arial"/>
          <w:sz w:val="24"/>
          <w:szCs w:val="24"/>
        </w:rPr>
        <w:t xml:space="preserve">, contiene deficiente fundamentación y motivación, por tanto incumple el requisito de validez que exige la fracción V, del artículo 17 de la Ley de Procedimiento y Justicia Administrativa para el Estado de Oaxaca, </w:t>
      </w:r>
      <w:r w:rsidR="00014EC2" w:rsidRPr="00292F0B">
        <w:rPr>
          <w:rFonts w:ascii="Century Gothic" w:hAnsi="Century Gothic" w:cs="Arial"/>
          <w:color w:val="000000"/>
          <w:sz w:val="24"/>
          <w:szCs w:val="24"/>
        </w:rPr>
        <w:t>lo que constituye un vicio de legalidad ostensible y particularmente grave que bajo ninguna circunstancia debe ser convalidado pues conlleva a que se declare su nulidad lisa y llana.</w:t>
      </w:r>
    </w:p>
    <w:p w14:paraId="4F9C7E43" w14:textId="41565F21" w:rsidR="00ED638C" w:rsidRPr="00292F0B" w:rsidRDefault="007F0C5F" w:rsidP="00FE770C">
      <w:pPr>
        <w:shd w:val="clear" w:color="auto" w:fill="FFFFFF"/>
        <w:ind w:firstLine="567"/>
        <w:jc w:val="both"/>
        <w:rPr>
          <w:rFonts w:ascii="Century Gothic" w:eastAsia="Times New Roman" w:hAnsi="Century Gothic" w:cs="Arial"/>
          <w:sz w:val="24"/>
          <w:szCs w:val="24"/>
        </w:rPr>
      </w:pPr>
      <w:r>
        <w:rPr>
          <w:rFonts w:ascii="Century Gothic" w:hAnsi="Century Gothic" w:cs="Arial"/>
          <w:sz w:val="24"/>
          <w:szCs w:val="24"/>
        </w:rPr>
        <w:lastRenderedPageBreak/>
        <w:t xml:space="preserve">25. </w:t>
      </w:r>
      <w:r w:rsidR="00ED638C" w:rsidRPr="00292F0B">
        <w:rPr>
          <w:rFonts w:ascii="Century Gothic" w:hAnsi="Century Gothic" w:cs="Arial"/>
          <w:sz w:val="24"/>
          <w:szCs w:val="24"/>
        </w:rPr>
        <w:t xml:space="preserve">Es aplicable al caso, la jurisprudencia en materia administrativa número I.7o.A. J./31, con número de registro digital 176913, </w:t>
      </w:r>
      <w:r w:rsidR="00ED638C" w:rsidRPr="00292F0B">
        <w:rPr>
          <w:rFonts w:ascii="Century Gothic" w:eastAsia="Calibri" w:hAnsi="Century Gothic" w:cs="Arial"/>
          <w:bCs/>
          <w:sz w:val="24"/>
          <w:szCs w:val="24"/>
        </w:rPr>
        <w:t xml:space="preserve">de la Novena Época, emitida por </w:t>
      </w:r>
      <w:r w:rsidR="00ED638C" w:rsidRPr="00292F0B">
        <w:rPr>
          <w:rFonts w:ascii="Century Gothic" w:hAnsi="Century Gothic" w:cs="Arial"/>
          <w:sz w:val="24"/>
          <w:szCs w:val="24"/>
        </w:rPr>
        <w:t xml:space="preserve">los </w:t>
      </w:r>
      <w:r w:rsidR="00ED638C" w:rsidRPr="00292F0B">
        <w:rPr>
          <w:rFonts w:ascii="Century Gothic" w:eastAsia="Times New Roman" w:hAnsi="Century Gothic" w:cs="Arial"/>
          <w:sz w:val="24"/>
          <w:szCs w:val="24"/>
        </w:rPr>
        <w:t xml:space="preserve">Tribunales Colegiados de Circuito, publicado en el Semanario Judicial de la Federación y su Gaceta, Tomo XXII, </w:t>
      </w:r>
      <w:proofErr w:type="gramStart"/>
      <w:r w:rsidR="00ED638C" w:rsidRPr="00292F0B">
        <w:rPr>
          <w:rFonts w:ascii="Century Gothic" w:eastAsia="Times New Roman" w:hAnsi="Century Gothic" w:cs="Arial"/>
          <w:sz w:val="24"/>
          <w:szCs w:val="24"/>
        </w:rPr>
        <w:t>Octubre</w:t>
      </w:r>
      <w:proofErr w:type="gramEnd"/>
      <w:r w:rsidR="00ED638C" w:rsidRPr="00292F0B">
        <w:rPr>
          <w:rFonts w:ascii="Century Gothic" w:eastAsia="Times New Roman" w:hAnsi="Century Gothic" w:cs="Arial"/>
          <w:sz w:val="24"/>
          <w:szCs w:val="24"/>
        </w:rPr>
        <w:t xml:space="preserve"> de 2005, consultable a página 2</w:t>
      </w:r>
      <w:r w:rsidR="00FF7F46">
        <w:rPr>
          <w:rFonts w:ascii="Century Gothic" w:eastAsia="Times New Roman" w:hAnsi="Century Gothic" w:cs="Arial"/>
          <w:sz w:val="24"/>
          <w:szCs w:val="24"/>
        </w:rPr>
        <w:t>212</w:t>
      </w:r>
      <w:r w:rsidR="00ED638C" w:rsidRPr="00292F0B">
        <w:rPr>
          <w:rFonts w:ascii="Century Gothic" w:eastAsia="Times New Roman" w:hAnsi="Century Gothic" w:cs="Arial"/>
          <w:sz w:val="24"/>
          <w:szCs w:val="24"/>
        </w:rPr>
        <w:t xml:space="preserve">, de rubro y texto siguientes: </w:t>
      </w:r>
    </w:p>
    <w:p w14:paraId="5B3774AB" w14:textId="087780F9" w:rsidR="00FE770C" w:rsidRPr="003F5045" w:rsidRDefault="00FE770C" w:rsidP="00FE770C">
      <w:pPr>
        <w:spacing w:before="240"/>
        <w:ind w:left="567" w:right="616"/>
        <w:jc w:val="both"/>
        <w:rPr>
          <w:rFonts w:ascii="Century Gothic" w:eastAsia="Times New Roman" w:hAnsi="Century Gothic" w:cs="Arial"/>
          <w:i/>
        </w:rPr>
      </w:pPr>
      <w:r w:rsidRPr="003F5045">
        <w:rPr>
          <w:rFonts w:ascii="Century Gothic" w:eastAsia="Times New Roman" w:hAnsi="Century Gothic" w:cs="Arial"/>
          <w:b/>
          <w:bCs/>
          <w:i/>
        </w:rPr>
        <w:t xml:space="preserve">“NULIDAD. REGLAS PARA SU DETERMINACIÓN EN EL JUICIO CONTENCIOSO ADMINISTRATIVO EN EL DISTRITO </w:t>
      </w:r>
      <w:proofErr w:type="gramStart"/>
      <w:r w:rsidRPr="003F5045">
        <w:rPr>
          <w:rFonts w:ascii="Century Gothic" w:eastAsia="Times New Roman" w:hAnsi="Century Gothic" w:cs="Arial"/>
          <w:b/>
          <w:bCs/>
          <w:i/>
        </w:rPr>
        <w:t>FEDERAL.</w:t>
      </w:r>
      <w:r w:rsidRPr="003F5045">
        <w:rPr>
          <w:rFonts w:ascii="Century Gothic" w:eastAsia="Times New Roman" w:hAnsi="Century Gothic" w:cs="Arial"/>
          <w:i/>
        </w:rPr>
        <w:t>.</w:t>
      </w:r>
      <w:proofErr w:type="gramEnd"/>
      <w:r w:rsidR="00752C92">
        <w:rPr>
          <w:rStyle w:val="Refdenotaalpie"/>
          <w:rFonts w:ascii="Century Gothic" w:eastAsia="Times New Roman" w:hAnsi="Century Gothic" w:cs="Arial"/>
          <w:i/>
        </w:rPr>
        <w:footnoteReference w:id="4"/>
      </w:r>
      <w:r w:rsidRPr="003F5045">
        <w:rPr>
          <w:rFonts w:ascii="Century Gothic" w:eastAsia="Times New Roman" w:hAnsi="Century Gothic" w:cs="Arial"/>
          <w:i/>
        </w:rPr>
        <w:t>”</w:t>
      </w:r>
    </w:p>
    <w:p w14:paraId="33CAF889" w14:textId="341575F7" w:rsidR="00C536E7" w:rsidRPr="00292F0B" w:rsidRDefault="007F0C5F" w:rsidP="00FE770C">
      <w:pPr>
        <w:spacing w:before="120" w:after="0"/>
        <w:ind w:firstLine="567"/>
        <w:jc w:val="both"/>
        <w:rPr>
          <w:rFonts w:ascii="Century Gothic" w:hAnsi="Century Gothic" w:cs="Arial"/>
          <w:bCs/>
          <w:sz w:val="24"/>
          <w:szCs w:val="24"/>
          <w:lang w:eastAsia="es-ES"/>
        </w:rPr>
      </w:pPr>
      <w:r>
        <w:rPr>
          <w:rFonts w:ascii="Century Gothic" w:eastAsia="Calibri" w:hAnsi="Century Gothic" w:cs="Arial"/>
          <w:bCs/>
          <w:color w:val="000000" w:themeColor="text1"/>
          <w:sz w:val="24"/>
          <w:szCs w:val="24"/>
        </w:rPr>
        <w:t xml:space="preserve">26. </w:t>
      </w:r>
      <w:r w:rsidR="00C536E7" w:rsidRPr="00292F0B">
        <w:rPr>
          <w:rFonts w:ascii="Century Gothic" w:eastAsia="Calibri" w:hAnsi="Century Gothic" w:cs="Arial"/>
          <w:bCs/>
          <w:color w:val="000000" w:themeColor="text1"/>
          <w:sz w:val="24"/>
          <w:szCs w:val="24"/>
        </w:rPr>
        <w:t xml:space="preserve">Por lo que respecta al </w:t>
      </w:r>
      <w:r w:rsidR="00FE770C" w:rsidRPr="00292F0B">
        <w:rPr>
          <w:rFonts w:ascii="Century Gothic" w:eastAsia="Calibri" w:hAnsi="Century Gothic" w:cs="Arial"/>
          <w:b/>
          <w:color w:val="000000" w:themeColor="text1"/>
          <w:sz w:val="24"/>
          <w:szCs w:val="24"/>
        </w:rPr>
        <w:t>segundo agravio</w:t>
      </w:r>
      <w:r w:rsidR="00C536E7" w:rsidRPr="00292F0B">
        <w:rPr>
          <w:rFonts w:ascii="Century Gothic" w:eastAsia="Calibri" w:hAnsi="Century Gothic" w:cs="Arial"/>
          <w:bCs/>
          <w:color w:val="000000" w:themeColor="text1"/>
          <w:sz w:val="24"/>
          <w:szCs w:val="24"/>
        </w:rPr>
        <w:t xml:space="preserve"> en donde el recurrente señala, 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cumpliéndose así con lo previsto por el artículo 17, fracción V de la Ley de Procedimiento y Justicia Administrativa para el Estado de Oaxaca.- - - - - - - - - - - - - - - - </w:t>
      </w:r>
    </w:p>
    <w:p w14:paraId="0CAD812E" w14:textId="61AC1AA5" w:rsidR="00C536E7" w:rsidRPr="00292F0B" w:rsidRDefault="007F0C5F" w:rsidP="00FE770C">
      <w:pPr>
        <w:spacing w:before="120" w:after="0"/>
        <w:ind w:firstLine="708"/>
        <w:jc w:val="both"/>
        <w:rPr>
          <w:rFonts w:ascii="Century Gothic" w:eastAsia="Calibri" w:hAnsi="Century Gothic" w:cs="Arial"/>
          <w:color w:val="000000" w:themeColor="text1"/>
          <w:sz w:val="24"/>
          <w:szCs w:val="24"/>
        </w:rPr>
      </w:pPr>
      <w:r>
        <w:rPr>
          <w:rFonts w:ascii="Century Gothic" w:eastAsia="Calibri" w:hAnsi="Century Gothic" w:cs="Arial"/>
          <w:bCs/>
          <w:sz w:val="24"/>
          <w:szCs w:val="24"/>
        </w:rPr>
        <w:t xml:space="preserve">27. </w:t>
      </w:r>
      <w:r w:rsidR="00C536E7" w:rsidRPr="00292F0B">
        <w:rPr>
          <w:rFonts w:ascii="Century Gothic" w:eastAsia="Calibri" w:hAnsi="Century Gothic" w:cs="Arial"/>
          <w:bCs/>
          <w:sz w:val="24"/>
          <w:szCs w:val="24"/>
        </w:rPr>
        <w:t xml:space="preserve">Se califica de </w:t>
      </w:r>
      <w:r w:rsidR="00C536E7" w:rsidRPr="00292F0B">
        <w:rPr>
          <w:rFonts w:ascii="Century Gothic" w:eastAsia="Calibri" w:hAnsi="Century Gothic" w:cs="Arial"/>
          <w:b/>
          <w:bCs/>
          <w:sz w:val="24"/>
          <w:szCs w:val="24"/>
        </w:rPr>
        <w:t>INOPERANTE</w:t>
      </w:r>
      <w:r w:rsidR="00C536E7" w:rsidRPr="00292F0B">
        <w:rPr>
          <w:rFonts w:ascii="Century Gothic" w:eastAsia="Calibri" w:hAnsi="Century Gothic" w:cs="Arial"/>
          <w:bCs/>
          <w:sz w:val="24"/>
          <w:szCs w:val="24"/>
        </w:rPr>
        <w:t xml:space="preserve"> el </w:t>
      </w:r>
      <w:r w:rsidR="005F4BB6">
        <w:rPr>
          <w:rFonts w:ascii="Century Gothic" w:eastAsia="Calibri" w:hAnsi="Century Gothic" w:cs="Arial"/>
          <w:bCs/>
          <w:sz w:val="24"/>
          <w:szCs w:val="24"/>
        </w:rPr>
        <w:t>segundo agravio</w:t>
      </w:r>
      <w:r w:rsidR="00C536E7" w:rsidRPr="00292F0B">
        <w:rPr>
          <w:rFonts w:ascii="Century Gothic" w:eastAsia="Calibri" w:hAnsi="Century Gothic" w:cs="Arial"/>
          <w:bCs/>
          <w:sz w:val="24"/>
          <w:szCs w:val="24"/>
        </w:rPr>
        <w:t xml:space="preserve"> de la autoridad recurrente, porque </w:t>
      </w:r>
      <w:r w:rsidR="00C536E7" w:rsidRPr="00292F0B">
        <w:rPr>
          <w:rFonts w:ascii="Century Gothic" w:eastAsia="Calibri" w:hAnsi="Century Gothic" w:cs="Arial"/>
          <w:bCs/>
          <w:color w:val="000000" w:themeColor="text1"/>
          <w:sz w:val="24"/>
          <w:szCs w:val="24"/>
          <w:lang w:eastAsia="en-US"/>
        </w:rPr>
        <w:t xml:space="preserve">no </w:t>
      </w:r>
      <w:r w:rsidR="00C536E7" w:rsidRPr="00292F0B">
        <w:rPr>
          <w:rFonts w:ascii="Century Gothic" w:eastAsia="Calibri" w:hAnsi="Century Gothic" w:cs="Arial"/>
          <w:bCs/>
          <w:sz w:val="24"/>
          <w:szCs w:val="24"/>
        </w:rPr>
        <w:t xml:space="preserve">expone argumento alguno destinado a combatir la consideración toral emitida por la Primera Instancia para declarar la nulidad lisa y llana </w:t>
      </w:r>
      <w:r w:rsidR="00C536E7" w:rsidRPr="00292F0B">
        <w:rPr>
          <w:rFonts w:ascii="Century Gothic" w:eastAsia="Calibri" w:hAnsi="Century Gothic" w:cs="Arial"/>
          <w:color w:val="000000" w:themeColor="text1"/>
          <w:sz w:val="24"/>
          <w:szCs w:val="24"/>
        </w:rPr>
        <w:t xml:space="preserve">del acta de infracción con número de folio 7542 A de fecha treinta y uno de agosto de dos mil veintidós, emitida por </w:t>
      </w:r>
      <w:r w:rsidR="00C536E7" w:rsidRPr="00292F0B">
        <w:rPr>
          <w:rFonts w:ascii="Century Gothic" w:hAnsi="Century Gothic" w:cs="Arial"/>
          <w:sz w:val="24"/>
          <w:szCs w:val="24"/>
        </w:rPr>
        <w:t xml:space="preserve">Salustio Ojeda Vásquez con número estadístico PV-69  adscrito a la Dirección de </w:t>
      </w:r>
      <w:r w:rsidR="00C536E7" w:rsidRPr="00292F0B">
        <w:rPr>
          <w:rFonts w:ascii="Century Gothic" w:hAnsi="Century Gothic" w:cs="Arial"/>
          <w:sz w:val="24"/>
          <w:szCs w:val="24"/>
        </w:rPr>
        <w:lastRenderedPageBreak/>
        <w:t>Movilidad, dependiente de la Secretaria de Seguridad Ciudadana, Movilidad y Protección Civil del Municipio de Oaxaca de Juárez, Oaxaca</w:t>
      </w:r>
      <w:r w:rsidR="00C536E7" w:rsidRPr="00292F0B">
        <w:rPr>
          <w:rFonts w:ascii="Century Gothic" w:eastAsia="Calibri" w:hAnsi="Century Gothic" w:cs="Arial"/>
          <w:color w:val="000000" w:themeColor="text1"/>
          <w:sz w:val="24"/>
          <w:szCs w:val="24"/>
        </w:rPr>
        <w:t xml:space="preserve">; </w:t>
      </w:r>
      <w:r w:rsidR="00C536E7" w:rsidRPr="00292F0B">
        <w:rPr>
          <w:rFonts w:ascii="Century Gothic" w:hAnsi="Century Gothic" w:cs="Arial"/>
          <w:bCs/>
          <w:color w:val="000000"/>
          <w:sz w:val="24"/>
          <w:szCs w:val="24"/>
        </w:rPr>
        <w:t xml:space="preserve">es decir, para ser considerado como agravio, era necesario que expusiera cuál es el precepto violado por la resolutora, así como debía indicar las razones que estima son suficientes para combatir la determinación de la juzgadora de origen y explicar en todo caso, por qué no procede la nulidad decretada, lo que no logra al tratarse de meras afirmaciones sin sustento legal alguno, </w:t>
      </w:r>
      <w:r w:rsidR="00C536E7" w:rsidRPr="00292F0B">
        <w:rPr>
          <w:rFonts w:ascii="Century Gothic" w:hAnsi="Century Gothic" w:cs="Arial"/>
          <w:bCs/>
          <w:sz w:val="24"/>
          <w:szCs w:val="24"/>
        </w:rPr>
        <w:t xml:space="preserve">ya que sus argumentos son genéricos, ambiguos, que en manera alguna explican la forma en que la sentencia le agravia. </w:t>
      </w:r>
    </w:p>
    <w:p w14:paraId="04DD1312" w14:textId="746B9888" w:rsidR="00C536E7" w:rsidRPr="007F0C5F" w:rsidRDefault="007F0C5F" w:rsidP="007F0C5F">
      <w:pPr>
        <w:spacing w:before="120" w:after="0"/>
        <w:ind w:firstLine="708"/>
        <w:jc w:val="both"/>
        <w:rPr>
          <w:rFonts w:ascii="Century Gothic" w:hAnsi="Century Gothic" w:cs="Arial"/>
          <w:bCs/>
          <w:sz w:val="24"/>
          <w:szCs w:val="24"/>
        </w:rPr>
      </w:pPr>
      <w:r>
        <w:rPr>
          <w:rFonts w:ascii="Century Gothic" w:eastAsia="Calibri" w:hAnsi="Century Gothic" w:cs="Arial"/>
          <w:bCs/>
          <w:sz w:val="24"/>
          <w:szCs w:val="24"/>
        </w:rPr>
        <w:t xml:space="preserve">28. </w:t>
      </w:r>
      <w:r w:rsidR="00C536E7" w:rsidRPr="00292F0B">
        <w:rPr>
          <w:rFonts w:ascii="Century Gothic" w:eastAsia="Calibri" w:hAnsi="Century Gothic" w:cs="Arial"/>
          <w:bCs/>
          <w:sz w:val="24"/>
          <w:szCs w:val="24"/>
        </w:rPr>
        <w:t xml:space="preserve">Se precisa que en materia recursiva, es imperativo que se exponga la lesión sufrida y para ello, es necesario que se diga cuál es la parte de la sentencia específica que le agravia; es decir, debe exponer </w:t>
      </w:r>
      <w:r w:rsidR="00C536E7" w:rsidRPr="00292F0B">
        <w:rPr>
          <w:rFonts w:ascii="Century Gothic" w:hAnsi="Century Gothic" w:cs="Arial"/>
          <w:bCs/>
          <w:sz w:val="24"/>
          <w:szCs w:val="24"/>
        </w:rPr>
        <w:t>en qué consiste la lesión sufrida con la actuación de la juzgadora,</w:t>
      </w:r>
      <w:r w:rsidR="00C536E7" w:rsidRPr="00292F0B">
        <w:rPr>
          <w:rFonts w:ascii="Century Gothic" w:eastAsia="Calibri" w:hAnsi="Century Gothic" w:cs="Arial"/>
          <w:bCs/>
          <w:sz w:val="24"/>
          <w:szCs w:val="24"/>
        </w:rPr>
        <w:t xml:space="preserve"> el precepto legal violado y que explique de qué manera la juzgadora le </w:t>
      </w:r>
      <w:r w:rsidR="00E41A0A" w:rsidRPr="00292F0B">
        <w:rPr>
          <w:rFonts w:ascii="Century Gothic" w:eastAsia="Calibri" w:hAnsi="Century Gothic" w:cs="Arial"/>
          <w:bCs/>
          <w:sz w:val="24"/>
          <w:szCs w:val="24"/>
        </w:rPr>
        <w:t>causa</w:t>
      </w:r>
      <w:r w:rsidR="00C536E7" w:rsidRPr="00292F0B">
        <w:rPr>
          <w:rFonts w:ascii="Century Gothic" w:eastAsia="Calibri" w:hAnsi="Century Gothic" w:cs="Arial"/>
          <w:bCs/>
          <w:sz w:val="24"/>
          <w:szCs w:val="24"/>
        </w:rPr>
        <w:t xml:space="preserve"> el perjuicio, sin que sea válido que haga aportaciones genéricas e hipotéticas como acontece en el presente caso,  pues así lo exige la técnica procesal tratándose de recursos. - - - - - - - - - - - - - - - - - - - - - - </w:t>
      </w:r>
      <w:r>
        <w:rPr>
          <w:rFonts w:ascii="Century Gothic" w:eastAsia="Calibri" w:hAnsi="Century Gothic" w:cs="Arial"/>
          <w:bCs/>
          <w:sz w:val="24"/>
          <w:szCs w:val="24"/>
        </w:rPr>
        <w:t>- -</w:t>
      </w:r>
    </w:p>
    <w:p w14:paraId="65A5B26F" w14:textId="3D8AFF02" w:rsidR="00ED638C" w:rsidRPr="00292F0B" w:rsidRDefault="007F0C5F" w:rsidP="00FE770C">
      <w:pPr>
        <w:spacing w:before="240"/>
        <w:ind w:firstLine="708"/>
        <w:jc w:val="both"/>
        <w:rPr>
          <w:rFonts w:ascii="Century Gothic" w:hAnsi="Century Gothic" w:cs="Arial"/>
          <w:sz w:val="24"/>
          <w:szCs w:val="24"/>
        </w:rPr>
      </w:pPr>
      <w:r>
        <w:rPr>
          <w:rFonts w:ascii="Century Gothic" w:hAnsi="Century Gothic" w:cs="Arial"/>
          <w:color w:val="000000"/>
          <w:sz w:val="24"/>
          <w:szCs w:val="24"/>
        </w:rPr>
        <w:t xml:space="preserve">29. </w:t>
      </w:r>
      <w:r w:rsidR="00ED638C" w:rsidRPr="00292F0B">
        <w:rPr>
          <w:rFonts w:ascii="Century Gothic" w:hAnsi="Century Gothic" w:cs="Arial"/>
          <w:color w:val="000000"/>
          <w:sz w:val="24"/>
          <w:szCs w:val="24"/>
        </w:rPr>
        <w:t>De lo</w:t>
      </w:r>
      <w:r w:rsidR="001F60BF">
        <w:rPr>
          <w:rFonts w:ascii="Century Gothic" w:hAnsi="Century Gothic" w:cs="Arial"/>
          <w:color w:val="000000"/>
          <w:sz w:val="24"/>
          <w:szCs w:val="24"/>
        </w:rPr>
        <w:t xml:space="preserve"> anterior</w:t>
      </w:r>
      <w:r w:rsidR="00ED638C" w:rsidRPr="00292F0B">
        <w:rPr>
          <w:rFonts w:ascii="Century Gothic" w:hAnsi="Century Gothic" w:cs="Arial"/>
          <w:color w:val="000000"/>
          <w:sz w:val="24"/>
          <w:szCs w:val="24"/>
        </w:rPr>
        <w:t xml:space="preserve"> expuesto, se concluye que en la sentencia en revisión fue dictada con apego a derecho, toda vez </w:t>
      </w:r>
      <w:r w:rsidR="00E41A0A" w:rsidRPr="00292F0B">
        <w:rPr>
          <w:rFonts w:ascii="Century Gothic" w:hAnsi="Century Gothic" w:cs="Arial"/>
          <w:color w:val="000000"/>
          <w:sz w:val="24"/>
          <w:szCs w:val="24"/>
        </w:rPr>
        <w:t xml:space="preserve">que, </w:t>
      </w:r>
      <w:r w:rsidR="00ED638C" w:rsidRPr="00292F0B">
        <w:rPr>
          <w:rFonts w:ascii="Century Gothic" w:hAnsi="Century Gothic" w:cs="Arial"/>
          <w:color w:val="000000"/>
          <w:sz w:val="24"/>
          <w:szCs w:val="24"/>
        </w:rPr>
        <w:t xml:space="preserve">la Magistrada de origen, expuso sus razonamientos lógico-jurídicos que la condujeron a determinar la nulidad lisa y llana del acto administrativo de autoridad; por ende, se califica como </w:t>
      </w:r>
      <w:r w:rsidR="00ED638C" w:rsidRPr="00292F0B">
        <w:rPr>
          <w:rFonts w:ascii="Century Gothic" w:hAnsi="Century Gothic" w:cs="Arial"/>
          <w:b/>
          <w:bCs/>
          <w:color w:val="000000"/>
          <w:sz w:val="24"/>
          <w:szCs w:val="24"/>
        </w:rPr>
        <w:t>infundado</w:t>
      </w:r>
      <w:r w:rsidR="00A71C37" w:rsidRPr="00292F0B">
        <w:rPr>
          <w:rFonts w:ascii="Century Gothic" w:hAnsi="Century Gothic" w:cs="Arial"/>
          <w:b/>
          <w:bCs/>
          <w:color w:val="000000"/>
          <w:sz w:val="24"/>
          <w:szCs w:val="24"/>
        </w:rPr>
        <w:t xml:space="preserve">s </w:t>
      </w:r>
      <w:r w:rsidR="00E41A0A" w:rsidRPr="00292F0B">
        <w:rPr>
          <w:rFonts w:ascii="Century Gothic" w:hAnsi="Century Gothic" w:cs="Arial"/>
          <w:b/>
          <w:bCs/>
          <w:color w:val="000000"/>
          <w:sz w:val="24"/>
          <w:szCs w:val="24"/>
        </w:rPr>
        <w:t>los agravios expuestos</w:t>
      </w:r>
      <w:r w:rsidR="00ED638C" w:rsidRPr="00292F0B">
        <w:rPr>
          <w:rFonts w:ascii="Century Gothic" w:hAnsi="Century Gothic" w:cs="Arial"/>
          <w:color w:val="000000"/>
          <w:sz w:val="24"/>
          <w:szCs w:val="24"/>
        </w:rPr>
        <w:t xml:space="preserve"> por la autoridad recurrente.</w:t>
      </w:r>
    </w:p>
    <w:p w14:paraId="2225BA14" w14:textId="0F359A4A" w:rsidR="003922BF" w:rsidRPr="00292F0B" w:rsidRDefault="007F0C5F" w:rsidP="00FE770C">
      <w:pPr>
        <w:ind w:firstLine="708"/>
        <w:jc w:val="both"/>
        <w:rPr>
          <w:rFonts w:ascii="Century Gothic" w:hAnsi="Century Gothic" w:cs="Arial"/>
          <w:sz w:val="24"/>
          <w:szCs w:val="24"/>
        </w:rPr>
      </w:pPr>
      <w:r>
        <w:rPr>
          <w:rFonts w:ascii="Century Gothic" w:hAnsi="Century Gothic" w:cs="Arial"/>
          <w:bCs/>
          <w:sz w:val="24"/>
          <w:szCs w:val="24"/>
        </w:rPr>
        <w:t xml:space="preserve">30. </w:t>
      </w:r>
      <w:r w:rsidR="00014EC2" w:rsidRPr="00292F0B">
        <w:rPr>
          <w:rFonts w:ascii="Century Gothic" w:hAnsi="Century Gothic" w:cs="Arial"/>
          <w:bCs/>
          <w:sz w:val="24"/>
          <w:szCs w:val="24"/>
        </w:rPr>
        <w:t>En mérito de lo anterior, a</w:t>
      </w:r>
      <w:r w:rsidR="007B6608" w:rsidRPr="00292F0B">
        <w:rPr>
          <w:rFonts w:ascii="Century Gothic" w:hAnsi="Century Gothic" w:cs="Arial"/>
          <w:bCs/>
          <w:sz w:val="24"/>
          <w:szCs w:val="24"/>
        </w:rPr>
        <w:t>nte l</w:t>
      </w:r>
      <w:r w:rsidR="00852028" w:rsidRPr="00292F0B">
        <w:rPr>
          <w:rFonts w:ascii="Century Gothic" w:hAnsi="Century Gothic" w:cs="Arial"/>
          <w:bCs/>
          <w:sz w:val="24"/>
          <w:szCs w:val="24"/>
        </w:rPr>
        <w:t xml:space="preserve">o </w:t>
      </w:r>
      <w:r w:rsidR="003922BF" w:rsidRPr="00292F0B">
        <w:rPr>
          <w:rFonts w:ascii="Century Gothic" w:hAnsi="Century Gothic" w:cs="Arial"/>
          <w:b/>
          <w:bCs/>
          <w:sz w:val="24"/>
          <w:szCs w:val="24"/>
        </w:rPr>
        <w:t>in</w:t>
      </w:r>
      <w:r w:rsidR="00E31BB4" w:rsidRPr="00292F0B">
        <w:rPr>
          <w:rFonts w:ascii="Century Gothic" w:hAnsi="Century Gothic" w:cs="Arial"/>
          <w:b/>
          <w:bCs/>
          <w:sz w:val="24"/>
          <w:szCs w:val="24"/>
        </w:rPr>
        <w:t>operante e in</w:t>
      </w:r>
      <w:r w:rsidR="003922BF" w:rsidRPr="00292F0B">
        <w:rPr>
          <w:rFonts w:ascii="Century Gothic" w:hAnsi="Century Gothic" w:cs="Arial"/>
          <w:b/>
          <w:bCs/>
          <w:sz w:val="24"/>
          <w:szCs w:val="24"/>
        </w:rPr>
        <w:t xml:space="preserve">fundado </w:t>
      </w:r>
      <w:r w:rsidR="007B6608" w:rsidRPr="00292F0B">
        <w:rPr>
          <w:rFonts w:ascii="Century Gothic" w:hAnsi="Century Gothic" w:cs="Arial"/>
          <w:bCs/>
          <w:sz w:val="24"/>
          <w:szCs w:val="24"/>
        </w:rPr>
        <w:t>de</w:t>
      </w:r>
      <w:r w:rsidR="00E34263" w:rsidRPr="00292F0B">
        <w:rPr>
          <w:rFonts w:ascii="Century Gothic" w:hAnsi="Century Gothic" w:cs="Arial"/>
          <w:bCs/>
          <w:sz w:val="24"/>
          <w:szCs w:val="24"/>
        </w:rPr>
        <w:t xml:space="preserve"> </w:t>
      </w:r>
      <w:r w:rsidR="00852028" w:rsidRPr="00292F0B">
        <w:rPr>
          <w:rFonts w:ascii="Century Gothic" w:hAnsi="Century Gothic" w:cs="Arial"/>
          <w:bCs/>
          <w:sz w:val="24"/>
          <w:szCs w:val="24"/>
        </w:rPr>
        <w:t>l</w:t>
      </w:r>
      <w:r w:rsidR="00E34263" w:rsidRPr="00292F0B">
        <w:rPr>
          <w:rFonts w:ascii="Century Gothic" w:hAnsi="Century Gothic" w:cs="Arial"/>
          <w:bCs/>
          <w:sz w:val="24"/>
          <w:szCs w:val="24"/>
        </w:rPr>
        <w:t>os</w:t>
      </w:r>
      <w:r w:rsidR="00852028" w:rsidRPr="00292F0B">
        <w:rPr>
          <w:rFonts w:ascii="Century Gothic" w:hAnsi="Century Gothic" w:cs="Arial"/>
          <w:bCs/>
          <w:sz w:val="24"/>
          <w:szCs w:val="24"/>
        </w:rPr>
        <w:t xml:space="preserve"> agravio</w:t>
      </w:r>
      <w:r w:rsidR="00E34263" w:rsidRPr="00292F0B">
        <w:rPr>
          <w:rFonts w:ascii="Century Gothic" w:hAnsi="Century Gothic" w:cs="Arial"/>
          <w:bCs/>
          <w:sz w:val="24"/>
          <w:szCs w:val="24"/>
        </w:rPr>
        <w:t>s</w:t>
      </w:r>
      <w:r w:rsidR="00852028" w:rsidRPr="00292F0B">
        <w:rPr>
          <w:rFonts w:ascii="Century Gothic" w:hAnsi="Century Gothic" w:cs="Arial"/>
          <w:bCs/>
          <w:sz w:val="24"/>
          <w:szCs w:val="24"/>
        </w:rPr>
        <w:t xml:space="preserve"> </w:t>
      </w:r>
      <w:r w:rsidR="003922BF" w:rsidRPr="00292F0B">
        <w:rPr>
          <w:rFonts w:ascii="Century Gothic" w:hAnsi="Century Gothic" w:cs="Arial"/>
          <w:bCs/>
          <w:sz w:val="24"/>
          <w:szCs w:val="24"/>
        </w:rPr>
        <w:t>exp</w:t>
      </w:r>
      <w:r w:rsidR="00852028" w:rsidRPr="00292F0B">
        <w:rPr>
          <w:rFonts w:ascii="Century Gothic" w:hAnsi="Century Gothic" w:cs="Arial"/>
          <w:bCs/>
          <w:sz w:val="24"/>
          <w:szCs w:val="24"/>
        </w:rPr>
        <w:t>uesto</w:t>
      </w:r>
      <w:r w:rsidR="00E34263" w:rsidRPr="00292F0B">
        <w:rPr>
          <w:rFonts w:ascii="Century Gothic" w:hAnsi="Century Gothic" w:cs="Arial"/>
          <w:bCs/>
          <w:sz w:val="24"/>
          <w:szCs w:val="24"/>
        </w:rPr>
        <w:t>s</w:t>
      </w:r>
      <w:r w:rsidR="00852028" w:rsidRPr="00292F0B">
        <w:rPr>
          <w:rFonts w:ascii="Century Gothic" w:hAnsi="Century Gothic" w:cs="Arial"/>
          <w:bCs/>
          <w:sz w:val="24"/>
          <w:szCs w:val="24"/>
        </w:rPr>
        <w:t xml:space="preserve"> </w:t>
      </w:r>
      <w:r w:rsidR="003922BF" w:rsidRPr="00292F0B">
        <w:rPr>
          <w:rFonts w:ascii="Century Gothic" w:hAnsi="Century Gothic" w:cs="Arial"/>
          <w:bCs/>
          <w:sz w:val="24"/>
          <w:szCs w:val="24"/>
        </w:rPr>
        <w:t xml:space="preserve">por la autoridad recurrente, lo procedente es </w:t>
      </w:r>
      <w:r w:rsidR="003922BF" w:rsidRPr="00292F0B">
        <w:rPr>
          <w:rFonts w:ascii="Century Gothic" w:hAnsi="Century Gothic" w:cs="Arial"/>
          <w:b/>
          <w:bCs/>
          <w:sz w:val="24"/>
          <w:szCs w:val="24"/>
        </w:rPr>
        <w:t>confirmar</w:t>
      </w:r>
      <w:r w:rsidR="003922BF" w:rsidRPr="00292F0B">
        <w:rPr>
          <w:rFonts w:ascii="Century Gothic" w:hAnsi="Century Gothic" w:cs="Arial"/>
          <w:bCs/>
          <w:sz w:val="24"/>
          <w:szCs w:val="24"/>
        </w:rPr>
        <w:t xml:space="preserve"> la sentencia</w:t>
      </w:r>
      <w:r w:rsidR="003922BF" w:rsidRPr="00292F0B">
        <w:rPr>
          <w:rFonts w:ascii="Century Gothic" w:eastAsia="Calibri" w:hAnsi="Century Gothic" w:cs="Arial"/>
          <w:bCs/>
          <w:sz w:val="24"/>
          <w:szCs w:val="24"/>
        </w:rPr>
        <w:t xml:space="preserve"> </w:t>
      </w:r>
      <w:r w:rsidR="00F80108" w:rsidRPr="00292F0B">
        <w:rPr>
          <w:rFonts w:ascii="Century Gothic" w:eastAsia="Calibri" w:hAnsi="Century Gothic" w:cs="Arial"/>
          <w:bCs/>
          <w:sz w:val="24"/>
          <w:szCs w:val="24"/>
        </w:rPr>
        <w:t>recurrida</w:t>
      </w:r>
      <w:r w:rsidR="003922BF" w:rsidRPr="00292F0B">
        <w:rPr>
          <w:rFonts w:ascii="Century Gothic" w:eastAsia="Calibri" w:hAnsi="Century Gothic" w:cs="Arial"/>
          <w:bCs/>
          <w:sz w:val="24"/>
          <w:szCs w:val="24"/>
        </w:rPr>
        <w:t>; en consecuencia</w:t>
      </w:r>
      <w:r w:rsidR="003922BF" w:rsidRPr="00292F0B">
        <w:rPr>
          <w:rFonts w:ascii="Century Gothic" w:hAnsi="Century Gothic" w:cs="Arial"/>
          <w:sz w:val="24"/>
          <w:szCs w:val="24"/>
        </w:rPr>
        <w:t>, con fundamento en los artículos 23</w:t>
      </w:r>
      <w:r w:rsidR="00C75E60" w:rsidRPr="00292F0B">
        <w:rPr>
          <w:rFonts w:ascii="Century Gothic" w:hAnsi="Century Gothic" w:cs="Arial"/>
          <w:sz w:val="24"/>
          <w:szCs w:val="24"/>
        </w:rPr>
        <w:t>6</w:t>
      </w:r>
      <w:r w:rsidR="003922BF" w:rsidRPr="00292F0B">
        <w:rPr>
          <w:rFonts w:ascii="Century Gothic" w:hAnsi="Century Gothic" w:cs="Arial"/>
          <w:sz w:val="24"/>
          <w:szCs w:val="24"/>
        </w:rPr>
        <w:t xml:space="preserve"> y 238 de la Ley de Procedimiento y J</w:t>
      </w:r>
      <w:r w:rsidR="00852028" w:rsidRPr="00292F0B">
        <w:rPr>
          <w:rFonts w:ascii="Century Gothic" w:hAnsi="Century Gothic" w:cs="Arial"/>
          <w:sz w:val="24"/>
          <w:szCs w:val="24"/>
        </w:rPr>
        <w:t>usticia Administrativa para el E</w:t>
      </w:r>
      <w:r w:rsidR="003922BF" w:rsidRPr="00292F0B">
        <w:rPr>
          <w:rFonts w:ascii="Century Gothic" w:hAnsi="Century Gothic" w:cs="Arial"/>
          <w:sz w:val="24"/>
          <w:szCs w:val="24"/>
        </w:rPr>
        <w:t>stado de Oaxaca, se:</w:t>
      </w:r>
    </w:p>
    <w:p w14:paraId="1C6064F7" w14:textId="77777777" w:rsidR="003922BF" w:rsidRPr="00292F0B" w:rsidRDefault="003922BF" w:rsidP="00FE770C">
      <w:pPr>
        <w:widowControl w:val="0"/>
        <w:tabs>
          <w:tab w:val="left" w:pos="0"/>
        </w:tabs>
        <w:spacing w:before="240" w:after="0"/>
        <w:ind w:right="18"/>
        <w:jc w:val="center"/>
        <w:rPr>
          <w:rFonts w:ascii="Century Gothic" w:hAnsi="Century Gothic" w:cs="Arial"/>
          <w:b/>
          <w:sz w:val="24"/>
          <w:szCs w:val="24"/>
        </w:rPr>
      </w:pPr>
      <w:r w:rsidRPr="00292F0B">
        <w:rPr>
          <w:rFonts w:ascii="Century Gothic" w:hAnsi="Century Gothic" w:cs="Arial"/>
          <w:b/>
          <w:sz w:val="24"/>
          <w:szCs w:val="24"/>
        </w:rPr>
        <w:t>R E S U E L V E</w:t>
      </w:r>
    </w:p>
    <w:p w14:paraId="75961B25" w14:textId="1E7C327E" w:rsidR="00C50570" w:rsidRDefault="003922BF" w:rsidP="00C50570">
      <w:pPr>
        <w:widowControl w:val="0"/>
        <w:tabs>
          <w:tab w:val="left" w:pos="0"/>
        </w:tabs>
        <w:spacing w:before="240" w:after="0"/>
        <w:ind w:right="18"/>
        <w:jc w:val="both"/>
        <w:rPr>
          <w:rFonts w:ascii="Century Gothic" w:hAnsi="Century Gothic" w:cs="Arial"/>
          <w:color w:val="000000"/>
          <w:sz w:val="24"/>
          <w:szCs w:val="24"/>
        </w:rPr>
      </w:pPr>
      <w:r w:rsidRPr="00292F0B">
        <w:rPr>
          <w:rFonts w:ascii="Century Gothic" w:hAnsi="Century Gothic" w:cs="Arial"/>
          <w:b/>
          <w:color w:val="000000"/>
          <w:sz w:val="24"/>
          <w:szCs w:val="24"/>
        </w:rPr>
        <w:tab/>
        <w:t>PRIMERO</w:t>
      </w:r>
      <w:r w:rsidRPr="00292F0B">
        <w:rPr>
          <w:rFonts w:ascii="Century Gothic" w:hAnsi="Century Gothic" w:cs="Arial"/>
          <w:color w:val="000000"/>
          <w:sz w:val="24"/>
          <w:szCs w:val="24"/>
        </w:rPr>
        <w:t xml:space="preserve">. Se </w:t>
      </w:r>
      <w:r w:rsidR="00AA0306" w:rsidRPr="00292F0B">
        <w:rPr>
          <w:rFonts w:ascii="Century Gothic" w:hAnsi="Century Gothic" w:cs="Arial"/>
          <w:b/>
          <w:color w:val="000000"/>
          <w:sz w:val="24"/>
          <w:szCs w:val="24"/>
        </w:rPr>
        <w:t>CONFIRMA</w:t>
      </w:r>
      <w:r w:rsidRPr="00292F0B">
        <w:rPr>
          <w:rFonts w:ascii="Century Gothic" w:hAnsi="Century Gothic" w:cs="Arial"/>
          <w:b/>
          <w:color w:val="000000"/>
          <w:sz w:val="24"/>
          <w:szCs w:val="24"/>
        </w:rPr>
        <w:t xml:space="preserve"> </w:t>
      </w:r>
      <w:r w:rsidRPr="00292F0B">
        <w:rPr>
          <w:rFonts w:ascii="Century Gothic" w:hAnsi="Century Gothic" w:cs="Arial"/>
          <w:color w:val="000000"/>
          <w:sz w:val="24"/>
          <w:szCs w:val="24"/>
        </w:rPr>
        <w:t xml:space="preserve">la </w:t>
      </w:r>
      <w:r w:rsidRPr="00292F0B">
        <w:rPr>
          <w:rFonts w:ascii="Century Gothic" w:hAnsi="Century Gothic" w:cs="Arial"/>
          <w:sz w:val="24"/>
          <w:szCs w:val="24"/>
        </w:rPr>
        <w:t>sentencia</w:t>
      </w:r>
      <w:r w:rsidR="009E617C">
        <w:rPr>
          <w:rFonts w:ascii="Century Gothic" w:hAnsi="Century Gothic" w:cs="Arial"/>
          <w:sz w:val="24"/>
          <w:szCs w:val="24"/>
        </w:rPr>
        <w:t xml:space="preserve"> de</w:t>
      </w:r>
      <w:r w:rsidRPr="00292F0B">
        <w:rPr>
          <w:rFonts w:ascii="Century Gothic" w:hAnsi="Century Gothic" w:cs="Arial"/>
          <w:sz w:val="24"/>
          <w:szCs w:val="24"/>
        </w:rPr>
        <w:t xml:space="preserve"> </w:t>
      </w:r>
      <w:r w:rsidR="00A71C37" w:rsidRPr="00292F0B">
        <w:rPr>
          <w:rFonts w:ascii="Century Gothic" w:hAnsi="Century Gothic" w:cs="Arial"/>
          <w:color w:val="000000"/>
          <w:sz w:val="24"/>
          <w:szCs w:val="24"/>
        </w:rPr>
        <w:t>dos de febrero de dos mil veintitrés</w:t>
      </w:r>
      <w:r w:rsidR="00E41A0A" w:rsidRPr="00292F0B">
        <w:rPr>
          <w:rFonts w:ascii="Century Gothic" w:hAnsi="Century Gothic" w:cs="Arial"/>
          <w:color w:val="000000"/>
          <w:sz w:val="24"/>
          <w:szCs w:val="24"/>
        </w:rPr>
        <w:t xml:space="preserve"> </w:t>
      </w:r>
      <w:r w:rsidR="00E41A0A" w:rsidRPr="00292F0B">
        <w:rPr>
          <w:rFonts w:ascii="Century Gothic" w:hAnsi="Century Gothic" w:cs="Arial"/>
          <w:sz w:val="24"/>
          <w:szCs w:val="24"/>
        </w:rPr>
        <w:t xml:space="preserve">dictada en el expediente </w:t>
      </w:r>
      <w:r w:rsidR="00E41A0A" w:rsidRPr="00292F0B">
        <w:rPr>
          <w:rFonts w:ascii="Century Gothic" w:hAnsi="Century Gothic" w:cs="Arial"/>
          <w:b/>
          <w:sz w:val="24"/>
          <w:szCs w:val="24"/>
        </w:rPr>
        <w:t>0092/2022</w:t>
      </w:r>
      <w:r w:rsidR="00E41A0A" w:rsidRPr="00292F0B">
        <w:rPr>
          <w:rFonts w:ascii="Century Gothic" w:hAnsi="Century Gothic" w:cs="Arial"/>
          <w:sz w:val="24"/>
          <w:szCs w:val="24"/>
        </w:rPr>
        <w:t xml:space="preserve"> de la Cuarta Sala Unitaria de Primera Instancia del extinto Tribunal de Justicia Administrativa del Estado de Oaxaca, ahora radicado dentro del expediente </w:t>
      </w:r>
      <w:r w:rsidR="00E41A0A" w:rsidRPr="00292F0B">
        <w:rPr>
          <w:rFonts w:ascii="Century Gothic" w:hAnsi="Century Gothic" w:cs="Arial"/>
          <w:b/>
          <w:sz w:val="24"/>
          <w:szCs w:val="24"/>
        </w:rPr>
        <w:t>0474/2023</w:t>
      </w:r>
      <w:r w:rsidR="00E41A0A" w:rsidRPr="00292F0B">
        <w:rPr>
          <w:rFonts w:ascii="Century Gothic" w:hAnsi="Century Gothic" w:cs="Arial"/>
          <w:sz w:val="24"/>
          <w:szCs w:val="24"/>
        </w:rPr>
        <w:t xml:space="preserve"> del índice de la Tercera Sala Unitaria de Primera Instancia del Tribunal </w:t>
      </w:r>
      <w:r w:rsidR="00E41A0A" w:rsidRPr="00292F0B">
        <w:rPr>
          <w:rFonts w:ascii="Century Gothic" w:eastAsia="Times New Roman" w:hAnsi="Century Gothic" w:cs="Arial"/>
          <w:sz w:val="24"/>
          <w:szCs w:val="24"/>
          <w:lang w:val="es-ES_tradnl" w:eastAsia="es-ES"/>
        </w:rPr>
        <w:t>de Justicia Administrativa y Combate a la Corrupción del Estado de Oaxaca</w:t>
      </w:r>
      <w:r w:rsidRPr="00292F0B">
        <w:rPr>
          <w:rFonts w:ascii="Century Gothic" w:hAnsi="Century Gothic" w:cs="Arial"/>
          <w:color w:val="000000"/>
          <w:sz w:val="24"/>
          <w:szCs w:val="24"/>
        </w:rPr>
        <w:t>, por las razones expuestas en el considerando tercero</w:t>
      </w:r>
      <w:r w:rsidRPr="00292F0B">
        <w:rPr>
          <w:rFonts w:ascii="Century Gothic" w:hAnsi="Century Gothic" w:cs="Arial"/>
          <w:b/>
          <w:color w:val="000000"/>
          <w:sz w:val="24"/>
          <w:szCs w:val="24"/>
        </w:rPr>
        <w:t xml:space="preserve"> </w:t>
      </w:r>
      <w:r w:rsidRPr="00292F0B">
        <w:rPr>
          <w:rFonts w:ascii="Century Gothic" w:hAnsi="Century Gothic" w:cs="Arial"/>
          <w:color w:val="000000"/>
          <w:sz w:val="24"/>
          <w:szCs w:val="24"/>
        </w:rPr>
        <w:t>de la presente resolución.</w:t>
      </w:r>
      <w:r w:rsidR="0025565F" w:rsidRPr="00292F0B">
        <w:rPr>
          <w:rFonts w:ascii="Century Gothic" w:hAnsi="Century Gothic" w:cs="Arial"/>
          <w:color w:val="000000"/>
          <w:sz w:val="24"/>
          <w:szCs w:val="24"/>
        </w:rPr>
        <w:t xml:space="preserve"> - - - - - - - - - - - - - - - - - </w:t>
      </w:r>
      <w:r w:rsidR="00F80108" w:rsidRPr="00292F0B">
        <w:rPr>
          <w:rFonts w:ascii="Century Gothic" w:hAnsi="Century Gothic" w:cs="Arial"/>
          <w:color w:val="000000"/>
          <w:sz w:val="24"/>
          <w:szCs w:val="24"/>
        </w:rPr>
        <w:t>- -</w:t>
      </w:r>
      <w:r w:rsidR="00C50570">
        <w:rPr>
          <w:rFonts w:ascii="Century Gothic" w:hAnsi="Century Gothic" w:cs="Arial"/>
          <w:color w:val="000000"/>
          <w:sz w:val="24"/>
          <w:szCs w:val="24"/>
        </w:rPr>
        <w:t xml:space="preserve"> </w:t>
      </w:r>
      <w:r w:rsidR="00C50570" w:rsidRPr="00292F0B">
        <w:rPr>
          <w:rFonts w:ascii="Century Gothic" w:hAnsi="Century Gothic" w:cs="Arial"/>
          <w:color w:val="000000"/>
          <w:sz w:val="24"/>
          <w:szCs w:val="24"/>
        </w:rPr>
        <w:t>- - - - - - - - -</w:t>
      </w:r>
      <w:r w:rsidR="00C50570">
        <w:rPr>
          <w:rFonts w:ascii="Century Gothic" w:hAnsi="Century Gothic" w:cs="Arial"/>
          <w:color w:val="000000"/>
          <w:sz w:val="24"/>
          <w:szCs w:val="24"/>
        </w:rPr>
        <w:t xml:space="preserve"> </w:t>
      </w:r>
      <w:r w:rsidR="00C50570" w:rsidRPr="00292F0B">
        <w:rPr>
          <w:rFonts w:ascii="Century Gothic" w:hAnsi="Century Gothic" w:cs="Arial"/>
          <w:color w:val="000000"/>
          <w:sz w:val="24"/>
          <w:szCs w:val="24"/>
        </w:rPr>
        <w:t>- - - - - - - - -</w:t>
      </w:r>
      <w:r w:rsidR="00C50570">
        <w:rPr>
          <w:rFonts w:ascii="Century Gothic" w:hAnsi="Century Gothic" w:cs="Arial"/>
          <w:color w:val="000000"/>
          <w:sz w:val="24"/>
          <w:szCs w:val="24"/>
        </w:rPr>
        <w:t xml:space="preserve"> </w:t>
      </w:r>
      <w:r w:rsidR="00C50570" w:rsidRPr="00292F0B">
        <w:rPr>
          <w:rFonts w:ascii="Century Gothic" w:hAnsi="Century Gothic" w:cs="Arial"/>
          <w:color w:val="000000"/>
          <w:sz w:val="24"/>
          <w:szCs w:val="24"/>
        </w:rPr>
        <w:t>- - - -</w:t>
      </w:r>
    </w:p>
    <w:p w14:paraId="6A32A909" w14:textId="77436C3E" w:rsidR="003922BF" w:rsidRPr="00C50570" w:rsidRDefault="00C50570" w:rsidP="00C50570">
      <w:pPr>
        <w:widowControl w:val="0"/>
        <w:tabs>
          <w:tab w:val="left" w:pos="0"/>
        </w:tabs>
        <w:spacing w:before="240" w:after="0"/>
        <w:ind w:right="18"/>
        <w:jc w:val="both"/>
        <w:rPr>
          <w:rFonts w:ascii="Century Gothic" w:hAnsi="Century Gothic" w:cs="Arial"/>
          <w:color w:val="000000"/>
          <w:sz w:val="24"/>
          <w:szCs w:val="24"/>
        </w:rPr>
      </w:pPr>
      <w:r>
        <w:rPr>
          <w:rFonts w:ascii="Century Gothic" w:hAnsi="Century Gothic" w:cs="Arial"/>
          <w:b/>
          <w:sz w:val="24"/>
          <w:szCs w:val="24"/>
        </w:rPr>
        <w:tab/>
      </w:r>
      <w:r w:rsidR="003922BF" w:rsidRPr="00292F0B">
        <w:rPr>
          <w:rFonts w:ascii="Century Gothic" w:hAnsi="Century Gothic" w:cs="Arial"/>
          <w:b/>
          <w:sz w:val="24"/>
          <w:szCs w:val="24"/>
        </w:rPr>
        <w:t>SEGUNDO. Notifíquese y cúmplase,</w:t>
      </w:r>
      <w:r w:rsidR="003922BF" w:rsidRPr="00292F0B">
        <w:rPr>
          <w:rFonts w:ascii="Century Gothic" w:hAnsi="Century Gothic" w:cs="Arial"/>
          <w:sz w:val="24"/>
          <w:szCs w:val="24"/>
        </w:rPr>
        <w:t xml:space="preserve"> remítase copia certificada de la presente resolución a la Sala de origen para los efectos legales correspondientes y </w:t>
      </w:r>
      <w:r w:rsidR="00345C36" w:rsidRPr="00292F0B">
        <w:rPr>
          <w:rFonts w:ascii="Century Gothic" w:hAnsi="Century Gothic" w:cs="Arial"/>
          <w:sz w:val="24"/>
          <w:szCs w:val="24"/>
        </w:rPr>
        <w:t xml:space="preserve">en su oportunidad </w:t>
      </w:r>
      <w:r w:rsidR="003922BF" w:rsidRPr="00292F0B">
        <w:rPr>
          <w:rFonts w:ascii="Century Gothic" w:hAnsi="Century Gothic" w:cs="Arial"/>
          <w:sz w:val="24"/>
          <w:szCs w:val="24"/>
        </w:rPr>
        <w:t xml:space="preserve">archívese como asunto concluido. </w:t>
      </w:r>
      <w:r w:rsidR="007F0C5F" w:rsidRPr="00292F0B">
        <w:rPr>
          <w:rFonts w:ascii="Century Gothic" w:hAnsi="Century Gothic" w:cs="Arial"/>
          <w:color w:val="000000"/>
          <w:sz w:val="24"/>
          <w:szCs w:val="24"/>
        </w:rPr>
        <w:t>- - - - - - - - - - - -</w:t>
      </w:r>
      <w:r w:rsidR="007F0C5F">
        <w:rPr>
          <w:rFonts w:ascii="Century Gothic" w:hAnsi="Century Gothic" w:cs="Arial"/>
          <w:color w:val="000000"/>
          <w:sz w:val="24"/>
          <w:szCs w:val="24"/>
        </w:rPr>
        <w:t xml:space="preserve"> </w:t>
      </w:r>
      <w:r w:rsidR="007F0C5F" w:rsidRPr="00292F0B">
        <w:rPr>
          <w:rFonts w:ascii="Century Gothic" w:hAnsi="Century Gothic" w:cs="Arial"/>
          <w:color w:val="000000"/>
          <w:sz w:val="24"/>
          <w:szCs w:val="24"/>
        </w:rPr>
        <w:t>- - - - - - - - - - - -</w:t>
      </w:r>
      <w:r w:rsidR="007F0C5F">
        <w:rPr>
          <w:rFonts w:ascii="Century Gothic" w:hAnsi="Century Gothic" w:cs="Arial"/>
          <w:color w:val="000000"/>
          <w:sz w:val="24"/>
          <w:szCs w:val="24"/>
        </w:rPr>
        <w:t xml:space="preserve"> </w:t>
      </w:r>
      <w:r w:rsidR="007F0C5F" w:rsidRPr="00292F0B">
        <w:rPr>
          <w:rFonts w:ascii="Century Gothic" w:hAnsi="Century Gothic" w:cs="Arial"/>
          <w:color w:val="000000"/>
          <w:sz w:val="24"/>
          <w:szCs w:val="24"/>
        </w:rPr>
        <w:t>- - - - - - - - - - - -</w:t>
      </w:r>
      <w:r w:rsidR="007F0C5F">
        <w:rPr>
          <w:rFonts w:ascii="Century Gothic" w:hAnsi="Century Gothic" w:cs="Arial"/>
          <w:color w:val="000000"/>
          <w:sz w:val="24"/>
          <w:szCs w:val="24"/>
        </w:rPr>
        <w:t xml:space="preserve"> </w:t>
      </w:r>
      <w:r w:rsidR="007F0C5F" w:rsidRPr="00292F0B">
        <w:rPr>
          <w:rFonts w:ascii="Century Gothic" w:hAnsi="Century Gothic" w:cs="Arial"/>
          <w:color w:val="000000"/>
          <w:sz w:val="24"/>
          <w:szCs w:val="24"/>
        </w:rPr>
        <w:t>- - - - - - - - - - - -</w:t>
      </w:r>
      <w:r w:rsidR="007F0C5F">
        <w:rPr>
          <w:rFonts w:ascii="Century Gothic" w:hAnsi="Century Gothic" w:cs="Arial"/>
          <w:color w:val="000000"/>
          <w:sz w:val="24"/>
          <w:szCs w:val="24"/>
        </w:rPr>
        <w:t xml:space="preserve"> </w:t>
      </w:r>
    </w:p>
    <w:p w14:paraId="6887132A" w14:textId="51913A2C" w:rsidR="00FE770C" w:rsidRPr="00292F0B" w:rsidRDefault="00FE770C" w:rsidP="00FE770C">
      <w:pPr>
        <w:spacing w:before="240"/>
        <w:ind w:firstLine="708"/>
        <w:jc w:val="both"/>
        <w:rPr>
          <w:rFonts w:ascii="Century Gothic" w:hAnsi="Century Gothic" w:cs="Arial"/>
          <w:sz w:val="24"/>
          <w:szCs w:val="24"/>
        </w:rPr>
      </w:pPr>
      <w:r w:rsidRPr="00292F0B">
        <w:rPr>
          <w:rFonts w:ascii="Century Gothic" w:hAnsi="Century Gothic" w:cs="Arial"/>
          <w:sz w:val="24"/>
          <w:szCs w:val="24"/>
        </w:rPr>
        <w:lastRenderedPageBreak/>
        <w:t xml:space="preserve">Por unanimidad de votos, lo resolvieron y firmaron los Magistrados integrantes de la Sala Superior Mateo Martínez </w:t>
      </w:r>
      <w:proofErr w:type="spellStart"/>
      <w:r w:rsidRPr="00292F0B">
        <w:rPr>
          <w:rFonts w:ascii="Century Gothic" w:hAnsi="Century Gothic" w:cs="Arial"/>
          <w:sz w:val="24"/>
          <w:szCs w:val="24"/>
        </w:rPr>
        <w:t>Martínez</w:t>
      </w:r>
      <w:proofErr w:type="spellEnd"/>
      <w:r w:rsidRPr="00292F0B">
        <w:rPr>
          <w:rFonts w:ascii="Century Gothic" w:hAnsi="Century Gothic" w:cs="Arial"/>
          <w:sz w:val="24"/>
          <w:szCs w:val="24"/>
        </w:rPr>
        <w:t xml:space="preserve">, Cruz Itzel Espinosa Rojas </w:t>
      </w:r>
      <w:r w:rsidRPr="00261509">
        <w:rPr>
          <w:rFonts w:ascii="Century Gothic" w:hAnsi="Century Gothic" w:cs="Arial"/>
          <w:b/>
          <w:bCs/>
          <w:sz w:val="24"/>
          <w:szCs w:val="24"/>
        </w:rPr>
        <w:t>(ponente)</w:t>
      </w:r>
      <w:r w:rsidRPr="00292F0B">
        <w:rPr>
          <w:rFonts w:ascii="Century Gothic" w:hAnsi="Century Gothic" w:cs="Arial"/>
          <w:sz w:val="24"/>
          <w:szCs w:val="24"/>
        </w:rPr>
        <w:t xml:space="preserve"> y Manuel de Jesús López </w:t>
      </w:r>
      <w:proofErr w:type="spellStart"/>
      <w:r w:rsidRPr="00292F0B">
        <w:rPr>
          <w:rFonts w:ascii="Century Gothic" w:hAnsi="Century Gothic" w:cs="Arial"/>
          <w:sz w:val="24"/>
          <w:szCs w:val="24"/>
        </w:rPr>
        <w:t>López</w:t>
      </w:r>
      <w:proofErr w:type="spellEnd"/>
      <w:r w:rsidRPr="00292F0B">
        <w:rPr>
          <w:rFonts w:ascii="Century Gothic" w:hAnsi="Century Gothic" w:cs="Arial"/>
          <w:sz w:val="24"/>
          <w:szCs w:val="24"/>
        </w:rPr>
        <w:t xml:space="preserve">; quienes actúan con la Licenciada Lizbeth Jessica Gallardo Martínez, </w:t>
      </w:r>
      <w:proofErr w:type="gramStart"/>
      <w:r w:rsidRPr="00292F0B">
        <w:rPr>
          <w:rFonts w:ascii="Century Gothic" w:hAnsi="Century Gothic" w:cs="Arial"/>
          <w:sz w:val="24"/>
          <w:szCs w:val="24"/>
        </w:rPr>
        <w:t>Secretaria General</w:t>
      </w:r>
      <w:proofErr w:type="gramEnd"/>
      <w:r w:rsidRPr="00292F0B">
        <w:rPr>
          <w:rFonts w:ascii="Century Gothic" w:hAnsi="Century Gothic" w:cs="Arial"/>
          <w:sz w:val="24"/>
          <w:szCs w:val="24"/>
        </w:rPr>
        <w:t xml:space="preserve"> de Acuerdos de este Tribunal, que autoriza y da fe.</w:t>
      </w:r>
      <w:r w:rsidR="00C50570">
        <w:rPr>
          <w:rFonts w:ascii="Century Gothic" w:hAnsi="Century Gothic" w:cs="Arial"/>
          <w:sz w:val="24"/>
          <w:szCs w:val="24"/>
        </w:rPr>
        <w:t xml:space="preserve"> </w:t>
      </w:r>
      <w:r w:rsidRPr="00292F0B">
        <w:rPr>
          <w:rFonts w:ascii="Century Gothic" w:hAnsi="Century Gothic" w:cs="Arial"/>
          <w:sz w:val="24"/>
          <w:szCs w:val="24"/>
        </w:rPr>
        <w:t>-</w:t>
      </w:r>
      <w:r w:rsidR="00C50570">
        <w:rPr>
          <w:rFonts w:ascii="Century Gothic" w:hAnsi="Century Gothic" w:cs="Arial"/>
          <w:sz w:val="24"/>
          <w:szCs w:val="24"/>
        </w:rPr>
        <w:t xml:space="preserve"> </w:t>
      </w:r>
      <w:r w:rsidR="00C50570" w:rsidRPr="00292F0B">
        <w:rPr>
          <w:rFonts w:ascii="Century Gothic" w:hAnsi="Century Gothic" w:cs="Arial"/>
          <w:color w:val="000000"/>
          <w:sz w:val="24"/>
          <w:szCs w:val="24"/>
        </w:rPr>
        <w:t>- - - - - - - -</w:t>
      </w:r>
    </w:p>
    <w:p w14:paraId="20F72054" w14:textId="77777777" w:rsidR="00FE770C" w:rsidRDefault="00FE770C" w:rsidP="00FE770C">
      <w:pPr>
        <w:pStyle w:val="Sinespaciado"/>
        <w:spacing w:line="276" w:lineRule="auto"/>
        <w:jc w:val="center"/>
        <w:rPr>
          <w:rFonts w:ascii="Century Gothic" w:hAnsi="Century Gothic" w:cs="Arial"/>
          <w:b/>
          <w:sz w:val="24"/>
          <w:szCs w:val="24"/>
        </w:rPr>
      </w:pPr>
    </w:p>
    <w:p w14:paraId="46FAD44E" w14:textId="77777777" w:rsidR="00DD6646" w:rsidRDefault="00DD6646" w:rsidP="00FE770C">
      <w:pPr>
        <w:pStyle w:val="Sinespaciado"/>
        <w:spacing w:line="276" w:lineRule="auto"/>
        <w:jc w:val="center"/>
        <w:rPr>
          <w:rFonts w:ascii="Century Gothic" w:hAnsi="Century Gothic" w:cs="Arial"/>
          <w:b/>
          <w:sz w:val="24"/>
          <w:szCs w:val="24"/>
        </w:rPr>
      </w:pPr>
    </w:p>
    <w:p w14:paraId="2F104D73" w14:textId="77777777" w:rsidR="00DD6646" w:rsidRDefault="00DD6646" w:rsidP="00FE770C">
      <w:pPr>
        <w:pStyle w:val="Sinespaciado"/>
        <w:spacing w:line="276" w:lineRule="auto"/>
        <w:jc w:val="center"/>
        <w:rPr>
          <w:rFonts w:ascii="Century Gothic" w:hAnsi="Century Gothic" w:cs="Arial"/>
          <w:b/>
          <w:sz w:val="24"/>
          <w:szCs w:val="24"/>
        </w:rPr>
      </w:pPr>
    </w:p>
    <w:p w14:paraId="5968B101" w14:textId="77777777" w:rsidR="00DD6646" w:rsidRDefault="00DD6646" w:rsidP="00FE770C">
      <w:pPr>
        <w:pStyle w:val="Sinespaciado"/>
        <w:spacing w:line="276" w:lineRule="auto"/>
        <w:jc w:val="center"/>
        <w:rPr>
          <w:rFonts w:ascii="Century Gothic" w:hAnsi="Century Gothic" w:cs="Arial"/>
          <w:b/>
          <w:sz w:val="24"/>
          <w:szCs w:val="24"/>
        </w:rPr>
      </w:pPr>
    </w:p>
    <w:p w14:paraId="6AC748E3" w14:textId="77777777" w:rsidR="00DD6646" w:rsidRPr="00292F0B" w:rsidRDefault="00DD6646" w:rsidP="00FE770C">
      <w:pPr>
        <w:pStyle w:val="Sinespaciado"/>
        <w:spacing w:line="276" w:lineRule="auto"/>
        <w:jc w:val="center"/>
        <w:rPr>
          <w:rFonts w:ascii="Century Gothic" w:hAnsi="Century Gothic" w:cs="Arial"/>
          <w:b/>
          <w:sz w:val="24"/>
          <w:szCs w:val="24"/>
        </w:rPr>
      </w:pPr>
    </w:p>
    <w:p w14:paraId="6DA62FFB" w14:textId="4559B122" w:rsidR="00FE770C" w:rsidRPr="00292F0B" w:rsidRDefault="00FE770C" w:rsidP="007422B9">
      <w:pPr>
        <w:pStyle w:val="Sinespaciado"/>
        <w:spacing w:line="276" w:lineRule="auto"/>
        <w:jc w:val="center"/>
        <w:rPr>
          <w:rFonts w:ascii="Century Gothic" w:hAnsi="Century Gothic" w:cs="Arial"/>
          <w:b/>
          <w:sz w:val="24"/>
          <w:szCs w:val="24"/>
        </w:rPr>
      </w:pPr>
      <w:r w:rsidRPr="00292F0B">
        <w:rPr>
          <w:rFonts w:ascii="Century Gothic" w:hAnsi="Century Gothic" w:cs="Arial"/>
          <w:b/>
          <w:sz w:val="24"/>
          <w:szCs w:val="24"/>
        </w:rPr>
        <w:t xml:space="preserve">MAGISTRADO MATEO MARTÍNEZ </w:t>
      </w:r>
      <w:proofErr w:type="spellStart"/>
      <w:r w:rsidRPr="00292F0B">
        <w:rPr>
          <w:rFonts w:ascii="Century Gothic" w:hAnsi="Century Gothic" w:cs="Arial"/>
          <w:b/>
          <w:sz w:val="24"/>
          <w:szCs w:val="24"/>
        </w:rPr>
        <w:t>MARTÍNEZ</w:t>
      </w:r>
      <w:proofErr w:type="spellEnd"/>
      <w:r w:rsidR="009E617C">
        <w:rPr>
          <w:rFonts w:ascii="Century Gothic" w:hAnsi="Century Gothic" w:cs="Arial"/>
          <w:b/>
          <w:sz w:val="24"/>
          <w:szCs w:val="24"/>
        </w:rPr>
        <w:t>.</w:t>
      </w:r>
    </w:p>
    <w:p w14:paraId="552663E3" w14:textId="2892CD05" w:rsidR="00FE770C" w:rsidRPr="00292F0B" w:rsidRDefault="00FE770C" w:rsidP="00261509">
      <w:pPr>
        <w:pStyle w:val="Sinespaciado"/>
        <w:spacing w:line="276" w:lineRule="auto"/>
        <w:jc w:val="center"/>
        <w:rPr>
          <w:rFonts w:ascii="Century Gothic" w:hAnsi="Century Gothic" w:cs="Arial"/>
          <w:b/>
          <w:sz w:val="24"/>
          <w:szCs w:val="24"/>
        </w:rPr>
      </w:pPr>
      <w:r w:rsidRPr="00292F0B">
        <w:rPr>
          <w:rFonts w:ascii="Century Gothic" w:hAnsi="Century Gothic" w:cs="Arial"/>
          <w:b/>
          <w:sz w:val="24"/>
          <w:szCs w:val="24"/>
        </w:rPr>
        <w:t>PRESIDENTE</w:t>
      </w:r>
    </w:p>
    <w:p w14:paraId="3CD2D4A1" w14:textId="77777777" w:rsidR="00FE770C" w:rsidRPr="00292F0B" w:rsidRDefault="00FE770C" w:rsidP="00FE770C">
      <w:pPr>
        <w:tabs>
          <w:tab w:val="center" w:pos="4135"/>
          <w:tab w:val="left" w:pos="7515"/>
        </w:tabs>
        <w:jc w:val="center"/>
        <w:rPr>
          <w:rFonts w:ascii="Century Gothic" w:hAnsi="Century Gothic" w:cs="Arial"/>
          <w:b/>
          <w:sz w:val="24"/>
          <w:szCs w:val="24"/>
        </w:rPr>
      </w:pPr>
    </w:p>
    <w:p w14:paraId="7F34042B" w14:textId="77777777" w:rsidR="00FE770C" w:rsidRPr="00292F0B" w:rsidRDefault="00FE770C" w:rsidP="00FE770C">
      <w:pPr>
        <w:tabs>
          <w:tab w:val="center" w:pos="4135"/>
          <w:tab w:val="left" w:pos="7515"/>
        </w:tabs>
        <w:jc w:val="center"/>
        <w:rPr>
          <w:rFonts w:ascii="Century Gothic" w:hAnsi="Century Gothic" w:cs="Arial"/>
          <w:b/>
          <w:sz w:val="24"/>
          <w:szCs w:val="24"/>
        </w:rPr>
      </w:pPr>
    </w:p>
    <w:p w14:paraId="0990E41B" w14:textId="41E970AA" w:rsidR="00FE770C" w:rsidRPr="00292F0B" w:rsidRDefault="00FE770C" w:rsidP="00FE770C">
      <w:pPr>
        <w:tabs>
          <w:tab w:val="center" w:pos="4135"/>
          <w:tab w:val="left" w:pos="7515"/>
        </w:tabs>
        <w:jc w:val="center"/>
        <w:rPr>
          <w:rFonts w:ascii="Century Gothic" w:hAnsi="Century Gothic" w:cs="Arial"/>
          <w:b/>
          <w:sz w:val="24"/>
          <w:szCs w:val="24"/>
        </w:rPr>
      </w:pPr>
      <w:r w:rsidRPr="00292F0B">
        <w:rPr>
          <w:rFonts w:ascii="Century Gothic" w:hAnsi="Century Gothic" w:cs="Arial"/>
          <w:b/>
          <w:sz w:val="24"/>
          <w:szCs w:val="24"/>
        </w:rPr>
        <w:t>MAGISTRADA CRUZ ITZEL ESPINOSA ROJAS</w:t>
      </w:r>
      <w:r w:rsidR="009E617C">
        <w:rPr>
          <w:rFonts w:ascii="Century Gothic" w:hAnsi="Century Gothic" w:cs="Arial"/>
          <w:b/>
          <w:sz w:val="24"/>
          <w:szCs w:val="24"/>
        </w:rPr>
        <w:t>.</w:t>
      </w:r>
    </w:p>
    <w:p w14:paraId="168B844D" w14:textId="77777777" w:rsidR="00FE770C" w:rsidRPr="00292F0B" w:rsidRDefault="00FE770C" w:rsidP="00FE770C">
      <w:pPr>
        <w:tabs>
          <w:tab w:val="center" w:pos="4135"/>
          <w:tab w:val="left" w:pos="7515"/>
        </w:tabs>
        <w:jc w:val="center"/>
        <w:rPr>
          <w:rFonts w:ascii="Century Gothic" w:hAnsi="Century Gothic" w:cs="Arial"/>
          <w:b/>
          <w:sz w:val="24"/>
          <w:szCs w:val="24"/>
        </w:rPr>
      </w:pPr>
    </w:p>
    <w:p w14:paraId="3E9C5C0F" w14:textId="77777777" w:rsidR="00FE770C" w:rsidRPr="00292F0B" w:rsidRDefault="00FE770C" w:rsidP="00FE770C">
      <w:pPr>
        <w:tabs>
          <w:tab w:val="center" w:pos="4135"/>
          <w:tab w:val="left" w:pos="7515"/>
        </w:tabs>
        <w:jc w:val="center"/>
        <w:rPr>
          <w:rFonts w:ascii="Century Gothic" w:hAnsi="Century Gothic" w:cs="Arial"/>
          <w:b/>
          <w:sz w:val="24"/>
          <w:szCs w:val="24"/>
        </w:rPr>
      </w:pPr>
    </w:p>
    <w:p w14:paraId="0F847B7A" w14:textId="3393FFED" w:rsidR="00FE770C" w:rsidRPr="00292F0B" w:rsidRDefault="00FE770C" w:rsidP="00FE770C">
      <w:pPr>
        <w:tabs>
          <w:tab w:val="center" w:pos="4135"/>
          <w:tab w:val="left" w:pos="7515"/>
        </w:tabs>
        <w:jc w:val="center"/>
        <w:rPr>
          <w:rFonts w:ascii="Century Gothic" w:hAnsi="Century Gothic" w:cs="Arial"/>
          <w:b/>
          <w:sz w:val="24"/>
          <w:szCs w:val="24"/>
        </w:rPr>
      </w:pPr>
      <w:r w:rsidRPr="00292F0B">
        <w:rPr>
          <w:rFonts w:ascii="Century Gothic" w:hAnsi="Century Gothic" w:cs="Arial"/>
          <w:b/>
          <w:sz w:val="24"/>
          <w:szCs w:val="24"/>
        </w:rPr>
        <w:t xml:space="preserve">MAGISTRADO MANUEL DE JESÚS LÓPEZ </w:t>
      </w:r>
      <w:proofErr w:type="spellStart"/>
      <w:r w:rsidRPr="00292F0B">
        <w:rPr>
          <w:rFonts w:ascii="Century Gothic" w:hAnsi="Century Gothic" w:cs="Arial"/>
          <w:b/>
          <w:sz w:val="24"/>
          <w:szCs w:val="24"/>
        </w:rPr>
        <w:t>LÓPEZ</w:t>
      </w:r>
      <w:proofErr w:type="spellEnd"/>
      <w:r w:rsidR="009E617C">
        <w:rPr>
          <w:rFonts w:ascii="Century Gothic" w:hAnsi="Century Gothic" w:cs="Arial"/>
          <w:b/>
          <w:sz w:val="24"/>
          <w:szCs w:val="24"/>
        </w:rPr>
        <w:t>.</w:t>
      </w:r>
    </w:p>
    <w:p w14:paraId="6881B5F5" w14:textId="77777777" w:rsidR="00FE770C" w:rsidRPr="00292F0B" w:rsidRDefault="00FE770C" w:rsidP="00FE770C">
      <w:pPr>
        <w:tabs>
          <w:tab w:val="center" w:pos="4135"/>
          <w:tab w:val="left" w:pos="7515"/>
        </w:tabs>
        <w:jc w:val="center"/>
        <w:rPr>
          <w:rFonts w:ascii="Century Gothic" w:hAnsi="Century Gothic" w:cs="Arial"/>
          <w:b/>
          <w:sz w:val="24"/>
          <w:szCs w:val="24"/>
        </w:rPr>
      </w:pPr>
    </w:p>
    <w:p w14:paraId="37EBE4C1" w14:textId="77777777" w:rsidR="00FE770C" w:rsidRPr="00292F0B" w:rsidRDefault="00FE770C" w:rsidP="00FE770C">
      <w:pPr>
        <w:tabs>
          <w:tab w:val="center" w:pos="4135"/>
          <w:tab w:val="left" w:pos="7515"/>
        </w:tabs>
        <w:jc w:val="center"/>
        <w:rPr>
          <w:rFonts w:ascii="Century Gothic" w:hAnsi="Century Gothic" w:cs="Arial"/>
          <w:b/>
          <w:sz w:val="24"/>
          <w:szCs w:val="24"/>
        </w:rPr>
      </w:pPr>
    </w:p>
    <w:p w14:paraId="6FB39FCB" w14:textId="11BC3C9E" w:rsidR="00FE770C" w:rsidRPr="00292F0B" w:rsidRDefault="00C84EB6" w:rsidP="007422B9">
      <w:pPr>
        <w:tabs>
          <w:tab w:val="left" w:pos="1925"/>
          <w:tab w:val="center" w:pos="4135"/>
        </w:tabs>
        <w:spacing w:after="0"/>
        <w:jc w:val="center"/>
        <w:rPr>
          <w:rFonts w:ascii="Century Gothic" w:hAnsi="Century Gothic" w:cs="Arial"/>
          <w:b/>
          <w:sz w:val="24"/>
          <w:szCs w:val="24"/>
        </w:rPr>
      </w:pPr>
      <w:r>
        <w:rPr>
          <w:rFonts w:ascii="Century Gothic" w:hAnsi="Century Gothic" w:cs="Arial"/>
          <w:b/>
          <w:sz w:val="24"/>
          <w:szCs w:val="24"/>
        </w:rPr>
        <w:t>MAESTR</w:t>
      </w:r>
      <w:r w:rsidR="00FE770C" w:rsidRPr="00292F0B">
        <w:rPr>
          <w:rFonts w:ascii="Century Gothic" w:hAnsi="Century Gothic" w:cs="Arial"/>
          <w:b/>
          <w:sz w:val="24"/>
          <w:szCs w:val="24"/>
        </w:rPr>
        <w:t>A LIZBETH JESSICA GALLARDO MARTÍNEZ</w:t>
      </w:r>
      <w:r w:rsidR="009E617C">
        <w:rPr>
          <w:rFonts w:ascii="Century Gothic" w:hAnsi="Century Gothic" w:cs="Arial"/>
          <w:b/>
          <w:sz w:val="24"/>
          <w:szCs w:val="24"/>
        </w:rPr>
        <w:t>.</w:t>
      </w:r>
    </w:p>
    <w:p w14:paraId="3D65419E" w14:textId="585E20A2" w:rsidR="00287983" w:rsidRPr="007422B9" w:rsidRDefault="00FE770C" w:rsidP="007422B9">
      <w:pPr>
        <w:pStyle w:val="Sinespaciado"/>
        <w:spacing w:line="276" w:lineRule="auto"/>
        <w:jc w:val="center"/>
        <w:rPr>
          <w:rFonts w:ascii="Century Gothic" w:hAnsi="Century Gothic" w:cs="Arial"/>
          <w:b/>
          <w:sz w:val="24"/>
          <w:szCs w:val="24"/>
        </w:rPr>
      </w:pPr>
      <w:r w:rsidRPr="00292F0B">
        <w:rPr>
          <w:rFonts w:ascii="Century Gothic" w:hAnsi="Century Gothic" w:cs="Arial"/>
          <w:b/>
          <w:sz w:val="24"/>
          <w:szCs w:val="24"/>
        </w:rPr>
        <w:t>SECRETARIA GENERAL DE ACUERDOS</w:t>
      </w:r>
    </w:p>
    <w:sectPr w:rsidR="00287983" w:rsidRPr="007422B9" w:rsidSect="00EE3149">
      <w:headerReference w:type="even" r:id="rId9"/>
      <w:headerReference w:type="default" r:id="rId10"/>
      <w:footerReference w:type="default" r:id="rId11"/>
      <w:headerReference w:type="first" r:id="rId12"/>
      <w:pgSz w:w="12240" w:h="20160" w:code="5"/>
      <w:pgMar w:top="1985" w:right="1467" w:bottom="1985" w:left="2410" w:header="99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F17DB" w14:textId="77777777" w:rsidR="00AB1223" w:rsidRDefault="00AB1223">
      <w:pPr>
        <w:spacing w:after="0" w:line="240" w:lineRule="auto"/>
      </w:pPr>
      <w:r>
        <w:separator/>
      </w:r>
    </w:p>
  </w:endnote>
  <w:endnote w:type="continuationSeparator" w:id="0">
    <w:p w14:paraId="18E2A0C9" w14:textId="77777777" w:rsidR="00AB1223" w:rsidRDefault="00AB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11229"/>
      <w:docPartObj>
        <w:docPartGallery w:val="Page Numbers (Bottom of Page)"/>
        <w:docPartUnique/>
      </w:docPartObj>
    </w:sdtPr>
    <w:sdtEndPr/>
    <w:sdtContent>
      <w:p w14:paraId="0F49D1F4" w14:textId="09CA1976" w:rsidR="00593EC0" w:rsidRDefault="00593EC0">
        <w:pPr>
          <w:pStyle w:val="Piedepgina"/>
          <w:jc w:val="center"/>
        </w:pPr>
        <w:r>
          <w:fldChar w:fldCharType="begin"/>
        </w:r>
        <w:r>
          <w:instrText>PAGE   \* MERGEFORMAT</w:instrText>
        </w:r>
        <w:r>
          <w:fldChar w:fldCharType="separate"/>
        </w:r>
        <w:r w:rsidR="00CB15FF" w:rsidRPr="00CB15FF">
          <w:rPr>
            <w:noProof/>
            <w:lang w:val="es-ES"/>
          </w:rPr>
          <w:t>2</w:t>
        </w:r>
        <w:r>
          <w:fldChar w:fldCharType="end"/>
        </w:r>
      </w:p>
    </w:sdtContent>
  </w:sdt>
  <w:p w14:paraId="195FF414" w14:textId="77777777" w:rsidR="00655491" w:rsidRDefault="006554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7006A" w14:textId="77777777" w:rsidR="00AB1223" w:rsidRDefault="00AB1223">
      <w:pPr>
        <w:spacing w:after="0" w:line="240" w:lineRule="auto"/>
      </w:pPr>
      <w:r>
        <w:separator/>
      </w:r>
    </w:p>
  </w:footnote>
  <w:footnote w:type="continuationSeparator" w:id="0">
    <w:p w14:paraId="474AF351" w14:textId="77777777" w:rsidR="00AB1223" w:rsidRDefault="00AB1223">
      <w:pPr>
        <w:spacing w:after="0" w:line="240" w:lineRule="auto"/>
      </w:pPr>
      <w:r>
        <w:continuationSeparator/>
      </w:r>
    </w:p>
  </w:footnote>
  <w:footnote w:id="1">
    <w:p w14:paraId="7932381A" w14:textId="088A7A03" w:rsidR="00406D0B" w:rsidRDefault="00406D0B" w:rsidP="00406D0B">
      <w:pPr>
        <w:pStyle w:val="Textonotapie"/>
        <w:jc w:val="both"/>
      </w:pPr>
      <w:r>
        <w:rPr>
          <w:rStyle w:val="Refdenotaalpie"/>
        </w:rPr>
        <w:footnoteRef/>
      </w:r>
      <w:r>
        <w:t xml:space="preserve"> Publicado en el </w:t>
      </w:r>
      <w:r w:rsidR="009C37BB">
        <w:t>Periódico Oficial del Gobierno del Estado</w:t>
      </w:r>
      <w:r>
        <w:t xml:space="preserve"> y con entrada en vigor el veintidós de julio del dos mi veintitrés cuya lectura literal es: “CAPÍTULO III DEL TRIBUNAL DE JUSTICIA ADMINISTRATIVA Y COMBATE A LA CORRUPCIÓN DEL ESTADO DE OAXACA. Artículo 114 </w:t>
      </w:r>
      <w:proofErr w:type="spellStart"/>
      <w:r>
        <w:t>Quáter</w:t>
      </w:r>
      <w:proofErr w:type="spellEnd"/>
      <w: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169F4644" w14:textId="77777777" w:rsidR="00406D0B" w:rsidRDefault="00406D0B" w:rsidP="00406D0B">
      <w:pPr>
        <w:pStyle w:val="Textonotapie"/>
      </w:pPr>
      <w:r>
        <w:t>(…)</w:t>
      </w:r>
    </w:p>
    <w:p w14:paraId="05D65010" w14:textId="77576C40" w:rsidR="00406D0B" w:rsidRDefault="00406D0B" w:rsidP="00406D0B">
      <w:pPr>
        <w:pStyle w:val="Textonotapie"/>
      </w:pPr>
      <w:r>
        <w:t>La Sala Superior del Tribunal se compondrá de tres Magistrados y actuará en Pleno” (…)</w:t>
      </w:r>
    </w:p>
  </w:footnote>
  <w:footnote w:id="2">
    <w:p w14:paraId="634E42AA" w14:textId="77777777" w:rsidR="00DF3A86" w:rsidRDefault="00DF3A86" w:rsidP="00DF3A86">
      <w:pPr>
        <w:pStyle w:val="Textonotapie"/>
        <w:jc w:val="both"/>
      </w:pPr>
      <w:r>
        <w:rPr>
          <w:rStyle w:val="Refdenotaalpie"/>
        </w:rPr>
        <w:footnoteRef/>
      </w:r>
      <w:r>
        <w:t xml:space="preserve"> ARTÍCULO 39.- Las actuaciones y diligencias administrativas se practicarán en días y horas hábiles. En los plazos fijados en días no se contarán los inhábiles, salvo disposición en contrario. No se considerarán días hábiles: los sábados, los domingos, el 1 de enero; el primer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publicará en el Periódico Oficial del Gobierno del Estado, en la página electrónica del Tribunal y los estrados. Los términos podrán suspenderse por causa de fuerza mayor o caso fortuito, mediante acuerdo debidamente fundado y motivado por la autoridad competente.</w:t>
      </w:r>
    </w:p>
  </w:footnote>
  <w:footnote w:id="3">
    <w:p w14:paraId="016C841A" w14:textId="77777777" w:rsidR="00FE770C" w:rsidRPr="00D51FA2" w:rsidRDefault="00FE770C" w:rsidP="00FE770C">
      <w:pPr>
        <w:spacing w:before="240"/>
        <w:ind w:right="616"/>
        <w:jc w:val="both"/>
        <w:rPr>
          <w:rFonts w:ascii="Century Gothic" w:eastAsia="Times New Roman" w:hAnsi="Century Gothic" w:cs="Arial"/>
          <w:i/>
          <w:iCs/>
        </w:rPr>
      </w:pPr>
      <w:r>
        <w:rPr>
          <w:rStyle w:val="Refdenotaalpie"/>
        </w:rPr>
        <w:footnoteRef/>
      </w:r>
      <w:r>
        <w:t xml:space="preserve"> </w:t>
      </w:r>
      <w:r w:rsidRPr="00D51FA2">
        <w:rPr>
          <w:rFonts w:ascii="Century Gothic" w:eastAsia="Times New Roman" w:hAnsi="Century Gothic" w:cs="Arial"/>
          <w:b/>
          <w:bCs/>
          <w:i/>
          <w:iCs/>
        </w:rPr>
        <w:t>“</w:t>
      </w:r>
      <w:r w:rsidRPr="00FE770C">
        <w:rPr>
          <w:rFonts w:ascii="Century Gothic" w:eastAsia="Times New Roman" w:hAnsi="Century Gothic" w:cs="Arial"/>
          <w:b/>
          <w:bCs/>
          <w:i/>
          <w:iCs/>
          <w:sz w:val="18"/>
          <w:szCs w:val="18"/>
        </w:rPr>
        <w:t xml:space="preserve">CONCEPTOS DE VIOLACIÓN O AGRAVIOS. PARA CUMPLIR CON LOS PRINCIPIOS DE CONGRUENCIA Y EXHAUSTIVIDAD EN LAS SENTENCIAS DE AMPARO ES INNECESARIA SU TRANSCRIPCIÓN. </w:t>
      </w:r>
      <w:r w:rsidRPr="00FE770C">
        <w:rPr>
          <w:rFonts w:ascii="Century Gothic" w:eastAsia="Times New Roman" w:hAnsi="Century Gothic" w:cs="Arial"/>
          <w:i/>
          <w:iCs/>
          <w:sz w:val="18"/>
          <w:szCs w:val="18"/>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689F8F3" w14:textId="4DC932A1" w:rsidR="00FE770C" w:rsidRDefault="00FE770C">
      <w:pPr>
        <w:pStyle w:val="Textonotapie"/>
      </w:pPr>
    </w:p>
  </w:footnote>
  <w:footnote w:id="4">
    <w:p w14:paraId="6DCD7E1F" w14:textId="77777777" w:rsidR="00752C92" w:rsidRPr="00752C92" w:rsidRDefault="00752C92" w:rsidP="00752C92">
      <w:pPr>
        <w:spacing w:before="240"/>
        <w:ind w:right="-1"/>
        <w:jc w:val="both"/>
        <w:rPr>
          <w:rFonts w:ascii="Century Gothic" w:eastAsia="Times New Roman" w:hAnsi="Century Gothic" w:cs="Arial"/>
          <w:i/>
          <w:sz w:val="18"/>
          <w:szCs w:val="18"/>
        </w:rPr>
      </w:pPr>
      <w:r>
        <w:rPr>
          <w:rStyle w:val="Refdenotaalpie"/>
        </w:rPr>
        <w:footnoteRef/>
      </w:r>
      <w:r>
        <w:t xml:space="preserve"> </w:t>
      </w:r>
      <w:r w:rsidRPr="00752C92">
        <w:rPr>
          <w:rFonts w:ascii="Century Gothic" w:eastAsia="Times New Roman" w:hAnsi="Century Gothic" w:cs="Arial"/>
          <w:b/>
          <w:bCs/>
          <w:i/>
          <w:sz w:val="18"/>
          <w:szCs w:val="18"/>
        </w:rPr>
        <w:t xml:space="preserve">“NULIDAD. REGLAS PARA SU DETERMINACIÓN EN EL JUICIO CONTENCIOSO ADMINISTRATIVO EN EL DISTRITO FEDERAL. </w:t>
      </w:r>
      <w:r w:rsidRPr="00752C92">
        <w:rPr>
          <w:rFonts w:ascii="Century Gothic" w:eastAsia="Times New Roman" w:hAnsi="Century Gothic" w:cs="Arial"/>
          <w:i/>
          <w:sz w:val="18"/>
          <w:szCs w:val="18"/>
        </w:rPr>
        <w:t>Los artículos </w:t>
      </w:r>
      <w:hyperlink r:id="rId1" w:history="1">
        <w:r w:rsidRPr="00752C92">
          <w:rPr>
            <w:rFonts w:ascii="Century Gothic" w:eastAsia="Times New Roman" w:hAnsi="Century Gothic" w:cs="Arial"/>
            <w:i/>
            <w:sz w:val="18"/>
            <w:szCs w:val="18"/>
          </w:rPr>
          <w:t>80 a 82 de la Ley del Tribunal de lo Contencioso Administrativo del Distrito Federal</w:t>
        </w:r>
      </w:hyperlink>
      <w:r w:rsidRPr="00752C92">
        <w:rPr>
          <w:rFonts w:ascii="Century Gothic" w:eastAsia="Times New Roman" w:hAnsi="Century Gothic" w:cs="Arial"/>
          <w:i/>
          <w:sz w:val="18"/>
          <w:szCs w:val="18"/>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6B9B7E16" w14:textId="2433530E" w:rsidR="00752C92" w:rsidRDefault="00752C9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440708"/>
      <w:docPartObj>
        <w:docPartGallery w:val="Page Numbers (Top of Page)"/>
        <w:docPartUnique/>
      </w:docPartObj>
    </w:sdtPr>
    <w:sdtEndPr/>
    <w:sdtContent>
      <w:p w14:paraId="0409FE29" w14:textId="629A7E7E" w:rsidR="00655491" w:rsidRDefault="00655491">
        <w:pPr>
          <w:pStyle w:val="Encabezado"/>
          <w:jc w:val="center"/>
        </w:pPr>
        <w:r>
          <w:fldChar w:fldCharType="begin"/>
        </w:r>
        <w:r>
          <w:instrText>PAGE   \* MERGEFORMAT</w:instrText>
        </w:r>
        <w:r>
          <w:fldChar w:fldCharType="separate"/>
        </w:r>
        <w:r w:rsidR="005656A0" w:rsidRPr="005656A0">
          <w:rPr>
            <w:noProof/>
            <w:lang w:val="es-ES"/>
          </w:rPr>
          <w:t>16</w:t>
        </w:r>
        <w:r>
          <w:fldChar w:fldCharType="end"/>
        </w:r>
      </w:p>
    </w:sdtContent>
  </w:sdt>
  <w:p w14:paraId="0E68208C" w14:textId="08145199" w:rsidR="00655491" w:rsidRDefault="00EE3149">
    <w:pPr>
      <w:pStyle w:val="Encabezado"/>
    </w:pPr>
    <w:r>
      <w:rPr>
        <w:noProof/>
      </w:rPr>
      <w:drawing>
        <wp:anchor distT="0" distB="0" distL="114300" distR="114300" simplePos="0" relativeHeight="251666944" behindDoc="0" locked="0" layoutInCell="1" allowOverlap="1" wp14:anchorId="2082CA47" wp14:editId="3A3D3556">
          <wp:simplePos x="0" y="0"/>
          <wp:positionH relativeFrom="column">
            <wp:posOffset>5669280</wp:posOffset>
          </wp:positionH>
          <wp:positionV relativeFrom="paragraph">
            <wp:posOffset>2747010</wp:posOffset>
          </wp:positionV>
          <wp:extent cx="1030605" cy="1256030"/>
          <wp:effectExtent l="0" t="0" r="0" b="1270"/>
          <wp:wrapNone/>
          <wp:docPr id="1919688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rsidR="00DC199F" w:rsidRPr="00EE4752">
      <w:rPr>
        <w:rFonts w:ascii="Segoe UI Black" w:hAnsi="Segoe UI Black" w:cs="Tahoma"/>
        <w:noProof/>
        <w:color w:val="0D0D0D" w:themeColor="text1" w:themeTint="F2"/>
        <w:sz w:val="16"/>
        <w:szCs w:val="16"/>
        <w:lang w:eastAsia="es-MX"/>
      </w:rPr>
      <w:drawing>
        <wp:anchor distT="0" distB="0" distL="114300" distR="114300" simplePos="0" relativeHeight="251656704" behindDoc="1" locked="0" layoutInCell="1" allowOverlap="1" wp14:anchorId="5D9650F8" wp14:editId="0A7995A6">
          <wp:simplePos x="0" y="0"/>
          <wp:positionH relativeFrom="margin">
            <wp:align>center</wp:align>
          </wp:positionH>
          <wp:positionV relativeFrom="paragraph">
            <wp:posOffset>3046248</wp:posOffset>
          </wp:positionV>
          <wp:extent cx="3790950" cy="2609850"/>
          <wp:effectExtent l="0" t="0" r="0" b="1733550"/>
          <wp:wrapNone/>
          <wp:docPr id="825601278" name="Imagen 82560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lum bright="70000" contrast="-70000"/>
                    <a:extLst>
                      <a:ext uri="{BEBA8EAE-BF5A-486C-A8C5-ECC9F3942E4B}">
                        <a14:imgProps xmlns:a14="http://schemas.microsoft.com/office/drawing/2010/main">
                          <a14:imgLayer r:embed="rId3">
                            <a14:imgEffect>
                              <a14:colorTemperature colorTemp="6453"/>
                            </a14:imgEffect>
                            <a14:imgEffect>
                              <a14:saturation sat="126000"/>
                            </a14:imgEffect>
                          </a14:imgLayer>
                        </a14:imgProps>
                      </a:ext>
                      <a:ext uri="{28A0092B-C50C-407E-A947-70E740481C1C}">
                        <a14:useLocalDpi xmlns:a14="http://schemas.microsoft.com/office/drawing/2010/main" val="0"/>
                      </a:ext>
                    </a:extLst>
                  </a:blip>
                  <a:srcRect t="8722" b="8590"/>
                  <a:stretch/>
                </pic:blipFill>
                <pic:spPr bwMode="auto">
                  <a:xfrm>
                    <a:off x="0" y="0"/>
                    <a:ext cx="3790950" cy="2609850"/>
                  </a:xfrm>
                  <a:prstGeom prst="rect">
                    <a:avLst/>
                  </a:prstGeom>
                  <a:noFill/>
                  <a:ln>
                    <a:noFill/>
                  </a:ln>
                  <a:effectLst>
                    <a:reflection stA="22000" endPos="65000" dist="508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2200094"/>
      <w:docPartObj>
        <w:docPartGallery w:val="Page Numbers (Top of Page)"/>
        <w:docPartUnique/>
      </w:docPartObj>
    </w:sdtPr>
    <w:sdtEndPr/>
    <w:sdtContent>
      <w:p w14:paraId="12AF5362" w14:textId="37FE1A4A" w:rsidR="005656A0" w:rsidRDefault="005656A0" w:rsidP="00593EC0">
        <w:pPr>
          <w:pStyle w:val="Encabezado"/>
          <w:ind w:left="1843"/>
          <w:jc w:val="center"/>
          <w:rPr>
            <w:rFonts w:asciiTheme="minorHAnsi" w:hAnsiTheme="minorHAnsi" w:cstheme="minorHAnsi"/>
            <w:b/>
            <w:bCs/>
            <w:sz w:val="20"/>
            <w:szCs w:val="20"/>
          </w:rPr>
        </w:pPr>
        <w:r w:rsidRPr="00CE6556">
          <w:rPr>
            <w:rFonts w:asciiTheme="minorHAnsi" w:hAnsiTheme="minorHAnsi" w:cstheme="minorHAnsi"/>
            <w:noProof/>
            <w:color w:val="0D0D0D" w:themeColor="text1" w:themeTint="F2"/>
            <w:sz w:val="20"/>
            <w:szCs w:val="20"/>
            <w:lang w:eastAsia="es-MX"/>
          </w:rPr>
          <w:drawing>
            <wp:anchor distT="0" distB="0" distL="114300" distR="114300" simplePos="0" relativeHeight="251660800" behindDoc="0" locked="0" layoutInCell="1" allowOverlap="1" wp14:anchorId="6B1E93E4" wp14:editId="2DD89358">
              <wp:simplePos x="0" y="0"/>
              <wp:positionH relativeFrom="column">
                <wp:posOffset>-525145</wp:posOffset>
              </wp:positionH>
              <wp:positionV relativeFrom="paragraph">
                <wp:posOffset>-133350</wp:posOffset>
              </wp:positionV>
              <wp:extent cx="1620353" cy="495300"/>
              <wp:effectExtent l="0" t="0" r="0" b="0"/>
              <wp:wrapNone/>
              <wp:docPr id="376722984" name="Imagen 37672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6556">
          <w:rPr>
            <w:rFonts w:asciiTheme="minorHAnsi" w:hAnsiTheme="minorHAnsi" w:cstheme="minorHAnsi"/>
            <w:b/>
            <w:bCs/>
            <w:sz w:val="20"/>
            <w:szCs w:val="20"/>
          </w:rPr>
          <w:t xml:space="preserve">SALA SUPERIOR DEL TRIBUNAL DE JUSTICIA ADMINISTRATIVA Y COMBATE A LA </w:t>
        </w:r>
        <w:r>
          <w:rPr>
            <w:rFonts w:asciiTheme="minorHAnsi" w:hAnsiTheme="minorHAnsi" w:cstheme="minorHAnsi"/>
            <w:b/>
            <w:bCs/>
            <w:sz w:val="20"/>
            <w:szCs w:val="20"/>
          </w:rPr>
          <w:t>CORRUPCIÓN DEL ESTADO DE OAXACA.</w:t>
        </w:r>
      </w:p>
      <w:p w14:paraId="6813E31F" w14:textId="3BDC986E" w:rsidR="005656A0" w:rsidRPr="00CE6556" w:rsidRDefault="005656A0" w:rsidP="005656A0">
        <w:pPr>
          <w:pStyle w:val="Encabezado"/>
          <w:ind w:left="1276"/>
          <w:jc w:val="center"/>
          <w:rPr>
            <w:rFonts w:asciiTheme="minorHAnsi" w:hAnsiTheme="minorHAnsi" w:cstheme="minorHAnsi"/>
            <w:b/>
            <w:bCs/>
            <w:sz w:val="20"/>
            <w:szCs w:val="20"/>
          </w:rPr>
        </w:pPr>
        <w:r>
          <w:rPr>
            <w:rFonts w:asciiTheme="minorHAnsi" w:hAnsiTheme="minorHAnsi" w:cstheme="minorHAnsi"/>
            <w:b/>
            <w:bCs/>
            <w:sz w:val="20"/>
            <w:szCs w:val="20"/>
          </w:rPr>
          <w:t>R.R. 0114</w:t>
        </w:r>
        <w:r w:rsidRPr="00CE6556">
          <w:rPr>
            <w:rFonts w:asciiTheme="minorHAnsi" w:hAnsiTheme="minorHAnsi" w:cstheme="minorHAnsi"/>
            <w:b/>
            <w:bCs/>
            <w:sz w:val="20"/>
            <w:szCs w:val="20"/>
          </w:rPr>
          <w:t>/2023</w:t>
        </w:r>
      </w:p>
      <w:p w14:paraId="0FAF6B64" w14:textId="3C791855" w:rsidR="005656A0" w:rsidRPr="00CE6556" w:rsidRDefault="005656A0" w:rsidP="005656A0">
        <w:pPr>
          <w:pStyle w:val="Encabezado"/>
          <w:ind w:left="1276"/>
          <w:jc w:val="center"/>
          <w:rPr>
            <w:rFonts w:asciiTheme="minorHAnsi" w:hAnsiTheme="minorHAnsi" w:cstheme="minorHAnsi"/>
            <w:b/>
            <w:bCs/>
            <w:sz w:val="20"/>
            <w:szCs w:val="20"/>
          </w:rPr>
        </w:pPr>
      </w:p>
      <w:p w14:paraId="05DB874C" w14:textId="4A10E18C" w:rsidR="00655491" w:rsidRDefault="0015232D">
        <w:pPr>
          <w:pStyle w:val="Encabezado"/>
          <w:jc w:val="center"/>
        </w:pPr>
      </w:p>
    </w:sdtContent>
  </w:sdt>
  <w:p w14:paraId="51E22156" w14:textId="0A4F08C3" w:rsidR="00655491" w:rsidRDefault="00EE3149" w:rsidP="00927607">
    <w:pPr>
      <w:pStyle w:val="Encabezado"/>
      <w:tabs>
        <w:tab w:val="left" w:pos="142"/>
      </w:tabs>
      <w:ind w:left="284"/>
    </w:pPr>
    <w:r>
      <w:rPr>
        <w:noProof/>
      </w:rPr>
      <w:drawing>
        <wp:anchor distT="0" distB="0" distL="114300" distR="114300" simplePos="0" relativeHeight="251665920" behindDoc="0" locked="0" layoutInCell="1" allowOverlap="1" wp14:anchorId="47403647" wp14:editId="54FE576A">
          <wp:simplePos x="0" y="0"/>
          <wp:positionH relativeFrom="column">
            <wp:posOffset>-1428115</wp:posOffset>
          </wp:positionH>
          <wp:positionV relativeFrom="paragraph">
            <wp:posOffset>3260090</wp:posOffset>
          </wp:positionV>
          <wp:extent cx="1028700" cy="1257300"/>
          <wp:effectExtent l="0" t="0" r="0" b="0"/>
          <wp:wrapNone/>
          <wp:docPr id="146103092" name="Imagen 14610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66F84" w14:textId="01A4192A" w:rsidR="005656A0" w:rsidRPr="00CE6556" w:rsidRDefault="005656A0" w:rsidP="005656A0">
    <w:pPr>
      <w:pStyle w:val="Encabezado"/>
      <w:ind w:left="1276"/>
      <w:jc w:val="center"/>
      <w:rPr>
        <w:rFonts w:asciiTheme="minorHAnsi" w:hAnsiTheme="minorHAnsi" w:cstheme="minorHAnsi"/>
        <w:b/>
        <w:bCs/>
        <w:sz w:val="20"/>
        <w:szCs w:val="20"/>
      </w:rPr>
    </w:pPr>
    <w:r w:rsidRPr="00CE6556">
      <w:rPr>
        <w:rFonts w:asciiTheme="minorHAnsi" w:hAnsiTheme="minorHAnsi" w:cstheme="minorHAnsi"/>
        <w:noProof/>
        <w:color w:val="0D0D0D" w:themeColor="text1" w:themeTint="F2"/>
        <w:sz w:val="20"/>
        <w:szCs w:val="20"/>
        <w:lang w:eastAsia="es-MX"/>
      </w:rPr>
      <w:drawing>
        <wp:anchor distT="0" distB="0" distL="114300" distR="114300" simplePos="0" relativeHeight="251662848" behindDoc="0" locked="0" layoutInCell="1" allowOverlap="1" wp14:anchorId="5DE0F3AB" wp14:editId="22D522B2">
          <wp:simplePos x="0" y="0"/>
          <wp:positionH relativeFrom="column">
            <wp:posOffset>-723900</wp:posOffset>
          </wp:positionH>
          <wp:positionV relativeFrom="paragraph">
            <wp:posOffset>-28575</wp:posOffset>
          </wp:positionV>
          <wp:extent cx="1620353" cy="495300"/>
          <wp:effectExtent l="0" t="0" r="0" b="0"/>
          <wp:wrapNone/>
          <wp:docPr id="1223538401" name="Imagen 122353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6556">
      <w:rPr>
        <w:rFonts w:asciiTheme="minorHAnsi" w:hAnsiTheme="minorHAnsi" w:cstheme="minorHAnsi"/>
        <w:b/>
        <w:bCs/>
        <w:sz w:val="20"/>
        <w:szCs w:val="20"/>
      </w:rPr>
      <w:t xml:space="preserve">SALA SUPERIOR DEL TRIBUNAL DE JUSTICIA ADMINISTRATIVA Y COMBATE A LA CORRUPCIÓN DEL ESTADO DE OAXACA </w:t>
    </w:r>
  </w:p>
  <w:p w14:paraId="3E4E3C94" w14:textId="21EBDAA1" w:rsidR="00655491" w:rsidRDefault="00EE3149">
    <w:pPr>
      <w:pStyle w:val="Encabezado"/>
    </w:pPr>
    <w:r>
      <w:rPr>
        <w:noProof/>
      </w:rPr>
      <w:drawing>
        <wp:anchor distT="0" distB="0" distL="114300" distR="114300" simplePos="0" relativeHeight="251663872" behindDoc="0" locked="0" layoutInCell="1" allowOverlap="1" wp14:anchorId="15467982" wp14:editId="723103FF">
          <wp:simplePos x="0" y="0"/>
          <wp:positionH relativeFrom="column">
            <wp:posOffset>-1301750</wp:posOffset>
          </wp:positionH>
          <wp:positionV relativeFrom="paragraph">
            <wp:posOffset>4431665</wp:posOffset>
          </wp:positionV>
          <wp:extent cx="1028700" cy="1257300"/>
          <wp:effectExtent l="0" t="0" r="0" b="0"/>
          <wp:wrapNone/>
          <wp:docPr id="842925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1616F28"/>
    <w:multiLevelType w:val="hybridMultilevel"/>
    <w:tmpl w:val="AE1CF834"/>
    <w:lvl w:ilvl="0" w:tplc="645A5266">
      <w:start w:val="1"/>
      <w:numFmt w:val="lowerLetter"/>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15:restartNumberingAfterBreak="0">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15:restartNumberingAfterBreak="0">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15:restartNumberingAfterBreak="0">
    <w:nsid w:val="56541FD7"/>
    <w:multiLevelType w:val="hybridMultilevel"/>
    <w:tmpl w:val="5A50136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5"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7A73675F"/>
    <w:multiLevelType w:val="hybridMultilevel"/>
    <w:tmpl w:val="5AD297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87678234">
    <w:abstractNumId w:val="16"/>
  </w:num>
  <w:num w:numId="2" w16cid:durableId="903611559">
    <w:abstractNumId w:val="2"/>
  </w:num>
  <w:num w:numId="3" w16cid:durableId="1112822026">
    <w:abstractNumId w:val="0"/>
  </w:num>
  <w:num w:numId="4" w16cid:durableId="534926711">
    <w:abstractNumId w:val="11"/>
  </w:num>
  <w:num w:numId="5" w16cid:durableId="1178812372">
    <w:abstractNumId w:val="15"/>
  </w:num>
  <w:num w:numId="6" w16cid:durableId="1128742258">
    <w:abstractNumId w:val="5"/>
  </w:num>
  <w:num w:numId="7" w16cid:durableId="1987540495">
    <w:abstractNumId w:val="4"/>
  </w:num>
  <w:num w:numId="8" w16cid:durableId="2062244654">
    <w:abstractNumId w:val="1"/>
  </w:num>
  <w:num w:numId="9" w16cid:durableId="1096898691">
    <w:abstractNumId w:val="3"/>
  </w:num>
  <w:num w:numId="10" w16cid:durableId="1901943337">
    <w:abstractNumId w:val="9"/>
  </w:num>
  <w:num w:numId="11" w16cid:durableId="1865170765">
    <w:abstractNumId w:val="12"/>
  </w:num>
  <w:num w:numId="12" w16cid:durableId="807474936">
    <w:abstractNumId w:val="6"/>
  </w:num>
  <w:num w:numId="13" w16cid:durableId="369652308">
    <w:abstractNumId w:val="14"/>
  </w:num>
  <w:num w:numId="14" w16cid:durableId="373165244">
    <w:abstractNumId w:val="10"/>
  </w:num>
  <w:num w:numId="15" w16cid:durableId="1796681195">
    <w:abstractNumId w:val="8"/>
  </w:num>
  <w:num w:numId="16" w16cid:durableId="1807622808">
    <w:abstractNumId w:val="13"/>
  </w:num>
  <w:num w:numId="17" w16cid:durableId="908222977">
    <w:abstractNumId w:val="17"/>
  </w:num>
  <w:num w:numId="18" w16cid:durableId="7350099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193"/>
    <w:rsid w:val="000032CE"/>
    <w:rsid w:val="00003CC3"/>
    <w:rsid w:val="00004038"/>
    <w:rsid w:val="0000488B"/>
    <w:rsid w:val="00005B69"/>
    <w:rsid w:val="00005BCB"/>
    <w:rsid w:val="00005EA0"/>
    <w:rsid w:val="00007105"/>
    <w:rsid w:val="00007296"/>
    <w:rsid w:val="00007E09"/>
    <w:rsid w:val="00007EFD"/>
    <w:rsid w:val="00007FD5"/>
    <w:rsid w:val="000106FE"/>
    <w:rsid w:val="000108BF"/>
    <w:rsid w:val="00011D42"/>
    <w:rsid w:val="000121A9"/>
    <w:rsid w:val="000126F6"/>
    <w:rsid w:val="00012918"/>
    <w:rsid w:val="00012DC1"/>
    <w:rsid w:val="000130C8"/>
    <w:rsid w:val="000135AF"/>
    <w:rsid w:val="00014948"/>
    <w:rsid w:val="00014EC2"/>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5C6"/>
    <w:rsid w:val="00026C11"/>
    <w:rsid w:val="000306D4"/>
    <w:rsid w:val="00030BAF"/>
    <w:rsid w:val="00031B73"/>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B4E"/>
    <w:rsid w:val="00041EAA"/>
    <w:rsid w:val="00042473"/>
    <w:rsid w:val="00043077"/>
    <w:rsid w:val="000441B5"/>
    <w:rsid w:val="00044C5F"/>
    <w:rsid w:val="000450F5"/>
    <w:rsid w:val="000456C6"/>
    <w:rsid w:val="00045BAD"/>
    <w:rsid w:val="000466B1"/>
    <w:rsid w:val="000466D5"/>
    <w:rsid w:val="00051A3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3D74"/>
    <w:rsid w:val="00064906"/>
    <w:rsid w:val="00064FD9"/>
    <w:rsid w:val="00067B5A"/>
    <w:rsid w:val="00070777"/>
    <w:rsid w:val="00070AA4"/>
    <w:rsid w:val="00071C6F"/>
    <w:rsid w:val="00071E8C"/>
    <w:rsid w:val="00071F15"/>
    <w:rsid w:val="000728B9"/>
    <w:rsid w:val="00073031"/>
    <w:rsid w:val="000730BD"/>
    <w:rsid w:val="000737BF"/>
    <w:rsid w:val="000742DF"/>
    <w:rsid w:val="00074A23"/>
    <w:rsid w:val="00074C62"/>
    <w:rsid w:val="000755A5"/>
    <w:rsid w:val="000756DE"/>
    <w:rsid w:val="00075A94"/>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2E19"/>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CC1"/>
    <w:rsid w:val="000A4762"/>
    <w:rsid w:val="000A49BC"/>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407"/>
    <w:rsid w:val="000C1E6B"/>
    <w:rsid w:val="000C238B"/>
    <w:rsid w:val="000C2764"/>
    <w:rsid w:val="000C3DC9"/>
    <w:rsid w:val="000C4139"/>
    <w:rsid w:val="000C47B5"/>
    <w:rsid w:val="000C5414"/>
    <w:rsid w:val="000C58C2"/>
    <w:rsid w:val="000C5BCE"/>
    <w:rsid w:val="000C5DC1"/>
    <w:rsid w:val="000C6670"/>
    <w:rsid w:val="000D04BF"/>
    <w:rsid w:val="000D153E"/>
    <w:rsid w:val="000D170C"/>
    <w:rsid w:val="000D1CF0"/>
    <w:rsid w:val="000D2A1F"/>
    <w:rsid w:val="000D3B9C"/>
    <w:rsid w:val="000D3E70"/>
    <w:rsid w:val="000D3E85"/>
    <w:rsid w:val="000D42B5"/>
    <w:rsid w:val="000D4AFE"/>
    <w:rsid w:val="000D5397"/>
    <w:rsid w:val="000D558F"/>
    <w:rsid w:val="000D5746"/>
    <w:rsid w:val="000D6E87"/>
    <w:rsid w:val="000D7314"/>
    <w:rsid w:val="000D771A"/>
    <w:rsid w:val="000D7B89"/>
    <w:rsid w:val="000D7C8C"/>
    <w:rsid w:val="000E1E0D"/>
    <w:rsid w:val="000E27C8"/>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289"/>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1A2"/>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38CF"/>
    <w:rsid w:val="001441D3"/>
    <w:rsid w:val="001450E2"/>
    <w:rsid w:val="001460CF"/>
    <w:rsid w:val="00146509"/>
    <w:rsid w:val="0014671A"/>
    <w:rsid w:val="0014693A"/>
    <w:rsid w:val="00146991"/>
    <w:rsid w:val="00147CCC"/>
    <w:rsid w:val="00147FEF"/>
    <w:rsid w:val="0015050B"/>
    <w:rsid w:val="00150953"/>
    <w:rsid w:val="00151A88"/>
    <w:rsid w:val="0015232D"/>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4E0"/>
    <w:rsid w:val="00164BCE"/>
    <w:rsid w:val="001659D0"/>
    <w:rsid w:val="0016604B"/>
    <w:rsid w:val="0016700D"/>
    <w:rsid w:val="00167772"/>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10D5"/>
    <w:rsid w:val="00182189"/>
    <w:rsid w:val="001826D0"/>
    <w:rsid w:val="001831E3"/>
    <w:rsid w:val="0018345B"/>
    <w:rsid w:val="0018356C"/>
    <w:rsid w:val="0018358B"/>
    <w:rsid w:val="0018454F"/>
    <w:rsid w:val="001846BB"/>
    <w:rsid w:val="00184F9A"/>
    <w:rsid w:val="001854BD"/>
    <w:rsid w:val="00185DC5"/>
    <w:rsid w:val="00186701"/>
    <w:rsid w:val="00186FB3"/>
    <w:rsid w:val="0018765B"/>
    <w:rsid w:val="00192287"/>
    <w:rsid w:val="001923AE"/>
    <w:rsid w:val="001924B2"/>
    <w:rsid w:val="00193379"/>
    <w:rsid w:val="00193904"/>
    <w:rsid w:val="00194B7B"/>
    <w:rsid w:val="001951A3"/>
    <w:rsid w:val="00195583"/>
    <w:rsid w:val="001A0745"/>
    <w:rsid w:val="001A1302"/>
    <w:rsid w:val="001A16CC"/>
    <w:rsid w:val="001A18E1"/>
    <w:rsid w:val="001A2144"/>
    <w:rsid w:val="001A2FDB"/>
    <w:rsid w:val="001A3755"/>
    <w:rsid w:val="001A4127"/>
    <w:rsid w:val="001A4E1C"/>
    <w:rsid w:val="001A554E"/>
    <w:rsid w:val="001A6958"/>
    <w:rsid w:val="001A6EBE"/>
    <w:rsid w:val="001A6F68"/>
    <w:rsid w:val="001A77FB"/>
    <w:rsid w:val="001B009D"/>
    <w:rsid w:val="001B13DB"/>
    <w:rsid w:val="001B17F6"/>
    <w:rsid w:val="001B2848"/>
    <w:rsid w:val="001B341D"/>
    <w:rsid w:val="001B3A10"/>
    <w:rsid w:val="001B43A1"/>
    <w:rsid w:val="001B6E63"/>
    <w:rsid w:val="001B7A7B"/>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D7CBC"/>
    <w:rsid w:val="001E0503"/>
    <w:rsid w:val="001E0E21"/>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4565"/>
    <w:rsid w:val="001F5050"/>
    <w:rsid w:val="001F60BF"/>
    <w:rsid w:val="001F625A"/>
    <w:rsid w:val="001F6B28"/>
    <w:rsid w:val="001F6C56"/>
    <w:rsid w:val="001F72DF"/>
    <w:rsid w:val="001F77D0"/>
    <w:rsid w:val="002010A9"/>
    <w:rsid w:val="00201769"/>
    <w:rsid w:val="0020247E"/>
    <w:rsid w:val="002025FD"/>
    <w:rsid w:val="00203FD3"/>
    <w:rsid w:val="00204278"/>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178E"/>
    <w:rsid w:val="00221E9A"/>
    <w:rsid w:val="00222A05"/>
    <w:rsid w:val="00222E1E"/>
    <w:rsid w:val="0022341D"/>
    <w:rsid w:val="0022360E"/>
    <w:rsid w:val="00223F75"/>
    <w:rsid w:val="00224412"/>
    <w:rsid w:val="002246DF"/>
    <w:rsid w:val="002248E9"/>
    <w:rsid w:val="00225069"/>
    <w:rsid w:val="00226319"/>
    <w:rsid w:val="00227445"/>
    <w:rsid w:val="00227471"/>
    <w:rsid w:val="00230D10"/>
    <w:rsid w:val="00231036"/>
    <w:rsid w:val="00232D7F"/>
    <w:rsid w:val="0023417B"/>
    <w:rsid w:val="002344E1"/>
    <w:rsid w:val="00234A24"/>
    <w:rsid w:val="00234A27"/>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4A38"/>
    <w:rsid w:val="002450A8"/>
    <w:rsid w:val="0024549A"/>
    <w:rsid w:val="002458C0"/>
    <w:rsid w:val="00245F41"/>
    <w:rsid w:val="002466CD"/>
    <w:rsid w:val="0024672A"/>
    <w:rsid w:val="002468D6"/>
    <w:rsid w:val="00246915"/>
    <w:rsid w:val="002476CF"/>
    <w:rsid w:val="00247875"/>
    <w:rsid w:val="00247B10"/>
    <w:rsid w:val="00247D11"/>
    <w:rsid w:val="00247E15"/>
    <w:rsid w:val="00247ECF"/>
    <w:rsid w:val="00250E2D"/>
    <w:rsid w:val="00252528"/>
    <w:rsid w:val="002530F3"/>
    <w:rsid w:val="00253130"/>
    <w:rsid w:val="00253A1C"/>
    <w:rsid w:val="00254051"/>
    <w:rsid w:val="002541B3"/>
    <w:rsid w:val="00255334"/>
    <w:rsid w:val="0025565F"/>
    <w:rsid w:val="00256B3C"/>
    <w:rsid w:val="00256E7D"/>
    <w:rsid w:val="00256F27"/>
    <w:rsid w:val="002573E9"/>
    <w:rsid w:val="0025762F"/>
    <w:rsid w:val="00257816"/>
    <w:rsid w:val="00257C5E"/>
    <w:rsid w:val="00260433"/>
    <w:rsid w:val="00260969"/>
    <w:rsid w:val="0026116F"/>
    <w:rsid w:val="00261509"/>
    <w:rsid w:val="002617F9"/>
    <w:rsid w:val="00262666"/>
    <w:rsid w:val="002629DE"/>
    <w:rsid w:val="00262D7C"/>
    <w:rsid w:val="00263720"/>
    <w:rsid w:val="00263F1F"/>
    <w:rsid w:val="00265161"/>
    <w:rsid w:val="00265F1B"/>
    <w:rsid w:val="002665A2"/>
    <w:rsid w:val="00267221"/>
    <w:rsid w:val="00270087"/>
    <w:rsid w:val="00270831"/>
    <w:rsid w:val="0027275E"/>
    <w:rsid w:val="00272A7D"/>
    <w:rsid w:val="00273171"/>
    <w:rsid w:val="00273223"/>
    <w:rsid w:val="002740A0"/>
    <w:rsid w:val="002748AA"/>
    <w:rsid w:val="00275201"/>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978"/>
    <w:rsid w:val="00292CA5"/>
    <w:rsid w:val="00292F0B"/>
    <w:rsid w:val="00293914"/>
    <w:rsid w:val="00293B1D"/>
    <w:rsid w:val="00293E41"/>
    <w:rsid w:val="00294153"/>
    <w:rsid w:val="00296748"/>
    <w:rsid w:val="00296E41"/>
    <w:rsid w:val="0029713B"/>
    <w:rsid w:val="00297C79"/>
    <w:rsid w:val="002A0081"/>
    <w:rsid w:val="002A0713"/>
    <w:rsid w:val="002A0D21"/>
    <w:rsid w:val="002A18E6"/>
    <w:rsid w:val="002A1AAC"/>
    <w:rsid w:val="002A2985"/>
    <w:rsid w:val="002A30BB"/>
    <w:rsid w:val="002A4088"/>
    <w:rsid w:val="002A4403"/>
    <w:rsid w:val="002A4AD1"/>
    <w:rsid w:val="002A4AE9"/>
    <w:rsid w:val="002A4B47"/>
    <w:rsid w:val="002A4DEA"/>
    <w:rsid w:val="002A5750"/>
    <w:rsid w:val="002A657D"/>
    <w:rsid w:val="002A6B3D"/>
    <w:rsid w:val="002A6E86"/>
    <w:rsid w:val="002A6EF0"/>
    <w:rsid w:val="002B00BD"/>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0D09"/>
    <w:rsid w:val="002C1320"/>
    <w:rsid w:val="002C2259"/>
    <w:rsid w:val="002C25CF"/>
    <w:rsid w:val="002C3470"/>
    <w:rsid w:val="002C348A"/>
    <w:rsid w:val="002C3EC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5"/>
    <w:rsid w:val="002D7BA0"/>
    <w:rsid w:val="002E0C48"/>
    <w:rsid w:val="002E1666"/>
    <w:rsid w:val="002E1E05"/>
    <w:rsid w:val="002E3358"/>
    <w:rsid w:val="002E3511"/>
    <w:rsid w:val="002E3777"/>
    <w:rsid w:val="002E3B43"/>
    <w:rsid w:val="002E3D1C"/>
    <w:rsid w:val="002E5953"/>
    <w:rsid w:val="002E5971"/>
    <w:rsid w:val="002E5A0A"/>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08A"/>
    <w:rsid w:val="002F67C7"/>
    <w:rsid w:val="002F6EC3"/>
    <w:rsid w:val="002F7173"/>
    <w:rsid w:val="002F7484"/>
    <w:rsid w:val="002F77C3"/>
    <w:rsid w:val="00301CB4"/>
    <w:rsid w:val="003027FF"/>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9B8"/>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09B9"/>
    <w:rsid w:val="00331836"/>
    <w:rsid w:val="0033190E"/>
    <w:rsid w:val="00331935"/>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141"/>
    <w:rsid w:val="00345946"/>
    <w:rsid w:val="00345C3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027"/>
    <w:rsid w:val="003625FB"/>
    <w:rsid w:val="003626E5"/>
    <w:rsid w:val="003633B9"/>
    <w:rsid w:val="003636DE"/>
    <w:rsid w:val="003638B9"/>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6BB4"/>
    <w:rsid w:val="0037725F"/>
    <w:rsid w:val="003804A7"/>
    <w:rsid w:val="00381DC3"/>
    <w:rsid w:val="0038228C"/>
    <w:rsid w:val="00382BDE"/>
    <w:rsid w:val="003859C4"/>
    <w:rsid w:val="00385B11"/>
    <w:rsid w:val="00385EA5"/>
    <w:rsid w:val="00386F92"/>
    <w:rsid w:val="003874C3"/>
    <w:rsid w:val="00387725"/>
    <w:rsid w:val="00387C65"/>
    <w:rsid w:val="00390CDE"/>
    <w:rsid w:val="003922BF"/>
    <w:rsid w:val="003925FB"/>
    <w:rsid w:val="00392B20"/>
    <w:rsid w:val="00394516"/>
    <w:rsid w:val="003961E1"/>
    <w:rsid w:val="003974F9"/>
    <w:rsid w:val="003A0AA1"/>
    <w:rsid w:val="003A0FE5"/>
    <w:rsid w:val="003A21A1"/>
    <w:rsid w:val="003A24EC"/>
    <w:rsid w:val="003A3EA0"/>
    <w:rsid w:val="003A4B73"/>
    <w:rsid w:val="003A6262"/>
    <w:rsid w:val="003A645D"/>
    <w:rsid w:val="003A748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3D3F"/>
    <w:rsid w:val="003C42AD"/>
    <w:rsid w:val="003C4C9F"/>
    <w:rsid w:val="003C5D9D"/>
    <w:rsid w:val="003C6C6E"/>
    <w:rsid w:val="003C7036"/>
    <w:rsid w:val="003C7781"/>
    <w:rsid w:val="003C7FA5"/>
    <w:rsid w:val="003D0C96"/>
    <w:rsid w:val="003D1CAA"/>
    <w:rsid w:val="003D2F9C"/>
    <w:rsid w:val="003D4395"/>
    <w:rsid w:val="003D474C"/>
    <w:rsid w:val="003D5398"/>
    <w:rsid w:val="003D542F"/>
    <w:rsid w:val="003D5BAD"/>
    <w:rsid w:val="003D5F20"/>
    <w:rsid w:val="003D63A6"/>
    <w:rsid w:val="003D6E19"/>
    <w:rsid w:val="003D737D"/>
    <w:rsid w:val="003D7E33"/>
    <w:rsid w:val="003E0C30"/>
    <w:rsid w:val="003E0F2A"/>
    <w:rsid w:val="003E143B"/>
    <w:rsid w:val="003E1CD9"/>
    <w:rsid w:val="003E2CF8"/>
    <w:rsid w:val="003E3169"/>
    <w:rsid w:val="003E35FB"/>
    <w:rsid w:val="003E3999"/>
    <w:rsid w:val="003E43BE"/>
    <w:rsid w:val="003E4A4E"/>
    <w:rsid w:val="003E504F"/>
    <w:rsid w:val="003E5231"/>
    <w:rsid w:val="003E5B98"/>
    <w:rsid w:val="003E5C72"/>
    <w:rsid w:val="003E62FB"/>
    <w:rsid w:val="003E6A41"/>
    <w:rsid w:val="003E7801"/>
    <w:rsid w:val="003F0AF5"/>
    <w:rsid w:val="003F14E4"/>
    <w:rsid w:val="003F1FC5"/>
    <w:rsid w:val="003F3E65"/>
    <w:rsid w:val="003F42FC"/>
    <w:rsid w:val="003F44DD"/>
    <w:rsid w:val="003F4833"/>
    <w:rsid w:val="003F4B68"/>
    <w:rsid w:val="003F5045"/>
    <w:rsid w:val="003F532D"/>
    <w:rsid w:val="003F5BBB"/>
    <w:rsid w:val="003F7A40"/>
    <w:rsid w:val="004003E7"/>
    <w:rsid w:val="00400CE8"/>
    <w:rsid w:val="00401B8F"/>
    <w:rsid w:val="00401FEB"/>
    <w:rsid w:val="004022FC"/>
    <w:rsid w:val="00402763"/>
    <w:rsid w:val="004027A1"/>
    <w:rsid w:val="0040309B"/>
    <w:rsid w:val="004051E8"/>
    <w:rsid w:val="00405E13"/>
    <w:rsid w:val="00406284"/>
    <w:rsid w:val="00406A7E"/>
    <w:rsid w:val="00406B2A"/>
    <w:rsid w:val="00406B80"/>
    <w:rsid w:val="00406C21"/>
    <w:rsid w:val="00406D0B"/>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056"/>
    <w:rsid w:val="00417B07"/>
    <w:rsid w:val="00417B7B"/>
    <w:rsid w:val="004211BE"/>
    <w:rsid w:val="0042205F"/>
    <w:rsid w:val="00423C26"/>
    <w:rsid w:val="00423E43"/>
    <w:rsid w:val="00424839"/>
    <w:rsid w:val="00424D35"/>
    <w:rsid w:val="004250E0"/>
    <w:rsid w:val="004256FF"/>
    <w:rsid w:val="004258D6"/>
    <w:rsid w:val="004264F9"/>
    <w:rsid w:val="00426717"/>
    <w:rsid w:val="00426777"/>
    <w:rsid w:val="00427031"/>
    <w:rsid w:val="00427142"/>
    <w:rsid w:val="00427899"/>
    <w:rsid w:val="00427DBB"/>
    <w:rsid w:val="00427FBB"/>
    <w:rsid w:val="00430399"/>
    <w:rsid w:val="00430E42"/>
    <w:rsid w:val="00431F3F"/>
    <w:rsid w:val="0043209C"/>
    <w:rsid w:val="004322A6"/>
    <w:rsid w:val="00433049"/>
    <w:rsid w:val="00433351"/>
    <w:rsid w:val="004340BA"/>
    <w:rsid w:val="004348C5"/>
    <w:rsid w:val="00435C4E"/>
    <w:rsid w:val="00436B6F"/>
    <w:rsid w:val="00437D5A"/>
    <w:rsid w:val="00440029"/>
    <w:rsid w:val="0044044F"/>
    <w:rsid w:val="00441DE8"/>
    <w:rsid w:val="00442F67"/>
    <w:rsid w:val="00442FBB"/>
    <w:rsid w:val="00443487"/>
    <w:rsid w:val="00443DE0"/>
    <w:rsid w:val="0044467E"/>
    <w:rsid w:val="0044496C"/>
    <w:rsid w:val="00444F46"/>
    <w:rsid w:val="0044520F"/>
    <w:rsid w:val="0044541F"/>
    <w:rsid w:val="004458DD"/>
    <w:rsid w:val="004468EC"/>
    <w:rsid w:val="004469E1"/>
    <w:rsid w:val="00446A05"/>
    <w:rsid w:val="00446B69"/>
    <w:rsid w:val="00447C41"/>
    <w:rsid w:val="004502C5"/>
    <w:rsid w:val="004509CE"/>
    <w:rsid w:val="004515BE"/>
    <w:rsid w:val="004519CB"/>
    <w:rsid w:val="00452B43"/>
    <w:rsid w:val="00453FD7"/>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ABB"/>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13E0"/>
    <w:rsid w:val="004826CB"/>
    <w:rsid w:val="00483B0E"/>
    <w:rsid w:val="00484AE9"/>
    <w:rsid w:val="00484F8B"/>
    <w:rsid w:val="00485508"/>
    <w:rsid w:val="0048659E"/>
    <w:rsid w:val="00486775"/>
    <w:rsid w:val="004874A4"/>
    <w:rsid w:val="004904DF"/>
    <w:rsid w:val="00491E99"/>
    <w:rsid w:val="004929E7"/>
    <w:rsid w:val="0049318A"/>
    <w:rsid w:val="00493A5B"/>
    <w:rsid w:val="00494CF3"/>
    <w:rsid w:val="00494F0A"/>
    <w:rsid w:val="00495547"/>
    <w:rsid w:val="004961AD"/>
    <w:rsid w:val="00496339"/>
    <w:rsid w:val="004967A0"/>
    <w:rsid w:val="00496C40"/>
    <w:rsid w:val="00497059"/>
    <w:rsid w:val="00497082"/>
    <w:rsid w:val="004973EC"/>
    <w:rsid w:val="004974AE"/>
    <w:rsid w:val="0049762B"/>
    <w:rsid w:val="00497B15"/>
    <w:rsid w:val="004A0617"/>
    <w:rsid w:val="004A1A63"/>
    <w:rsid w:val="004A2326"/>
    <w:rsid w:val="004A2A39"/>
    <w:rsid w:val="004A2CCF"/>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31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408"/>
    <w:rsid w:val="004F5821"/>
    <w:rsid w:val="004F5CD5"/>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29B8"/>
    <w:rsid w:val="00522C1A"/>
    <w:rsid w:val="00523091"/>
    <w:rsid w:val="00523746"/>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47EB6"/>
    <w:rsid w:val="00551154"/>
    <w:rsid w:val="005522CE"/>
    <w:rsid w:val="00552ACC"/>
    <w:rsid w:val="00553082"/>
    <w:rsid w:val="00553578"/>
    <w:rsid w:val="005549D7"/>
    <w:rsid w:val="00554C70"/>
    <w:rsid w:val="0055538E"/>
    <w:rsid w:val="00555536"/>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3DED"/>
    <w:rsid w:val="00564488"/>
    <w:rsid w:val="0056508D"/>
    <w:rsid w:val="0056515D"/>
    <w:rsid w:val="005656A0"/>
    <w:rsid w:val="00566CEF"/>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99F"/>
    <w:rsid w:val="00590AF7"/>
    <w:rsid w:val="00592360"/>
    <w:rsid w:val="00593333"/>
    <w:rsid w:val="00593EC0"/>
    <w:rsid w:val="005960D3"/>
    <w:rsid w:val="00597038"/>
    <w:rsid w:val="005973A7"/>
    <w:rsid w:val="005A05F1"/>
    <w:rsid w:val="005A0825"/>
    <w:rsid w:val="005A09A3"/>
    <w:rsid w:val="005A1FEE"/>
    <w:rsid w:val="005A273F"/>
    <w:rsid w:val="005A3583"/>
    <w:rsid w:val="005A4118"/>
    <w:rsid w:val="005A453F"/>
    <w:rsid w:val="005A493F"/>
    <w:rsid w:val="005A6317"/>
    <w:rsid w:val="005A6A9E"/>
    <w:rsid w:val="005A752F"/>
    <w:rsid w:val="005B1263"/>
    <w:rsid w:val="005B1E67"/>
    <w:rsid w:val="005B2365"/>
    <w:rsid w:val="005B296A"/>
    <w:rsid w:val="005B3184"/>
    <w:rsid w:val="005B36F5"/>
    <w:rsid w:val="005B3BB9"/>
    <w:rsid w:val="005B3F3B"/>
    <w:rsid w:val="005B5FC8"/>
    <w:rsid w:val="005B67CC"/>
    <w:rsid w:val="005B6E2C"/>
    <w:rsid w:val="005B7761"/>
    <w:rsid w:val="005C08BA"/>
    <w:rsid w:val="005C0DC0"/>
    <w:rsid w:val="005C15B8"/>
    <w:rsid w:val="005C194D"/>
    <w:rsid w:val="005C21B5"/>
    <w:rsid w:val="005C2DEE"/>
    <w:rsid w:val="005C3179"/>
    <w:rsid w:val="005C464F"/>
    <w:rsid w:val="005C565F"/>
    <w:rsid w:val="005C5A24"/>
    <w:rsid w:val="005C5B71"/>
    <w:rsid w:val="005C639C"/>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3E83"/>
    <w:rsid w:val="005F45C2"/>
    <w:rsid w:val="005F4BB6"/>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587"/>
    <w:rsid w:val="00633A3D"/>
    <w:rsid w:val="00633FA0"/>
    <w:rsid w:val="00634534"/>
    <w:rsid w:val="00634718"/>
    <w:rsid w:val="00634A49"/>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1C2"/>
    <w:rsid w:val="00645AB9"/>
    <w:rsid w:val="00645E2A"/>
    <w:rsid w:val="006460CB"/>
    <w:rsid w:val="00646267"/>
    <w:rsid w:val="00646D5C"/>
    <w:rsid w:val="00646DD7"/>
    <w:rsid w:val="006473BA"/>
    <w:rsid w:val="006475F4"/>
    <w:rsid w:val="00647D90"/>
    <w:rsid w:val="006502D1"/>
    <w:rsid w:val="006504FE"/>
    <w:rsid w:val="00650B53"/>
    <w:rsid w:val="00651275"/>
    <w:rsid w:val="0065228A"/>
    <w:rsid w:val="00654128"/>
    <w:rsid w:val="00654244"/>
    <w:rsid w:val="006546B6"/>
    <w:rsid w:val="006547BB"/>
    <w:rsid w:val="00655491"/>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2C"/>
    <w:rsid w:val="00676465"/>
    <w:rsid w:val="006775C4"/>
    <w:rsid w:val="0068056E"/>
    <w:rsid w:val="00681AC1"/>
    <w:rsid w:val="00681EE7"/>
    <w:rsid w:val="00682165"/>
    <w:rsid w:val="00682AEE"/>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07"/>
    <w:rsid w:val="006A654C"/>
    <w:rsid w:val="006A6B9A"/>
    <w:rsid w:val="006A7061"/>
    <w:rsid w:val="006A7837"/>
    <w:rsid w:val="006B0008"/>
    <w:rsid w:val="006B0A9C"/>
    <w:rsid w:val="006B0B08"/>
    <w:rsid w:val="006B0B51"/>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036"/>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02A"/>
    <w:rsid w:val="006E0371"/>
    <w:rsid w:val="006E0406"/>
    <w:rsid w:val="006E09D6"/>
    <w:rsid w:val="006E1695"/>
    <w:rsid w:val="006E197B"/>
    <w:rsid w:val="006E1AC8"/>
    <w:rsid w:val="006E22C9"/>
    <w:rsid w:val="006E2B27"/>
    <w:rsid w:val="006E58AF"/>
    <w:rsid w:val="006E62BA"/>
    <w:rsid w:val="006E698C"/>
    <w:rsid w:val="006E6A36"/>
    <w:rsid w:val="006E7F21"/>
    <w:rsid w:val="006F0329"/>
    <w:rsid w:val="006F0771"/>
    <w:rsid w:val="006F0913"/>
    <w:rsid w:val="006F10A6"/>
    <w:rsid w:val="006F2412"/>
    <w:rsid w:val="006F2E16"/>
    <w:rsid w:val="006F3230"/>
    <w:rsid w:val="006F3FE0"/>
    <w:rsid w:val="006F42BC"/>
    <w:rsid w:val="006F462B"/>
    <w:rsid w:val="006F6131"/>
    <w:rsid w:val="006F632D"/>
    <w:rsid w:val="006F650D"/>
    <w:rsid w:val="006F68C0"/>
    <w:rsid w:val="006F68E5"/>
    <w:rsid w:val="006F7A52"/>
    <w:rsid w:val="006F7C5E"/>
    <w:rsid w:val="00700013"/>
    <w:rsid w:val="007007EB"/>
    <w:rsid w:val="00701329"/>
    <w:rsid w:val="007017F0"/>
    <w:rsid w:val="00701C5B"/>
    <w:rsid w:val="00702862"/>
    <w:rsid w:val="007036B7"/>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96F"/>
    <w:rsid w:val="00711EB9"/>
    <w:rsid w:val="0071287D"/>
    <w:rsid w:val="00712D50"/>
    <w:rsid w:val="00713419"/>
    <w:rsid w:val="007135A0"/>
    <w:rsid w:val="00713957"/>
    <w:rsid w:val="00714402"/>
    <w:rsid w:val="00714488"/>
    <w:rsid w:val="00715319"/>
    <w:rsid w:val="00715EBB"/>
    <w:rsid w:val="00716095"/>
    <w:rsid w:val="00717898"/>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0C1"/>
    <w:rsid w:val="0073118F"/>
    <w:rsid w:val="0073182F"/>
    <w:rsid w:val="0073212F"/>
    <w:rsid w:val="0073215C"/>
    <w:rsid w:val="007324A9"/>
    <w:rsid w:val="007332CB"/>
    <w:rsid w:val="00734300"/>
    <w:rsid w:val="0073439D"/>
    <w:rsid w:val="00734795"/>
    <w:rsid w:val="00736F71"/>
    <w:rsid w:val="00740339"/>
    <w:rsid w:val="00740A21"/>
    <w:rsid w:val="00740D93"/>
    <w:rsid w:val="007422B9"/>
    <w:rsid w:val="007426D1"/>
    <w:rsid w:val="0074323E"/>
    <w:rsid w:val="00743E50"/>
    <w:rsid w:val="00743F9C"/>
    <w:rsid w:val="00744412"/>
    <w:rsid w:val="00744BFA"/>
    <w:rsid w:val="00744DC2"/>
    <w:rsid w:val="00744E48"/>
    <w:rsid w:val="00744EED"/>
    <w:rsid w:val="00745290"/>
    <w:rsid w:val="007455AB"/>
    <w:rsid w:val="00745BE3"/>
    <w:rsid w:val="00746015"/>
    <w:rsid w:val="00746730"/>
    <w:rsid w:val="00747293"/>
    <w:rsid w:val="00751760"/>
    <w:rsid w:val="00751950"/>
    <w:rsid w:val="00752C85"/>
    <w:rsid w:val="00752C92"/>
    <w:rsid w:val="00752CFC"/>
    <w:rsid w:val="007562AF"/>
    <w:rsid w:val="00756771"/>
    <w:rsid w:val="00756A0B"/>
    <w:rsid w:val="00757070"/>
    <w:rsid w:val="0075716B"/>
    <w:rsid w:val="00757251"/>
    <w:rsid w:val="007573A2"/>
    <w:rsid w:val="00757BFC"/>
    <w:rsid w:val="00757FD7"/>
    <w:rsid w:val="00760108"/>
    <w:rsid w:val="007604C6"/>
    <w:rsid w:val="00760AB6"/>
    <w:rsid w:val="00760DD6"/>
    <w:rsid w:val="00761447"/>
    <w:rsid w:val="00761DF4"/>
    <w:rsid w:val="00762460"/>
    <w:rsid w:val="00762B44"/>
    <w:rsid w:val="00762B99"/>
    <w:rsid w:val="007656A2"/>
    <w:rsid w:val="00765A2B"/>
    <w:rsid w:val="00766389"/>
    <w:rsid w:val="007677CD"/>
    <w:rsid w:val="00767FE0"/>
    <w:rsid w:val="00770340"/>
    <w:rsid w:val="00770536"/>
    <w:rsid w:val="00770AC5"/>
    <w:rsid w:val="00770D7F"/>
    <w:rsid w:val="0077100C"/>
    <w:rsid w:val="007711A1"/>
    <w:rsid w:val="00771AF2"/>
    <w:rsid w:val="007722CF"/>
    <w:rsid w:val="00772E06"/>
    <w:rsid w:val="007730D4"/>
    <w:rsid w:val="00773C44"/>
    <w:rsid w:val="00774396"/>
    <w:rsid w:val="007743DD"/>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460"/>
    <w:rsid w:val="00782A21"/>
    <w:rsid w:val="007834E8"/>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3C9"/>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4B7"/>
    <w:rsid w:val="007D45CB"/>
    <w:rsid w:val="007D4645"/>
    <w:rsid w:val="007D493C"/>
    <w:rsid w:val="007D5692"/>
    <w:rsid w:val="007D5CCD"/>
    <w:rsid w:val="007D6461"/>
    <w:rsid w:val="007D7816"/>
    <w:rsid w:val="007E1A9F"/>
    <w:rsid w:val="007E2C90"/>
    <w:rsid w:val="007E3210"/>
    <w:rsid w:val="007E3234"/>
    <w:rsid w:val="007E32FC"/>
    <w:rsid w:val="007E4266"/>
    <w:rsid w:val="007E4EA5"/>
    <w:rsid w:val="007E5A5C"/>
    <w:rsid w:val="007E6FD6"/>
    <w:rsid w:val="007E7816"/>
    <w:rsid w:val="007E7A9C"/>
    <w:rsid w:val="007F0BA9"/>
    <w:rsid w:val="007F0C5F"/>
    <w:rsid w:val="007F14CC"/>
    <w:rsid w:val="007F17A3"/>
    <w:rsid w:val="007F1A1A"/>
    <w:rsid w:val="007F1ECE"/>
    <w:rsid w:val="007F2DD4"/>
    <w:rsid w:val="007F2E3D"/>
    <w:rsid w:val="007F3272"/>
    <w:rsid w:val="007F35C6"/>
    <w:rsid w:val="007F3BF0"/>
    <w:rsid w:val="007F3D21"/>
    <w:rsid w:val="007F425D"/>
    <w:rsid w:val="007F4946"/>
    <w:rsid w:val="007F4B42"/>
    <w:rsid w:val="007F5B11"/>
    <w:rsid w:val="007F7957"/>
    <w:rsid w:val="007F7CB7"/>
    <w:rsid w:val="007F7F91"/>
    <w:rsid w:val="008003EB"/>
    <w:rsid w:val="00800C46"/>
    <w:rsid w:val="00801A10"/>
    <w:rsid w:val="00801BEA"/>
    <w:rsid w:val="00801F35"/>
    <w:rsid w:val="00803391"/>
    <w:rsid w:val="00803D63"/>
    <w:rsid w:val="00805B95"/>
    <w:rsid w:val="008061D6"/>
    <w:rsid w:val="008068C9"/>
    <w:rsid w:val="00806D14"/>
    <w:rsid w:val="0080728A"/>
    <w:rsid w:val="0080772F"/>
    <w:rsid w:val="00807D76"/>
    <w:rsid w:val="00811182"/>
    <w:rsid w:val="00811407"/>
    <w:rsid w:val="00811B44"/>
    <w:rsid w:val="008122E4"/>
    <w:rsid w:val="00812C99"/>
    <w:rsid w:val="00812D5A"/>
    <w:rsid w:val="00813494"/>
    <w:rsid w:val="00813755"/>
    <w:rsid w:val="008161D5"/>
    <w:rsid w:val="00817062"/>
    <w:rsid w:val="00817A06"/>
    <w:rsid w:val="0082001A"/>
    <w:rsid w:val="008205D0"/>
    <w:rsid w:val="0082070E"/>
    <w:rsid w:val="00820D99"/>
    <w:rsid w:val="00820E06"/>
    <w:rsid w:val="008211F5"/>
    <w:rsid w:val="00821FB2"/>
    <w:rsid w:val="0082284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4E2E"/>
    <w:rsid w:val="00855029"/>
    <w:rsid w:val="0085507C"/>
    <w:rsid w:val="0085563E"/>
    <w:rsid w:val="00855B11"/>
    <w:rsid w:val="008601DA"/>
    <w:rsid w:val="00861653"/>
    <w:rsid w:val="00861978"/>
    <w:rsid w:val="008625C0"/>
    <w:rsid w:val="00863418"/>
    <w:rsid w:val="008634C5"/>
    <w:rsid w:val="0086393B"/>
    <w:rsid w:val="00863FB1"/>
    <w:rsid w:val="00864F72"/>
    <w:rsid w:val="00865B42"/>
    <w:rsid w:val="00866DED"/>
    <w:rsid w:val="00866DF0"/>
    <w:rsid w:val="008672F5"/>
    <w:rsid w:val="00867EBD"/>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14"/>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4ED"/>
    <w:rsid w:val="008A1864"/>
    <w:rsid w:val="008A23DD"/>
    <w:rsid w:val="008A249E"/>
    <w:rsid w:val="008A4EE6"/>
    <w:rsid w:val="008A6544"/>
    <w:rsid w:val="008A65C4"/>
    <w:rsid w:val="008A73E0"/>
    <w:rsid w:val="008A7EC3"/>
    <w:rsid w:val="008A7F72"/>
    <w:rsid w:val="008B037E"/>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EDE"/>
    <w:rsid w:val="008D2040"/>
    <w:rsid w:val="008D32AD"/>
    <w:rsid w:val="008D3620"/>
    <w:rsid w:val="008D458F"/>
    <w:rsid w:val="008D4B95"/>
    <w:rsid w:val="008D52D9"/>
    <w:rsid w:val="008D64B4"/>
    <w:rsid w:val="008D6772"/>
    <w:rsid w:val="008D7AC6"/>
    <w:rsid w:val="008D7AD1"/>
    <w:rsid w:val="008D7D92"/>
    <w:rsid w:val="008E02E6"/>
    <w:rsid w:val="008E08A8"/>
    <w:rsid w:val="008E0B04"/>
    <w:rsid w:val="008E15B5"/>
    <w:rsid w:val="008E2B42"/>
    <w:rsid w:val="008E350D"/>
    <w:rsid w:val="008E3B36"/>
    <w:rsid w:val="008E3CEC"/>
    <w:rsid w:val="008E480F"/>
    <w:rsid w:val="008E4A67"/>
    <w:rsid w:val="008E5D00"/>
    <w:rsid w:val="008E5F5D"/>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3A8"/>
    <w:rsid w:val="00904997"/>
    <w:rsid w:val="00905373"/>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5DC1"/>
    <w:rsid w:val="009366C4"/>
    <w:rsid w:val="00936747"/>
    <w:rsid w:val="0093762C"/>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794"/>
    <w:rsid w:val="00952E94"/>
    <w:rsid w:val="00953386"/>
    <w:rsid w:val="00954F7D"/>
    <w:rsid w:val="00955095"/>
    <w:rsid w:val="00955D30"/>
    <w:rsid w:val="00956727"/>
    <w:rsid w:val="0095724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57E"/>
    <w:rsid w:val="00971321"/>
    <w:rsid w:val="00971B8B"/>
    <w:rsid w:val="00972B61"/>
    <w:rsid w:val="009730F2"/>
    <w:rsid w:val="00973F60"/>
    <w:rsid w:val="00974250"/>
    <w:rsid w:val="00974F50"/>
    <w:rsid w:val="009756EC"/>
    <w:rsid w:val="009757EE"/>
    <w:rsid w:val="0097584C"/>
    <w:rsid w:val="00976FCC"/>
    <w:rsid w:val="0097768E"/>
    <w:rsid w:val="009818A2"/>
    <w:rsid w:val="009829E2"/>
    <w:rsid w:val="00982E33"/>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6BEC"/>
    <w:rsid w:val="00997136"/>
    <w:rsid w:val="0099718D"/>
    <w:rsid w:val="009971A7"/>
    <w:rsid w:val="009A2051"/>
    <w:rsid w:val="009A33BE"/>
    <w:rsid w:val="009A3F67"/>
    <w:rsid w:val="009B0212"/>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5CD"/>
    <w:rsid w:val="009C37BB"/>
    <w:rsid w:val="009C3841"/>
    <w:rsid w:val="009C607A"/>
    <w:rsid w:val="009C6929"/>
    <w:rsid w:val="009C6A52"/>
    <w:rsid w:val="009C6AF9"/>
    <w:rsid w:val="009C72C2"/>
    <w:rsid w:val="009C78CF"/>
    <w:rsid w:val="009D183B"/>
    <w:rsid w:val="009D20C4"/>
    <w:rsid w:val="009D2378"/>
    <w:rsid w:val="009D267D"/>
    <w:rsid w:val="009D30C1"/>
    <w:rsid w:val="009D3356"/>
    <w:rsid w:val="009D3709"/>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17C"/>
    <w:rsid w:val="009E646B"/>
    <w:rsid w:val="009E67C9"/>
    <w:rsid w:val="009E7B07"/>
    <w:rsid w:val="009F0232"/>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515"/>
    <w:rsid w:val="00A12661"/>
    <w:rsid w:val="00A12D31"/>
    <w:rsid w:val="00A12F8B"/>
    <w:rsid w:val="00A13C0F"/>
    <w:rsid w:val="00A13E82"/>
    <w:rsid w:val="00A164A6"/>
    <w:rsid w:val="00A165FE"/>
    <w:rsid w:val="00A16EFC"/>
    <w:rsid w:val="00A17A7F"/>
    <w:rsid w:val="00A205C2"/>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2E3"/>
    <w:rsid w:val="00A30D30"/>
    <w:rsid w:val="00A31158"/>
    <w:rsid w:val="00A3192C"/>
    <w:rsid w:val="00A3215A"/>
    <w:rsid w:val="00A327BE"/>
    <w:rsid w:val="00A32881"/>
    <w:rsid w:val="00A3359F"/>
    <w:rsid w:val="00A33F3B"/>
    <w:rsid w:val="00A352E3"/>
    <w:rsid w:val="00A35434"/>
    <w:rsid w:val="00A35446"/>
    <w:rsid w:val="00A3583F"/>
    <w:rsid w:val="00A3592E"/>
    <w:rsid w:val="00A367EE"/>
    <w:rsid w:val="00A36936"/>
    <w:rsid w:val="00A36CB0"/>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2DDF"/>
    <w:rsid w:val="00A537AD"/>
    <w:rsid w:val="00A53DE2"/>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1C37"/>
    <w:rsid w:val="00A72E3D"/>
    <w:rsid w:val="00A72EE1"/>
    <w:rsid w:val="00A73B00"/>
    <w:rsid w:val="00A746E4"/>
    <w:rsid w:val="00A761F4"/>
    <w:rsid w:val="00A77448"/>
    <w:rsid w:val="00A77669"/>
    <w:rsid w:val="00A77B65"/>
    <w:rsid w:val="00A77EC2"/>
    <w:rsid w:val="00A8007D"/>
    <w:rsid w:val="00A80761"/>
    <w:rsid w:val="00A80DC8"/>
    <w:rsid w:val="00A812F5"/>
    <w:rsid w:val="00A814C5"/>
    <w:rsid w:val="00A81C20"/>
    <w:rsid w:val="00A81C21"/>
    <w:rsid w:val="00A824B4"/>
    <w:rsid w:val="00A82953"/>
    <w:rsid w:val="00A82B2C"/>
    <w:rsid w:val="00A8339C"/>
    <w:rsid w:val="00A833A8"/>
    <w:rsid w:val="00A83D36"/>
    <w:rsid w:val="00A8427B"/>
    <w:rsid w:val="00A84B23"/>
    <w:rsid w:val="00A84B4C"/>
    <w:rsid w:val="00A85897"/>
    <w:rsid w:val="00A86E22"/>
    <w:rsid w:val="00A87174"/>
    <w:rsid w:val="00A87279"/>
    <w:rsid w:val="00A87E95"/>
    <w:rsid w:val="00A900FE"/>
    <w:rsid w:val="00A92C9A"/>
    <w:rsid w:val="00A9370A"/>
    <w:rsid w:val="00A9440E"/>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96C"/>
    <w:rsid w:val="00AA6E32"/>
    <w:rsid w:val="00AA7023"/>
    <w:rsid w:val="00AB00F1"/>
    <w:rsid w:val="00AB0CE7"/>
    <w:rsid w:val="00AB11B8"/>
    <w:rsid w:val="00AB1223"/>
    <w:rsid w:val="00AB1AAE"/>
    <w:rsid w:val="00AB22DC"/>
    <w:rsid w:val="00AB3569"/>
    <w:rsid w:val="00AB45BF"/>
    <w:rsid w:val="00AB511E"/>
    <w:rsid w:val="00AB5502"/>
    <w:rsid w:val="00AB5C16"/>
    <w:rsid w:val="00AB5C8E"/>
    <w:rsid w:val="00AB628D"/>
    <w:rsid w:val="00AB714B"/>
    <w:rsid w:val="00AC00B1"/>
    <w:rsid w:val="00AC0229"/>
    <w:rsid w:val="00AC088E"/>
    <w:rsid w:val="00AC12CF"/>
    <w:rsid w:val="00AC154D"/>
    <w:rsid w:val="00AC2548"/>
    <w:rsid w:val="00AC3C32"/>
    <w:rsid w:val="00AC3DB8"/>
    <w:rsid w:val="00AC66DE"/>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98A"/>
    <w:rsid w:val="00AE5C7F"/>
    <w:rsid w:val="00AE612D"/>
    <w:rsid w:val="00AF1629"/>
    <w:rsid w:val="00AF2172"/>
    <w:rsid w:val="00AF345A"/>
    <w:rsid w:val="00AF34EE"/>
    <w:rsid w:val="00AF3B8C"/>
    <w:rsid w:val="00AF3E80"/>
    <w:rsid w:val="00AF4CB2"/>
    <w:rsid w:val="00AF4E0C"/>
    <w:rsid w:val="00AF4E17"/>
    <w:rsid w:val="00AF5273"/>
    <w:rsid w:val="00AF5B71"/>
    <w:rsid w:val="00AF67FD"/>
    <w:rsid w:val="00AF6C6B"/>
    <w:rsid w:val="00AF6E07"/>
    <w:rsid w:val="00AF72B1"/>
    <w:rsid w:val="00B0093A"/>
    <w:rsid w:val="00B00949"/>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6FB1"/>
    <w:rsid w:val="00B176C8"/>
    <w:rsid w:val="00B20379"/>
    <w:rsid w:val="00B2074B"/>
    <w:rsid w:val="00B211BD"/>
    <w:rsid w:val="00B21544"/>
    <w:rsid w:val="00B21AB1"/>
    <w:rsid w:val="00B22624"/>
    <w:rsid w:val="00B228FA"/>
    <w:rsid w:val="00B2361C"/>
    <w:rsid w:val="00B23719"/>
    <w:rsid w:val="00B2459C"/>
    <w:rsid w:val="00B25E74"/>
    <w:rsid w:val="00B25FA6"/>
    <w:rsid w:val="00B26009"/>
    <w:rsid w:val="00B26215"/>
    <w:rsid w:val="00B26918"/>
    <w:rsid w:val="00B26C44"/>
    <w:rsid w:val="00B27702"/>
    <w:rsid w:val="00B30025"/>
    <w:rsid w:val="00B30D14"/>
    <w:rsid w:val="00B31114"/>
    <w:rsid w:val="00B313D0"/>
    <w:rsid w:val="00B3156A"/>
    <w:rsid w:val="00B315E1"/>
    <w:rsid w:val="00B315F4"/>
    <w:rsid w:val="00B317DD"/>
    <w:rsid w:val="00B33EBC"/>
    <w:rsid w:val="00B33FC4"/>
    <w:rsid w:val="00B34E8B"/>
    <w:rsid w:val="00B34EFE"/>
    <w:rsid w:val="00B368B1"/>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4EE3"/>
    <w:rsid w:val="00B5501D"/>
    <w:rsid w:val="00B55733"/>
    <w:rsid w:val="00B558B6"/>
    <w:rsid w:val="00B55AEC"/>
    <w:rsid w:val="00B55C20"/>
    <w:rsid w:val="00B56166"/>
    <w:rsid w:val="00B565A9"/>
    <w:rsid w:val="00B5681F"/>
    <w:rsid w:val="00B56F11"/>
    <w:rsid w:val="00B57010"/>
    <w:rsid w:val="00B60E54"/>
    <w:rsid w:val="00B6152A"/>
    <w:rsid w:val="00B61A36"/>
    <w:rsid w:val="00B6219D"/>
    <w:rsid w:val="00B6283D"/>
    <w:rsid w:val="00B62B0D"/>
    <w:rsid w:val="00B62E87"/>
    <w:rsid w:val="00B635E2"/>
    <w:rsid w:val="00B636E6"/>
    <w:rsid w:val="00B64DB8"/>
    <w:rsid w:val="00B65087"/>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386"/>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95C"/>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B76"/>
    <w:rsid w:val="00BB0D35"/>
    <w:rsid w:val="00BB13C5"/>
    <w:rsid w:val="00BB1812"/>
    <w:rsid w:val="00BB23CB"/>
    <w:rsid w:val="00BB2532"/>
    <w:rsid w:val="00BB2686"/>
    <w:rsid w:val="00BB37EA"/>
    <w:rsid w:val="00BB3A96"/>
    <w:rsid w:val="00BB4D08"/>
    <w:rsid w:val="00BB51D8"/>
    <w:rsid w:val="00BB6A68"/>
    <w:rsid w:val="00BB739C"/>
    <w:rsid w:val="00BB7905"/>
    <w:rsid w:val="00BC0108"/>
    <w:rsid w:val="00BC088B"/>
    <w:rsid w:val="00BC1305"/>
    <w:rsid w:val="00BC1C76"/>
    <w:rsid w:val="00BC2587"/>
    <w:rsid w:val="00BC2854"/>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3C9D"/>
    <w:rsid w:val="00BE4773"/>
    <w:rsid w:val="00BE4FDC"/>
    <w:rsid w:val="00BE5DFA"/>
    <w:rsid w:val="00BE6056"/>
    <w:rsid w:val="00BE6217"/>
    <w:rsid w:val="00BE7C10"/>
    <w:rsid w:val="00BF01B9"/>
    <w:rsid w:val="00BF0D7C"/>
    <w:rsid w:val="00BF1235"/>
    <w:rsid w:val="00BF1F39"/>
    <w:rsid w:val="00BF2AD9"/>
    <w:rsid w:val="00BF2FDA"/>
    <w:rsid w:val="00BF5877"/>
    <w:rsid w:val="00BF68A1"/>
    <w:rsid w:val="00BF71B2"/>
    <w:rsid w:val="00BF7AC5"/>
    <w:rsid w:val="00C006E1"/>
    <w:rsid w:val="00C007BB"/>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4F"/>
    <w:rsid w:val="00C11D9D"/>
    <w:rsid w:val="00C11DA4"/>
    <w:rsid w:val="00C1296A"/>
    <w:rsid w:val="00C13E95"/>
    <w:rsid w:val="00C14A18"/>
    <w:rsid w:val="00C14B07"/>
    <w:rsid w:val="00C14BF5"/>
    <w:rsid w:val="00C14D5F"/>
    <w:rsid w:val="00C1502E"/>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570"/>
    <w:rsid w:val="00C50922"/>
    <w:rsid w:val="00C51440"/>
    <w:rsid w:val="00C52089"/>
    <w:rsid w:val="00C536E7"/>
    <w:rsid w:val="00C53E87"/>
    <w:rsid w:val="00C54E60"/>
    <w:rsid w:val="00C55CDE"/>
    <w:rsid w:val="00C565E5"/>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298C"/>
    <w:rsid w:val="00C732D8"/>
    <w:rsid w:val="00C7377B"/>
    <w:rsid w:val="00C737D7"/>
    <w:rsid w:val="00C73886"/>
    <w:rsid w:val="00C73BEE"/>
    <w:rsid w:val="00C73DC4"/>
    <w:rsid w:val="00C74D41"/>
    <w:rsid w:val="00C756FD"/>
    <w:rsid w:val="00C75775"/>
    <w:rsid w:val="00C75C57"/>
    <w:rsid w:val="00C75E60"/>
    <w:rsid w:val="00C76261"/>
    <w:rsid w:val="00C76E4E"/>
    <w:rsid w:val="00C80261"/>
    <w:rsid w:val="00C808D5"/>
    <w:rsid w:val="00C810FC"/>
    <w:rsid w:val="00C812F8"/>
    <w:rsid w:val="00C83651"/>
    <w:rsid w:val="00C83754"/>
    <w:rsid w:val="00C83F2B"/>
    <w:rsid w:val="00C84998"/>
    <w:rsid w:val="00C84EB6"/>
    <w:rsid w:val="00C855DB"/>
    <w:rsid w:val="00C8664F"/>
    <w:rsid w:val="00C9056B"/>
    <w:rsid w:val="00C9111E"/>
    <w:rsid w:val="00C91446"/>
    <w:rsid w:val="00C919AB"/>
    <w:rsid w:val="00C92681"/>
    <w:rsid w:val="00C94994"/>
    <w:rsid w:val="00C94C04"/>
    <w:rsid w:val="00C94ED1"/>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35C4"/>
    <w:rsid w:val="00CA403B"/>
    <w:rsid w:val="00CA476E"/>
    <w:rsid w:val="00CA4B98"/>
    <w:rsid w:val="00CA4BFA"/>
    <w:rsid w:val="00CA5463"/>
    <w:rsid w:val="00CA5A6D"/>
    <w:rsid w:val="00CB15FF"/>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5C8"/>
    <w:rsid w:val="00CC2D5A"/>
    <w:rsid w:val="00CC367C"/>
    <w:rsid w:val="00CC3FEE"/>
    <w:rsid w:val="00CC416D"/>
    <w:rsid w:val="00CC45E5"/>
    <w:rsid w:val="00CC466F"/>
    <w:rsid w:val="00CC55E8"/>
    <w:rsid w:val="00CC5DF0"/>
    <w:rsid w:val="00CC66BB"/>
    <w:rsid w:val="00CC71C6"/>
    <w:rsid w:val="00CC7477"/>
    <w:rsid w:val="00CC7E7D"/>
    <w:rsid w:val="00CD0231"/>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0D1A"/>
    <w:rsid w:val="00CE123E"/>
    <w:rsid w:val="00CE140B"/>
    <w:rsid w:val="00CE2476"/>
    <w:rsid w:val="00CE25CA"/>
    <w:rsid w:val="00CE2CBA"/>
    <w:rsid w:val="00CE302C"/>
    <w:rsid w:val="00CE31BD"/>
    <w:rsid w:val="00CE449A"/>
    <w:rsid w:val="00CE451E"/>
    <w:rsid w:val="00CE4619"/>
    <w:rsid w:val="00CE4BF2"/>
    <w:rsid w:val="00CE5169"/>
    <w:rsid w:val="00CE5E91"/>
    <w:rsid w:val="00CF01EA"/>
    <w:rsid w:val="00CF10EF"/>
    <w:rsid w:val="00CF1F53"/>
    <w:rsid w:val="00CF1FAE"/>
    <w:rsid w:val="00CF3BED"/>
    <w:rsid w:val="00CF4A6D"/>
    <w:rsid w:val="00CF593F"/>
    <w:rsid w:val="00CF5B89"/>
    <w:rsid w:val="00CF6459"/>
    <w:rsid w:val="00CF6510"/>
    <w:rsid w:val="00CF65E5"/>
    <w:rsid w:val="00CF66B8"/>
    <w:rsid w:val="00CF6971"/>
    <w:rsid w:val="00CF6D04"/>
    <w:rsid w:val="00CF7327"/>
    <w:rsid w:val="00CF779F"/>
    <w:rsid w:val="00CF7C57"/>
    <w:rsid w:val="00D000D1"/>
    <w:rsid w:val="00D0041D"/>
    <w:rsid w:val="00D0074A"/>
    <w:rsid w:val="00D00AC1"/>
    <w:rsid w:val="00D00D3F"/>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79"/>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6AA"/>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1FA2"/>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15F0"/>
    <w:rsid w:val="00D8200C"/>
    <w:rsid w:val="00D82C07"/>
    <w:rsid w:val="00D82CE9"/>
    <w:rsid w:val="00D8317A"/>
    <w:rsid w:val="00D84964"/>
    <w:rsid w:val="00D84AEE"/>
    <w:rsid w:val="00D8502A"/>
    <w:rsid w:val="00D850ED"/>
    <w:rsid w:val="00D85E53"/>
    <w:rsid w:val="00D865D9"/>
    <w:rsid w:val="00D86B99"/>
    <w:rsid w:val="00D874E3"/>
    <w:rsid w:val="00D90CED"/>
    <w:rsid w:val="00D9154A"/>
    <w:rsid w:val="00D923F4"/>
    <w:rsid w:val="00D93271"/>
    <w:rsid w:val="00D93F15"/>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99F"/>
    <w:rsid w:val="00DC1C5C"/>
    <w:rsid w:val="00DC2465"/>
    <w:rsid w:val="00DC252B"/>
    <w:rsid w:val="00DC2811"/>
    <w:rsid w:val="00DC458D"/>
    <w:rsid w:val="00DC4BE1"/>
    <w:rsid w:val="00DC5054"/>
    <w:rsid w:val="00DC596B"/>
    <w:rsid w:val="00DC5F95"/>
    <w:rsid w:val="00DC78C5"/>
    <w:rsid w:val="00DC78FE"/>
    <w:rsid w:val="00DC7910"/>
    <w:rsid w:val="00DC7CCB"/>
    <w:rsid w:val="00DD016C"/>
    <w:rsid w:val="00DD054C"/>
    <w:rsid w:val="00DD0822"/>
    <w:rsid w:val="00DD0B1B"/>
    <w:rsid w:val="00DD0CEE"/>
    <w:rsid w:val="00DD1994"/>
    <w:rsid w:val="00DD1BAF"/>
    <w:rsid w:val="00DD2585"/>
    <w:rsid w:val="00DD2826"/>
    <w:rsid w:val="00DD2D97"/>
    <w:rsid w:val="00DD32BB"/>
    <w:rsid w:val="00DD3AC7"/>
    <w:rsid w:val="00DD3C71"/>
    <w:rsid w:val="00DD3CA3"/>
    <w:rsid w:val="00DD3CB3"/>
    <w:rsid w:val="00DD3D23"/>
    <w:rsid w:val="00DD424A"/>
    <w:rsid w:val="00DD476F"/>
    <w:rsid w:val="00DD4BAB"/>
    <w:rsid w:val="00DD4E98"/>
    <w:rsid w:val="00DD53B6"/>
    <w:rsid w:val="00DD5490"/>
    <w:rsid w:val="00DD58B8"/>
    <w:rsid w:val="00DD5EFB"/>
    <w:rsid w:val="00DD618F"/>
    <w:rsid w:val="00DD6646"/>
    <w:rsid w:val="00DD6784"/>
    <w:rsid w:val="00DD7A5E"/>
    <w:rsid w:val="00DD7A78"/>
    <w:rsid w:val="00DE00F6"/>
    <w:rsid w:val="00DE1132"/>
    <w:rsid w:val="00DE1694"/>
    <w:rsid w:val="00DE1E31"/>
    <w:rsid w:val="00DE2C26"/>
    <w:rsid w:val="00DE2CFB"/>
    <w:rsid w:val="00DE414D"/>
    <w:rsid w:val="00DE5048"/>
    <w:rsid w:val="00DE5EAD"/>
    <w:rsid w:val="00DE68DD"/>
    <w:rsid w:val="00DE77DC"/>
    <w:rsid w:val="00DF0FAE"/>
    <w:rsid w:val="00DF1506"/>
    <w:rsid w:val="00DF1F74"/>
    <w:rsid w:val="00DF206D"/>
    <w:rsid w:val="00DF2FA1"/>
    <w:rsid w:val="00DF3A86"/>
    <w:rsid w:val="00DF45E0"/>
    <w:rsid w:val="00DF5862"/>
    <w:rsid w:val="00DF5E93"/>
    <w:rsid w:val="00DF66BB"/>
    <w:rsid w:val="00DF7D55"/>
    <w:rsid w:val="00E004E6"/>
    <w:rsid w:val="00E00E3A"/>
    <w:rsid w:val="00E013E9"/>
    <w:rsid w:val="00E013EF"/>
    <w:rsid w:val="00E017F2"/>
    <w:rsid w:val="00E01B2C"/>
    <w:rsid w:val="00E0267C"/>
    <w:rsid w:val="00E02932"/>
    <w:rsid w:val="00E02CE1"/>
    <w:rsid w:val="00E03960"/>
    <w:rsid w:val="00E03B4B"/>
    <w:rsid w:val="00E043FA"/>
    <w:rsid w:val="00E0468C"/>
    <w:rsid w:val="00E04ACE"/>
    <w:rsid w:val="00E04E12"/>
    <w:rsid w:val="00E069C1"/>
    <w:rsid w:val="00E0725D"/>
    <w:rsid w:val="00E07973"/>
    <w:rsid w:val="00E1063D"/>
    <w:rsid w:val="00E10676"/>
    <w:rsid w:val="00E10E12"/>
    <w:rsid w:val="00E119EA"/>
    <w:rsid w:val="00E11DFA"/>
    <w:rsid w:val="00E123BB"/>
    <w:rsid w:val="00E12B19"/>
    <w:rsid w:val="00E12DB1"/>
    <w:rsid w:val="00E1374F"/>
    <w:rsid w:val="00E13856"/>
    <w:rsid w:val="00E13E2F"/>
    <w:rsid w:val="00E143AB"/>
    <w:rsid w:val="00E14C82"/>
    <w:rsid w:val="00E14DC7"/>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285C"/>
    <w:rsid w:val="00E233B1"/>
    <w:rsid w:val="00E233C9"/>
    <w:rsid w:val="00E23438"/>
    <w:rsid w:val="00E24415"/>
    <w:rsid w:val="00E24986"/>
    <w:rsid w:val="00E24D01"/>
    <w:rsid w:val="00E25521"/>
    <w:rsid w:val="00E25917"/>
    <w:rsid w:val="00E261E0"/>
    <w:rsid w:val="00E26580"/>
    <w:rsid w:val="00E2721C"/>
    <w:rsid w:val="00E27B4B"/>
    <w:rsid w:val="00E311CE"/>
    <w:rsid w:val="00E31BB4"/>
    <w:rsid w:val="00E31D2B"/>
    <w:rsid w:val="00E31E30"/>
    <w:rsid w:val="00E31E40"/>
    <w:rsid w:val="00E32C14"/>
    <w:rsid w:val="00E33520"/>
    <w:rsid w:val="00E33741"/>
    <w:rsid w:val="00E33D3D"/>
    <w:rsid w:val="00E34263"/>
    <w:rsid w:val="00E35EC1"/>
    <w:rsid w:val="00E35F95"/>
    <w:rsid w:val="00E3623E"/>
    <w:rsid w:val="00E369E0"/>
    <w:rsid w:val="00E36F87"/>
    <w:rsid w:val="00E36FAF"/>
    <w:rsid w:val="00E37775"/>
    <w:rsid w:val="00E37879"/>
    <w:rsid w:val="00E37E3F"/>
    <w:rsid w:val="00E4029A"/>
    <w:rsid w:val="00E410B5"/>
    <w:rsid w:val="00E41A0A"/>
    <w:rsid w:val="00E41DFA"/>
    <w:rsid w:val="00E4205C"/>
    <w:rsid w:val="00E42264"/>
    <w:rsid w:val="00E42D1E"/>
    <w:rsid w:val="00E433EA"/>
    <w:rsid w:val="00E43435"/>
    <w:rsid w:val="00E4394F"/>
    <w:rsid w:val="00E44850"/>
    <w:rsid w:val="00E455A1"/>
    <w:rsid w:val="00E45841"/>
    <w:rsid w:val="00E45DF0"/>
    <w:rsid w:val="00E45F05"/>
    <w:rsid w:val="00E46A3A"/>
    <w:rsid w:val="00E47A30"/>
    <w:rsid w:val="00E50E09"/>
    <w:rsid w:val="00E538E8"/>
    <w:rsid w:val="00E540CA"/>
    <w:rsid w:val="00E5440E"/>
    <w:rsid w:val="00E54462"/>
    <w:rsid w:val="00E54583"/>
    <w:rsid w:val="00E55F46"/>
    <w:rsid w:val="00E5633C"/>
    <w:rsid w:val="00E56E97"/>
    <w:rsid w:val="00E56EE4"/>
    <w:rsid w:val="00E60661"/>
    <w:rsid w:val="00E60A17"/>
    <w:rsid w:val="00E621FE"/>
    <w:rsid w:val="00E62CBA"/>
    <w:rsid w:val="00E648F7"/>
    <w:rsid w:val="00E64CC9"/>
    <w:rsid w:val="00E65099"/>
    <w:rsid w:val="00E65E40"/>
    <w:rsid w:val="00E6690D"/>
    <w:rsid w:val="00E67861"/>
    <w:rsid w:val="00E67D3C"/>
    <w:rsid w:val="00E702B9"/>
    <w:rsid w:val="00E71269"/>
    <w:rsid w:val="00E71EAE"/>
    <w:rsid w:val="00E72CD5"/>
    <w:rsid w:val="00E735E9"/>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506"/>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144E"/>
    <w:rsid w:val="00EA2148"/>
    <w:rsid w:val="00EA2C19"/>
    <w:rsid w:val="00EA3031"/>
    <w:rsid w:val="00EA3072"/>
    <w:rsid w:val="00EA3158"/>
    <w:rsid w:val="00EA3B39"/>
    <w:rsid w:val="00EA3BBF"/>
    <w:rsid w:val="00EA3EA7"/>
    <w:rsid w:val="00EA4F63"/>
    <w:rsid w:val="00EA689E"/>
    <w:rsid w:val="00EA7BE2"/>
    <w:rsid w:val="00EA7C5F"/>
    <w:rsid w:val="00EA7FAC"/>
    <w:rsid w:val="00EB0480"/>
    <w:rsid w:val="00EB0E25"/>
    <w:rsid w:val="00EB1A7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38C"/>
    <w:rsid w:val="00ED72E4"/>
    <w:rsid w:val="00ED7403"/>
    <w:rsid w:val="00ED7AA8"/>
    <w:rsid w:val="00ED7E25"/>
    <w:rsid w:val="00EE057C"/>
    <w:rsid w:val="00EE0690"/>
    <w:rsid w:val="00EE0858"/>
    <w:rsid w:val="00EE236A"/>
    <w:rsid w:val="00EE2649"/>
    <w:rsid w:val="00EE296D"/>
    <w:rsid w:val="00EE3015"/>
    <w:rsid w:val="00EE3149"/>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39CA"/>
    <w:rsid w:val="00EF4735"/>
    <w:rsid w:val="00EF58D9"/>
    <w:rsid w:val="00EF58F2"/>
    <w:rsid w:val="00EF60C8"/>
    <w:rsid w:val="00EF6733"/>
    <w:rsid w:val="00EF6AD7"/>
    <w:rsid w:val="00EF7BFF"/>
    <w:rsid w:val="00F006A9"/>
    <w:rsid w:val="00F009EB"/>
    <w:rsid w:val="00F00F0F"/>
    <w:rsid w:val="00F01700"/>
    <w:rsid w:val="00F017FB"/>
    <w:rsid w:val="00F01F7A"/>
    <w:rsid w:val="00F02736"/>
    <w:rsid w:val="00F02A35"/>
    <w:rsid w:val="00F02DE0"/>
    <w:rsid w:val="00F030A2"/>
    <w:rsid w:val="00F0344E"/>
    <w:rsid w:val="00F03930"/>
    <w:rsid w:val="00F04327"/>
    <w:rsid w:val="00F04DD4"/>
    <w:rsid w:val="00F053FC"/>
    <w:rsid w:val="00F05564"/>
    <w:rsid w:val="00F06302"/>
    <w:rsid w:val="00F06444"/>
    <w:rsid w:val="00F079CC"/>
    <w:rsid w:val="00F104BA"/>
    <w:rsid w:val="00F127F0"/>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A7C"/>
    <w:rsid w:val="00F26E77"/>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204"/>
    <w:rsid w:val="00F60D33"/>
    <w:rsid w:val="00F61136"/>
    <w:rsid w:val="00F6166A"/>
    <w:rsid w:val="00F624A5"/>
    <w:rsid w:val="00F62D15"/>
    <w:rsid w:val="00F6398A"/>
    <w:rsid w:val="00F63C51"/>
    <w:rsid w:val="00F6442F"/>
    <w:rsid w:val="00F64C5A"/>
    <w:rsid w:val="00F65A95"/>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108"/>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26AE"/>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A6F"/>
    <w:rsid w:val="00FC2C91"/>
    <w:rsid w:val="00FC3400"/>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CFD"/>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56"/>
    <w:rsid w:val="00FE65C5"/>
    <w:rsid w:val="00FE6DA0"/>
    <w:rsid w:val="00FE770C"/>
    <w:rsid w:val="00FE7C52"/>
    <w:rsid w:val="00FF0C49"/>
    <w:rsid w:val="00FF0FDB"/>
    <w:rsid w:val="00FF1282"/>
    <w:rsid w:val="00FF1339"/>
    <w:rsid w:val="00FF1682"/>
    <w:rsid w:val="00FF33D3"/>
    <w:rsid w:val="00FF479B"/>
    <w:rsid w:val="00FF5100"/>
    <w:rsid w:val="00FF5C53"/>
    <w:rsid w:val="00FF63AC"/>
    <w:rsid w:val="00FF6AA1"/>
    <w:rsid w:val="00FF7776"/>
    <w:rsid w:val="00FF7B95"/>
    <w:rsid w:val="00FF7F4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1CDA5-0016-4E75-AF33-4749E8C3F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15</Pages>
  <Words>5500</Words>
  <Characters>30255</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tjao_personal</cp:lastModifiedBy>
  <cp:revision>24</cp:revision>
  <cp:lastPrinted>2022-06-24T19:43:00Z</cp:lastPrinted>
  <dcterms:created xsi:type="dcterms:W3CDTF">2023-09-01T17:27:00Z</dcterms:created>
  <dcterms:modified xsi:type="dcterms:W3CDTF">2023-10-23T20:46:00Z</dcterms:modified>
</cp:coreProperties>
</file>