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0D175" w14:textId="363FF518" w:rsidR="00F95E73" w:rsidRPr="0086631D" w:rsidRDefault="00F95E73" w:rsidP="00023FE9">
      <w:pPr>
        <w:ind w:left="3402" w:right="51"/>
        <w:jc w:val="both"/>
        <w:rPr>
          <w:rFonts w:ascii="Century Gothic" w:eastAsia="Times New Roman" w:hAnsi="Century Gothic" w:cs="Arial"/>
          <w:bCs/>
          <w:sz w:val="24"/>
          <w:szCs w:val="24"/>
          <w:lang w:val="es-ES_tradnl" w:eastAsia="es-ES"/>
        </w:rPr>
      </w:pPr>
      <w:r w:rsidRPr="0086631D">
        <w:rPr>
          <w:rFonts w:ascii="Century Gothic" w:eastAsia="Times New Roman" w:hAnsi="Century Gothic" w:cs="Arial"/>
          <w:b/>
          <w:sz w:val="24"/>
          <w:szCs w:val="24"/>
          <w:lang w:val="es-ES_tradnl" w:eastAsia="es-ES"/>
        </w:rPr>
        <w:t xml:space="preserve">RECURSO DE REVISIÓN: </w:t>
      </w:r>
      <w:r w:rsidRPr="0086631D">
        <w:rPr>
          <w:rFonts w:ascii="Century Gothic" w:eastAsia="Times New Roman" w:hAnsi="Century Gothic" w:cs="Arial"/>
          <w:sz w:val="24"/>
          <w:szCs w:val="24"/>
          <w:lang w:val="es-ES_tradnl" w:eastAsia="es-ES"/>
        </w:rPr>
        <w:t>0125/2023</w:t>
      </w:r>
      <w:r w:rsidR="00023FE9">
        <w:rPr>
          <w:rFonts w:ascii="Century Gothic" w:eastAsia="Times New Roman" w:hAnsi="Century Gothic" w:cs="Arial"/>
          <w:b/>
          <w:sz w:val="24"/>
          <w:szCs w:val="24"/>
          <w:lang w:val="es-ES_tradnl" w:eastAsia="es-ES"/>
        </w:rPr>
        <w:t>.</w:t>
      </w:r>
    </w:p>
    <w:p w14:paraId="7E2037D0" w14:textId="153BB6F2" w:rsidR="00F95E73" w:rsidRPr="0086631D" w:rsidRDefault="00880D7E" w:rsidP="00023FE9">
      <w:pPr>
        <w:ind w:left="3402" w:right="51"/>
        <w:jc w:val="both"/>
        <w:rPr>
          <w:rFonts w:ascii="Century Gothic" w:eastAsia="Times New Roman" w:hAnsi="Century Gothic" w:cs="Arial"/>
          <w:b/>
          <w:sz w:val="24"/>
          <w:szCs w:val="24"/>
          <w:lang w:val="es-ES_tradnl" w:eastAsia="es-ES"/>
        </w:rPr>
      </w:pPr>
      <w:r>
        <w:rPr>
          <w:rFonts w:ascii="Century Gothic" w:eastAsia="Times New Roman" w:hAnsi="Century Gothic" w:cs="Arial"/>
          <w:b/>
          <w:sz w:val="24"/>
          <w:szCs w:val="24"/>
          <w:lang w:val="es-ES_tradnl" w:eastAsia="es-ES"/>
        </w:rPr>
        <w:t xml:space="preserve">ANTEC: </w:t>
      </w:r>
      <w:r w:rsidR="00F95E73" w:rsidRPr="0086631D">
        <w:rPr>
          <w:rFonts w:ascii="Century Gothic" w:eastAsia="Times New Roman" w:hAnsi="Century Gothic" w:cs="Arial"/>
          <w:b/>
          <w:sz w:val="24"/>
          <w:szCs w:val="24"/>
          <w:lang w:val="es-ES_tradnl" w:eastAsia="es-ES"/>
        </w:rPr>
        <w:t>JUICIO DE NULIDAD:</w:t>
      </w:r>
      <w:r w:rsidR="00F95E73" w:rsidRPr="0086631D">
        <w:rPr>
          <w:rFonts w:ascii="Century Gothic" w:eastAsia="Times New Roman" w:hAnsi="Century Gothic" w:cs="Arial"/>
          <w:bCs/>
          <w:sz w:val="24"/>
          <w:szCs w:val="24"/>
          <w:lang w:val="es-ES_tradnl" w:eastAsia="es-ES"/>
        </w:rPr>
        <w:t xml:space="preserve"> </w:t>
      </w:r>
      <w:r w:rsidR="00F95E73" w:rsidRPr="0086631D">
        <w:rPr>
          <w:rFonts w:ascii="Century Gothic" w:eastAsia="Times New Roman" w:hAnsi="Century Gothic" w:cs="Arial"/>
          <w:b/>
          <w:bCs/>
          <w:sz w:val="24"/>
          <w:szCs w:val="24"/>
          <w:lang w:val="es-ES_tradnl" w:eastAsia="es-ES"/>
        </w:rPr>
        <w:t xml:space="preserve">0160/2020 SEGUNDA SALA UNITARIA DE PRIMERA INSTANCIA DEL TRIBUNAL </w:t>
      </w:r>
      <w:r w:rsidR="00F95E73" w:rsidRPr="0086631D">
        <w:rPr>
          <w:rFonts w:ascii="Century Gothic" w:eastAsia="Times New Roman" w:hAnsi="Century Gothic" w:cs="Arial"/>
          <w:b/>
          <w:sz w:val="24"/>
          <w:szCs w:val="24"/>
          <w:lang w:val="es-ES_tradnl" w:eastAsia="es-ES"/>
        </w:rPr>
        <w:t>DE JUSTICIA ADMINISTRATIVA Y COMBATE A LA CORRUPCIÓN DEL ESTADO DE OAXACA</w:t>
      </w:r>
      <w:r w:rsidR="00F95E73" w:rsidRPr="0086631D">
        <w:rPr>
          <w:rFonts w:ascii="Century Gothic" w:eastAsia="Times New Roman" w:hAnsi="Century Gothic" w:cs="Arial"/>
          <w:b/>
          <w:bCs/>
          <w:sz w:val="24"/>
          <w:szCs w:val="24"/>
          <w:lang w:val="es-ES_tradnl" w:eastAsia="es-ES"/>
        </w:rPr>
        <w:t>.</w:t>
      </w:r>
    </w:p>
    <w:p w14:paraId="350A1D40" w14:textId="77777777" w:rsidR="00F95E73" w:rsidRPr="0086631D" w:rsidRDefault="00F95E73" w:rsidP="00023FE9">
      <w:pPr>
        <w:ind w:left="3402" w:right="51"/>
        <w:jc w:val="both"/>
        <w:rPr>
          <w:rFonts w:ascii="Century Gothic" w:eastAsia="Times New Roman" w:hAnsi="Century Gothic" w:cs="Arial"/>
          <w:bCs/>
          <w:sz w:val="24"/>
          <w:szCs w:val="24"/>
          <w:lang w:val="es-ES_tradnl" w:eastAsia="es-ES"/>
        </w:rPr>
      </w:pPr>
      <w:r w:rsidRPr="0086631D">
        <w:rPr>
          <w:rFonts w:ascii="Century Gothic" w:eastAsia="Times New Roman" w:hAnsi="Century Gothic" w:cs="Arial"/>
          <w:b/>
          <w:sz w:val="24"/>
          <w:szCs w:val="24"/>
          <w:lang w:val="es-ES_tradnl" w:eastAsia="es-ES"/>
        </w:rPr>
        <w:t>RECURRENTE:</w:t>
      </w:r>
      <w:bookmarkStart w:id="0" w:name="_Hlk106885326"/>
      <w:bookmarkStart w:id="1" w:name="_Hlk115266477"/>
      <w:r w:rsidRPr="0086631D">
        <w:rPr>
          <w:rFonts w:ascii="Century Gothic" w:eastAsia="Times New Roman" w:hAnsi="Century Gothic" w:cs="Arial"/>
          <w:sz w:val="24"/>
          <w:szCs w:val="24"/>
          <w:lang w:val="es-ES_tradnl" w:eastAsia="es-ES"/>
        </w:rPr>
        <w:t xml:space="preserve"> </w:t>
      </w:r>
      <w:r w:rsidRPr="0086631D">
        <w:rPr>
          <w:rFonts w:ascii="Century Gothic" w:hAnsi="Century Gothic" w:cs="Arial"/>
          <w:bCs/>
          <w:sz w:val="24"/>
          <w:szCs w:val="24"/>
        </w:rPr>
        <w:t>JOSÉ RUBÉN HERNÁNDEZ MÁRQUEZ POLICÍA VIAL CON NUMERO ESTADÍSTICO PV-131, ADSCRITO A LA SUBDIRECCIÓN DE TRÁNSITO Y MOVILIDAD DEL MUNICIPIO DE OAXACA DE JUÁREZ, OAX.</w:t>
      </w:r>
    </w:p>
    <w:p w14:paraId="6010EF4C" w14:textId="77777777" w:rsidR="00F95E73" w:rsidRPr="0086631D" w:rsidRDefault="00F95E73" w:rsidP="00023FE9">
      <w:pPr>
        <w:ind w:left="3402" w:right="51"/>
        <w:jc w:val="both"/>
        <w:rPr>
          <w:rFonts w:ascii="Century Gothic" w:eastAsia="Times New Roman" w:hAnsi="Century Gothic" w:cs="Arial"/>
          <w:bCs/>
          <w:sz w:val="24"/>
          <w:szCs w:val="24"/>
          <w:lang w:val="es-ES_tradnl" w:eastAsia="es-ES"/>
        </w:rPr>
      </w:pPr>
      <w:r w:rsidRPr="0086631D">
        <w:rPr>
          <w:rFonts w:ascii="Century Gothic" w:eastAsia="Times New Roman" w:hAnsi="Century Gothic" w:cs="Arial"/>
          <w:b/>
          <w:sz w:val="24"/>
          <w:szCs w:val="24"/>
          <w:lang w:val="es-ES_tradnl" w:eastAsia="es-ES"/>
        </w:rPr>
        <w:t>PONENTE:</w:t>
      </w:r>
      <w:r w:rsidRPr="0086631D">
        <w:rPr>
          <w:rFonts w:ascii="Century Gothic" w:eastAsia="Times New Roman" w:hAnsi="Century Gothic" w:cs="Arial"/>
          <w:bCs/>
          <w:sz w:val="24"/>
          <w:szCs w:val="24"/>
          <w:lang w:val="es-ES_tradnl" w:eastAsia="es-ES"/>
        </w:rPr>
        <w:t xml:space="preserve"> MAGISTRADA CRUZ ITZEL ESPINOSA ROJAS</w:t>
      </w:r>
    </w:p>
    <w:p w14:paraId="04B928A7" w14:textId="77777777" w:rsidR="00F95E73" w:rsidRPr="0086631D" w:rsidRDefault="00F95E73" w:rsidP="009576A0">
      <w:pPr>
        <w:ind w:left="2410" w:right="51"/>
        <w:jc w:val="both"/>
        <w:rPr>
          <w:rFonts w:ascii="Century Gothic" w:eastAsia="Times New Roman" w:hAnsi="Century Gothic" w:cs="Arial"/>
          <w:bCs/>
          <w:sz w:val="24"/>
          <w:szCs w:val="24"/>
          <w:lang w:val="es-ES_tradnl" w:eastAsia="es-ES"/>
        </w:rPr>
      </w:pPr>
    </w:p>
    <w:bookmarkEnd w:id="0"/>
    <w:bookmarkEnd w:id="1"/>
    <w:p w14:paraId="0288CA5E" w14:textId="11D9652E" w:rsidR="00023FE9" w:rsidRDefault="00F95E73" w:rsidP="00023FE9">
      <w:pPr>
        <w:widowControl w:val="0"/>
        <w:ind w:right="51" w:firstLine="567"/>
        <w:jc w:val="both"/>
        <w:rPr>
          <w:rFonts w:ascii="Century Gothic" w:eastAsia="Times New Roman" w:hAnsi="Century Gothic" w:cs="Arial"/>
          <w:b/>
          <w:sz w:val="24"/>
          <w:szCs w:val="24"/>
          <w:lang w:val="es-ES" w:eastAsia="es-ES"/>
        </w:rPr>
      </w:pPr>
      <w:r w:rsidRPr="0086631D">
        <w:rPr>
          <w:rFonts w:ascii="Century Gothic" w:eastAsia="Times New Roman" w:hAnsi="Century Gothic" w:cs="Arial"/>
          <w:b/>
          <w:sz w:val="24"/>
          <w:szCs w:val="24"/>
          <w:lang w:val="es-ES" w:eastAsia="es-ES"/>
        </w:rPr>
        <w:t>OAXACA DE JUÁREZ, OAXACA, A</w:t>
      </w:r>
      <w:r w:rsidR="006367C0">
        <w:rPr>
          <w:rFonts w:ascii="Century Gothic" w:eastAsia="Times New Roman" w:hAnsi="Century Gothic" w:cs="Arial"/>
          <w:b/>
          <w:sz w:val="24"/>
          <w:szCs w:val="24"/>
          <w:lang w:val="es-ES" w:eastAsia="es-ES"/>
        </w:rPr>
        <w:t xml:space="preserve"> SIETE </w:t>
      </w:r>
      <w:r w:rsidRPr="0086631D">
        <w:rPr>
          <w:rFonts w:ascii="Century Gothic" w:eastAsia="Times New Roman" w:hAnsi="Century Gothic" w:cs="Arial"/>
          <w:b/>
          <w:sz w:val="24"/>
          <w:szCs w:val="24"/>
          <w:lang w:val="es-ES" w:eastAsia="es-ES"/>
        </w:rPr>
        <w:t>DE SEPTIEMBRE DE DOS MIL VEINTITRÉS.</w:t>
      </w:r>
    </w:p>
    <w:p w14:paraId="53EBF8DA" w14:textId="0055C497" w:rsidR="00F95E73" w:rsidRPr="00023FE9" w:rsidRDefault="00023FE9" w:rsidP="00023FE9">
      <w:pPr>
        <w:widowControl w:val="0"/>
        <w:ind w:right="51" w:firstLine="567"/>
        <w:jc w:val="both"/>
        <w:rPr>
          <w:rFonts w:ascii="Century Gothic" w:eastAsia="Times New Roman" w:hAnsi="Century Gothic" w:cs="Arial"/>
          <w:b/>
          <w:sz w:val="24"/>
          <w:szCs w:val="24"/>
          <w:lang w:val="es-ES" w:eastAsia="es-ES"/>
        </w:rPr>
      </w:pPr>
      <w:r w:rsidRPr="00023FE9">
        <w:rPr>
          <w:rFonts w:ascii="Century Gothic" w:eastAsia="Times New Roman" w:hAnsi="Century Gothic" w:cs="Arial"/>
          <w:bCs/>
          <w:sz w:val="24"/>
          <w:szCs w:val="24"/>
          <w:lang w:val="es-ES" w:eastAsia="es-ES"/>
        </w:rPr>
        <w:t>1.</w:t>
      </w:r>
      <w:r>
        <w:rPr>
          <w:rFonts w:ascii="Century Gothic" w:eastAsia="Times New Roman" w:hAnsi="Century Gothic" w:cs="Arial"/>
          <w:b/>
          <w:sz w:val="24"/>
          <w:szCs w:val="24"/>
          <w:lang w:val="es-ES" w:eastAsia="es-ES"/>
        </w:rPr>
        <w:t xml:space="preserve"> </w:t>
      </w:r>
      <w:r w:rsidR="00880D7E" w:rsidRPr="00AA5039">
        <w:rPr>
          <w:rFonts w:ascii="Century Gothic" w:hAnsi="Century Gothic" w:cs="Arial"/>
          <w:b/>
          <w:bCs/>
          <w:sz w:val="24"/>
          <w:szCs w:val="24"/>
        </w:rPr>
        <w:t xml:space="preserve">ÚNICO. </w:t>
      </w:r>
      <w:r w:rsidR="00880D7E" w:rsidRPr="002C6794">
        <w:rPr>
          <w:rFonts w:ascii="Century Gothic" w:hAnsi="Century Gothic" w:cs="Arial"/>
          <w:b/>
          <w:bCs/>
          <w:sz w:val="24"/>
          <w:szCs w:val="24"/>
        </w:rPr>
        <w:t xml:space="preserve">Remisión </w:t>
      </w:r>
      <w:r w:rsidR="00880D7E" w:rsidRPr="00815101">
        <w:rPr>
          <w:rFonts w:ascii="Century Gothic" w:hAnsi="Century Gothic" w:cs="Arial"/>
          <w:b/>
          <w:bCs/>
          <w:sz w:val="24"/>
          <w:szCs w:val="24"/>
        </w:rPr>
        <w:t>de</w:t>
      </w:r>
      <w:r w:rsidR="00880D7E">
        <w:rPr>
          <w:rFonts w:ascii="Century Gothic" w:hAnsi="Century Gothic" w:cs="Arial"/>
          <w:b/>
          <w:bCs/>
          <w:sz w:val="24"/>
          <w:szCs w:val="24"/>
        </w:rPr>
        <w:t>l recurso</w:t>
      </w:r>
      <w:r w:rsidR="00880D7E">
        <w:rPr>
          <w:rFonts w:ascii="Century Gothic" w:hAnsi="Century Gothic" w:cs="Arial"/>
          <w:sz w:val="24"/>
          <w:szCs w:val="24"/>
        </w:rPr>
        <w:t xml:space="preserve">. </w:t>
      </w:r>
      <w:r w:rsidR="00F95E73" w:rsidRPr="0086631D">
        <w:rPr>
          <w:rFonts w:ascii="Century Gothic" w:hAnsi="Century Gothic" w:cs="Arial"/>
          <w:sz w:val="24"/>
          <w:szCs w:val="24"/>
        </w:rPr>
        <w:t xml:space="preserve">Se tiene por recibido el cuaderno de revisión </w:t>
      </w:r>
      <w:r w:rsidR="00F95E73" w:rsidRPr="0086631D">
        <w:rPr>
          <w:rFonts w:ascii="Century Gothic" w:hAnsi="Century Gothic" w:cs="Arial"/>
          <w:b/>
          <w:sz w:val="24"/>
          <w:szCs w:val="24"/>
        </w:rPr>
        <w:t>0125/2023</w:t>
      </w:r>
      <w:r w:rsidR="00F95E73" w:rsidRPr="0086631D">
        <w:rPr>
          <w:rFonts w:ascii="Century Gothic" w:hAnsi="Century Gothic" w:cs="Arial"/>
          <w:sz w:val="24"/>
          <w:szCs w:val="24"/>
        </w:rPr>
        <w:t xml:space="preserve"> que remite la Secretaría General de Acuerdos, con motivo del recurso de revisión interpuesto por </w:t>
      </w:r>
      <w:r w:rsidR="00106BA6" w:rsidRPr="00106BA6">
        <w:rPr>
          <w:rFonts w:ascii="Century Gothic" w:hAnsi="Century Gothic" w:cs="Arial"/>
          <w:b/>
          <w:bCs/>
          <w:sz w:val="24"/>
          <w:szCs w:val="24"/>
        </w:rPr>
        <w:t>JOSÉ RUBÉN HERNÁNDEZ MÁRQUEZ</w:t>
      </w:r>
      <w:r w:rsidR="00C2110E" w:rsidRPr="00106BA6">
        <w:rPr>
          <w:rFonts w:ascii="Century Gothic" w:hAnsi="Century Gothic" w:cs="Arial"/>
          <w:b/>
          <w:bCs/>
          <w:sz w:val="24"/>
          <w:szCs w:val="24"/>
        </w:rPr>
        <w:t xml:space="preserve"> Policía Vial con nú</w:t>
      </w:r>
      <w:r w:rsidR="00F95E73" w:rsidRPr="00106BA6">
        <w:rPr>
          <w:rFonts w:ascii="Century Gothic" w:hAnsi="Century Gothic" w:cs="Arial"/>
          <w:b/>
          <w:bCs/>
          <w:sz w:val="24"/>
          <w:szCs w:val="24"/>
        </w:rPr>
        <w:t>mero estadístico PV-131, adscrito a la Subdirección de Tránsito y Movilidad del Municipio de Oaxaca de Juárez, Oaxaca</w:t>
      </w:r>
      <w:r w:rsidR="00F95E73" w:rsidRPr="0086631D">
        <w:rPr>
          <w:rFonts w:ascii="Century Gothic" w:hAnsi="Century Gothic" w:cs="Arial"/>
          <w:b/>
          <w:sz w:val="24"/>
          <w:szCs w:val="24"/>
        </w:rPr>
        <w:t>,</w:t>
      </w:r>
      <w:r w:rsidR="00F95E73" w:rsidRPr="0086631D">
        <w:rPr>
          <w:rFonts w:ascii="Century Gothic" w:hAnsi="Century Gothic" w:cs="Arial"/>
          <w:sz w:val="24"/>
          <w:szCs w:val="24"/>
        </w:rPr>
        <w:t xml:space="preserve"> en contra de la sentencia de fecha tres de febrero de dos mil veintitrés, dictada en el expediente </w:t>
      </w:r>
      <w:r w:rsidR="00F95E73" w:rsidRPr="0086631D">
        <w:rPr>
          <w:rFonts w:ascii="Century Gothic" w:hAnsi="Century Gothic" w:cs="Arial"/>
          <w:b/>
          <w:sz w:val="24"/>
          <w:szCs w:val="24"/>
        </w:rPr>
        <w:t>0160/2020</w:t>
      </w:r>
      <w:r w:rsidR="00F95E73" w:rsidRPr="0086631D">
        <w:rPr>
          <w:rFonts w:ascii="Century Gothic" w:hAnsi="Century Gothic" w:cs="Arial"/>
          <w:sz w:val="24"/>
          <w:szCs w:val="24"/>
        </w:rPr>
        <w:t xml:space="preserve"> de la segunda Sala Unitaria de Primera Instancia del Tribunal </w:t>
      </w:r>
      <w:r w:rsidR="00F95E73" w:rsidRPr="0086631D">
        <w:rPr>
          <w:rFonts w:ascii="Century Gothic" w:eastAsia="Times New Roman" w:hAnsi="Century Gothic" w:cs="Arial"/>
          <w:sz w:val="24"/>
          <w:szCs w:val="24"/>
          <w:lang w:val="es-ES_tradnl" w:eastAsia="es-ES"/>
        </w:rPr>
        <w:t>de Justicia Administrativa y Combate a la Corrupción del Estado de Oaxaca</w:t>
      </w:r>
      <w:r w:rsidR="00F95E73" w:rsidRPr="0086631D">
        <w:rPr>
          <w:rFonts w:ascii="Century Gothic" w:eastAsia="Times New Roman" w:hAnsi="Century Gothic" w:cs="Arial"/>
          <w:b/>
          <w:bCs/>
          <w:sz w:val="24"/>
          <w:szCs w:val="24"/>
          <w:lang w:val="es-ES_tradnl" w:eastAsia="es-ES"/>
        </w:rPr>
        <w:t>,</w:t>
      </w:r>
      <w:r w:rsidR="00F95E73" w:rsidRPr="0086631D">
        <w:rPr>
          <w:rFonts w:ascii="Century Gothic" w:eastAsia="Times New Roman" w:hAnsi="Century Gothic" w:cs="Arial"/>
          <w:bCs/>
          <w:sz w:val="24"/>
          <w:szCs w:val="24"/>
          <w:lang w:val="es-ES_tradnl" w:eastAsia="es-ES"/>
        </w:rPr>
        <w:t xml:space="preserve"> </w:t>
      </w:r>
      <w:r w:rsidR="00F95E73" w:rsidRPr="0086631D">
        <w:rPr>
          <w:rFonts w:ascii="Century Gothic" w:hAnsi="Century Gothic" w:cs="Arial"/>
          <w:sz w:val="24"/>
          <w:szCs w:val="24"/>
        </w:rPr>
        <w:t>relativo al juicio de nulidad promovido por</w:t>
      </w:r>
      <w:r w:rsidR="00B911CD">
        <w:rPr>
          <w:rFonts w:ascii="Century Gothic" w:hAnsi="Century Gothic" w:cs="Arial"/>
          <w:sz w:val="24"/>
          <w:szCs w:val="24"/>
        </w:rPr>
        <w:t xml:space="preserve"> </w:t>
      </w:r>
      <w:r w:rsidR="00B911CD">
        <w:rPr>
          <w:rFonts w:ascii="Century Gothic" w:hAnsi="Century Gothic" w:cs="Arial"/>
          <w:b/>
          <w:sz w:val="24"/>
          <w:szCs w:val="24"/>
        </w:rPr>
        <w:t xml:space="preserve">********** </w:t>
      </w:r>
      <w:r w:rsidR="00F95E73" w:rsidRPr="0086631D">
        <w:rPr>
          <w:rFonts w:ascii="Century Gothic" w:hAnsi="Century Gothic" w:cs="Arial"/>
          <w:b/>
          <w:sz w:val="24"/>
          <w:szCs w:val="24"/>
        </w:rPr>
        <w:t xml:space="preserve">; </w:t>
      </w:r>
      <w:r w:rsidR="00F95E73" w:rsidRPr="0086631D">
        <w:rPr>
          <w:rFonts w:ascii="Century Gothic" w:hAnsi="Century Gothic" w:cs="Arial"/>
          <w:sz w:val="24"/>
          <w:szCs w:val="24"/>
        </w:rPr>
        <w:t>por lo que, con fundamento en los artículos 236 y 238 de la Ley de Procedimiento y 24, fracciones I y III de la Ley Orgánica del Tribunal de Justicia Administrativa para el Estado de Oaxaca, se procede a dictar resolución en los siguientes términos:</w:t>
      </w:r>
      <w:r w:rsidR="00880D7E">
        <w:rPr>
          <w:rFonts w:ascii="Century Gothic" w:hAnsi="Century Gothic" w:cs="Arial"/>
          <w:sz w:val="24"/>
          <w:szCs w:val="24"/>
        </w:rPr>
        <w:t xml:space="preserve">- - - - - - - - - - - - - - - - - - - - - - - - - - - - </w:t>
      </w:r>
      <w:r>
        <w:rPr>
          <w:rFonts w:ascii="Century Gothic" w:hAnsi="Century Gothic" w:cs="Arial"/>
          <w:sz w:val="24"/>
          <w:szCs w:val="24"/>
        </w:rPr>
        <w:t>-</w:t>
      </w:r>
    </w:p>
    <w:p w14:paraId="13F5A1B7" w14:textId="4DFCE455" w:rsidR="00CD3B6F" w:rsidRPr="005456B2" w:rsidRDefault="00CD3B6F" w:rsidP="00A745A0">
      <w:pPr>
        <w:tabs>
          <w:tab w:val="center" w:pos="4418"/>
          <w:tab w:val="left" w:pos="6330"/>
        </w:tabs>
        <w:jc w:val="center"/>
        <w:rPr>
          <w:rFonts w:ascii="Century Gothic" w:hAnsi="Century Gothic" w:cs="Arial"/>
          <w:b/>
        </w:rPr>
      </w:pPr>
      <w:r w:rsidRPr="005456B2">
        <w:rPr>
          <w:rFonts w:ascii="Century Gothic" w:hAnsi="Century Gothic" w:cs="Arial"/>
          <w:b/>
        </w:rPr>
        <w:t>GLOSARIO</w:t>
      </w:r>
      <w:r>
        <w:rPr>
          <w:rFonts w:ascii="Century Gothic" w:hAnsi="Century Gothic" w:cs="Arial"/>
          <w:b/>
        </w:rPr>
        <w:t>:</w:t>
      </w:r>
    </w:p>
    <w:tbl>
      <w:tblPr>
        <w:tblStyle w:val="Tablaconcuadrcula"/>
        <w:tblW w:w="0" w:type="auto"/>
        <w:tblLook w:val="04A0" w:firstRow="1" w:lastRow="0" w:firstColumn="1" w:lastColumn="0" w:noHBand="0" w:noVBand="1"/>
      </w:tblPr>
      <w:tblGrid>
        <w:gridCol w:w="3256"/>
        <w:gridCol w:w="5005"/>
      </w:tblGrid>
      <w:tr w:rsidR="00F41B36" w:rsidRPr="005456B2" w14:paraId="6C4092B4" w14:textId="77777777" w:rsidTr="00737980">
        <w:trPr>
          <w:trHeight w:val="655"/>
        </w:trPr>
        <w:tc>
          <w:tcPr>
            <w:tcW w:w="3256" w:type="dxa"/>
          </w:tcPr>
          <w:p w14:paraId="2C58FF0E" w14:textId="77777777" w:rsidR="00F41B36" w:rsidRPr="005456B2" w:rsidRDefault="00F41B36" w:rsidP="00A745A0">
            <w:pPr>
              <w:tabs>
                <w:tab w:val="center" w:pos="4418"/>
                <w:tab w:val="left" w:pos="6330"/>
              </w:tabs>
              <w:spacing w:line="276" w:lineRule="auto"/>
              <w:jc w:val="center"/>
              <w:rPr>
                <w:rFonts w:ascii="Century Gothic" w:hAnsi="Century Gothic" w:cs="Arial"/>
                <w:b/>
                <w:i/>
              </w:rPr>
            </w:pPr>
            <w:r w:rsidRPr="005456B2">
              <w:rPr>
                <w:rFonts w:ascii="Century Gothic" w:hAnsi="Century Gothic" w:cs="Arial"/>
                <w:b/>
                <w:i/>
              </w:rPr>
              <w:t>Constitución Federal:</w:t>
            </w:r>
          </w:p>
        </w:tc>
        <w:tc>
          <w:tcPr>
            <w:tcW w:w="5005" w:type="dxa"/>
          </w:tcPr>
          <w:p w14:paraId="6D3D85BD" w14:textId="77777777" w:rsidR="00F41B36" w:rsidRPr="005456B2" w:rsidRDefault="00F41B36" w:rsidP="00A745A0">
            <w:pPr>
              <w:tabs>
                <w:tab w:val="center" w:pos="4418"/>
                <w:tab w:val="left" w:pos="6330"/>
              </w:tabs>
              <w:spacing w:line="276" w:lineRule="auto"/>
              <w:jc w:val="center"/>
              <w:rPr>
                <w:rFonts w:ascii="Century Gothic" w:hAnsi="Century Gothic" w:cs="Arial"/>
              </w:rPr>
            </w:pPr>
            <w:r w:rsidRPr="005456B2">
              <w:rPr>
                <w:rFonts w:ascii="Century Gothic" w:hAnsi="Century Gothic" w:cs="Arial"/>
              </w:rPr>
              <w:t>Constitución Política de los Estados Unidos Mexicanos.</w:t>
            </w:r>
          </w:p>
        </w:tc>
      </w:tr>
      <w:tr w:rsidR="00F41B36" w:rsidRPr="005456B2" w14:paraId="47E80C23" w14:textId="77777777" w:rsidTr="00737980">
        <w:tc>
          <w:tcPr>
            <w:tcW w:w="3256" w:type="dxa"/>
          </w:tcPr>
          <w:p w14:paraId="0448E4BA" w14:textId="77777777" w:rsidR="00F41B36" w:rsidRPr="005456B2" w:rsidRDefault="00F41B36" w:rsidP="00A745A0">
            <w:pPr>
              <w:tabs>
                <w:tab w:val="center" w:pos="4418"/>
                <w:tab w:val="left" w:pos="6330"/>
              </w:tabs>
              <w:spacing w:line="276" w:lineRule="auto"/>
              <w:jc w:val="center"/>
              <w:rPr>
                <w:rFonts w:ascii="Century Gothic" w:hAnsi="Century Gothic" w:cs="Arial"/>
                <w:b/>
                <w:i/>
              </w:rPr>
            </w:pPr>
            <w:r w:rsidRPr="005456B2">
              <w:rPr>
                <w:rFonts w:ascii="Century Gothic" w:hAnsi="Century Gothic" w:cs="Arial"/>
                <w:b/>
                <w:i/>
              </w:rPr>
              <w:t>Constitución Local:</w:t>
            </w:r>
          </w:p>
        </w:tc>
        <w:tc>
          <w:tcPr>
            <w:tcW w:w="5005" w:type="dxa"/>
          </w:tcPr>
          <w:p w14:paraId="7B7B653F" w14:textId="77777777" w:rsidR="00F41B36" w:rsidRPr="005456B2" w:rsidRDefault="00F41B36" w:rsidP="00A745A0">
            <w:pPr>
              <w:tabs>
                <w:tab w:val="center" w:pos="4418"/>
                <w:tab w:val="left" w:pos="6330"/>
              </w:tabs>
              <w:spacing w:line="276" w:lineRule="auto"/>
              <w:jc w:val="center"/>
              <w:rPr>
                <w:rFonts w:ascii="Century Gothic" w:hAnsi="Century Gothic" w:cs="Arial"/>
              </w:rPr>
            </w:pPr>
            <w:r w:rsidRPr="005456B2">
              <w:rPr>
                <w:rFonts w:ascii="Century Gothic" w:hAnsi="Century Gothic" w:cs="Arial"/>
              </w:rPr>
              <w:t>Constitución Política del Estado Libre y Soberano de Oaxaca.</w:t>
            </w:r>
          </w:p>
        </w:tc>
      </w:tr>
      <w:tr w:rsidR="00F41B36" w:rsidRPr="005456B2" w14:paraId="5B81E66B" w14:textId="77777777" w:rsidTr="00737980">
        <w:tc>
          <w:tcPr>
            <w:tcW w:w="3256" w:type="dxa"/>
          </w:tcPr>
          <w:p w14:paraId="2C266412" w14:textId="77777777" w:rsidR="00F41B36" w:rsidRPr="005456B2" w:rsidRDefault="00F41B36" w:rsidP="00A745A0">
            <w:pPr>
              <w:tabs>
                <w:tab w:val="center" w:pos="4418"/>
                <w:tab w:val="left" w:pos="6330"/>
              </w:tabs>
              <w:spacing w:line="276" w:lineRule="auto"/>
              <w:jc w:val="center"/>
              <w:rPr>
                <w:rFonts w:ascii="Century Gothic" w:hAnsi="Century Gothic" w:cs="Arial"/>
                <w:b/>
                <w:i/>
              </w:rPr>
            </w:pPr>
            <w:r w:rsidRPr="005456B2">
              <w:rPr>
                <w:rFonts w:ascii="Century Gothic" w:hAnsi="Century Gothic" w:cs="Arial"/>
                <w:b/>
                <w:i/>
              </w:rPr>
              <w:t>Ley de Procedimiento:</w:t>
            </w:r>
          </w:p>
        </w:tc>
        <w:tc>
          <w:tcPr>
            <w:tcW w:w="5005" w:type="dxa"/>
          </w:tcPr>
          <w:p w14:paraId="57D9D9B5" w14:textId="49AB10BF" w:rsidR="00F41B36" w:rsidRPr="005456B2" w:rsidRDefault="00F41B36" w:rsidP="00A745A0">
            <w:pPr>
              <w:tabs>
                <w:tab w:val="center" w:pos="4418"/>
                <w:tab w:val="left" w:pos="6330"/>
              </w:tabs>
              <w:spacing w:line="276" w:lineRule="auto"/>
              <w:jc w:val="center"/>
              <w:rPr>
                <w:rFonts w:ascii="Century Gothic" w:hAnsi="Century Gothic" w:cs="Arial"/>
              </w:rPr>
            </w:pPr>
            <w:r w:rsidRPr="005456B2">
              <w:rPr>
                <w:rFonts w:ascii="Century Gothic" w:hAnsi="Century Gothic" w:cs="Arial"/>
              </w:rPr>
              <w:t>Ley de Procedimiento</w:t>
            </w:r>
            <w:r w:rsidR="006A5328">
              <w:rPr>
                <w:rFonts w:ascii="Century Gothic" w:hAnsi="Century Gothic" w:cs="Arial"/>
              </w:rPr>
              <w:t>s</w:t>
            </w:r>
            <w:r w:rsidRPr="005456B2">
              <w:rPr>
                <w:rFonts w:ascii="Century Gothic" w:hAnsi="Century Gothic" w:cs="Arial"/>
              </w:rPr>
              <w:t xml:space="preserve"> y Justicia Administrativa para el Estado de Oaxaca.</w:t>
            </w:r>
          </w:p>
        </w:tc>
      </w:tr>
      <w:tr w:rsidR="00F41B36" w:rsidRPr="005456B2" w14:paraId="0930A50D" w14:textId="77777777" w:rsidTr="00737980">
        <w:tc>
          <w:tcPr>
            <w:tcW w:w="3256" w:type="dxa"/>
          </w:tcPr>
          <w:p w14:paraId="217185C4" w14:textId="20606338" w:rsidR="00F41B36" w:rsidRPr="005456B2" w:rsidRDefault="00C44DB6" w:rsidP="00A745A0">
            <w:pPr>
              <w:tabs>
                <w:tab w:val="center" w:pos="4418"/>
                <w:tab w:val="left" w:pos="6330"/>
              </w:tabs>
              <w:spacing w:line="276" w:lineRule="auto"/>
              <w:jc w:val="center"/>
              <w:rPr>
                <w:rFonts w:ascii="Century Gothic" w:hAnsi="Century Gothic" w:cs="Arial"/>
                <w:b/>
                <w:i/>
              </w:rPr>
            </w:pPr>
            <w:r>
              <w:rPr>
                <w:rFonts w:ascii="Century Gothic" w:hAnsi="Century Gothic" w:cs="Arial"/>
                <w:b/>
                <w:i/>
              </w:rPr>
              <w:t>Reglamento:</w:t>
            </w:r>
          </w:p>
        </w:tc>
        <w:tc>
          <w:tcPr>
            <w:tcW w:w="5005" w:type="dxa"/>
          </w:tcPr>
          <w:p w14:paraId="1B258373" w14:textId="4050DCA9" w:rsidR="00F41B36" w:rsidRPr="005456B2" w:rsidRDefault="00C44DB6" w:rsidP="00A745A0">
            <w:pPr>
              <w:tabs>
                <w:tab w:val="center" w:pos="4418"/>
                <w:tab w:val="left" w:pos="6330"/>
              </w:tabs>
              <w:spacing w:line="276" w:lineRule="auto"/>
              <w:jc w:val="center"/>
              <w:rPr>
                <w:rFonts w:ascii="Century Gothic" w:hAnsi="Century Gothic" w:cs="Arial"/>
                <w:b/>
              </w:rPr>
            </w:pPr>
            <w:r w:rsidRPr="00C44DB6">
              <w:rPr>
                <w:rFonts w:ascii="Century Gothic" w:hAnsi="Century Gothic" w:cs="Arial"/>
              </w:rPr>
              <w:t>Reglamento de Vialidad para el Municipio de Oaxaca de Juárez</w:t>
            </w:r>
          </w:p>
        </w:tc>
      </w:tr>
    </w:tbl>
    <w:p w14:paraId="1EB69758" w14:textId="6EAB01CE" w:rsidR="00F95E73" w:rsidRDefault="00F95E73" w:rsidP="00A745A0">
      <w:pPr>
        <w:ind w:firstLine="708"/>
        <w:jc w:val="center"/>
        <w:rPr>
          <w:rFonts w:ascii="Century Gothic" w:hAnsi="Century Gothic" w:cs="Arial"/>
          <w:b/>
          <w:bCs/>
          <w:sz w:val="24"/>
          <w:szCs w:val="24"/>
        </w:rPr>
      </w:pPr>
    </w:p>
    <w:p w14:paraId="317121F7" w14:textId="10FFF154" w:rsidR="009576A0" w:rsidRDefault="009576A0" w:rsidP="00A745A0">
      <w:pPr>
        <w:ind w:firstLine="708"/>
        <w:jc w:val="center"/>
        <w:rPr>
          <w:rFonts w:ascii="Century Gothic" w:hAnsi="Century Gothic" w:cs="Arial"/>
          <w:b/>
          <w:bCs/>
          <w:sz w:val="24"/>
          <w:szCs w:val="24"/>
        </w:rPr>
      </w:pPr>
    </w:p>
    <w:p w14:paraId="45D9DDF6" w14:textId="77777777" w:rsidR="009576A0" w:rsidRPr="0086631D" w:rsidRDefault="009576A0" w:rsidP="00A745A0">
      <w:pPr>
        <w:ind w:firstLine="708"/>
        <w:jc w:val="center"/>
        <w:rPr>
          <w:rFonts w:ascii="Century Gothic" w:hAnsi="Century Gothic" w:cs="Arial"/>
          <w:b/>
          <w:bCs/>
          <w:sz w:val="24"/>
          <w:szCs w:val="24"/>
        </w:rPr>
      </w:pPr>
    </w:p>
    <w:p w14:paraId="5DD8BDC5" w14:textId="604F99AD" w:rsidR="00F95E73" w:rsidRPr="00F353FC" w:rsidRDefault="00F95E73" w:rsidP="00A745A0">
      <w:pPr>
        <w:ind w:firstLine="708"/>
        <w:jc w:val="center"/>
        <w:rPr>
          <w:rFonts w:ascii="Century Gothic" w:hAnsi="Century Gothic" w:cs="Arial"/>
          <w:b/>
          <w:bCs/>
          <w:sz w:val="24"/>
          <w:szCs w:val="24"/>
        </w:rPr>
      </w:pPr>
      <w:r w:rsidRPr="00F353FC">
        <w:rPr>
          <w:rFonts w:ascii="Century Gothic" w:hAnsi="Century Gothic" w:cs="Arial"/>
          <w:b/>
          <w:bCs/>
          <w:sz w:val="24"/>
          <w:szCs w:val="24"/>
        </w:rPr>
        <w:t>R E S U L T A N D O</w:t>
      </w:r>
    </w:p>
    <w:p w14:paraId="42EA228D" w14:textId="392AA712" w:rsidR="008E0F19" w:rsidRDefault="008E0F19" w:rsidP="008E0F19">
      <w:pPr>
        <w:pStyle w:val="Prrafodelista"/>
        <w:spacing w:after="120"/>
        <w:ind w:left="1428" w:right="-376"/>
        <w:jc w:val="both"/>
        <w:rPr>
          <w:rFonts w:ascii="Century Gothic" w:hAnsi="Century Gothic" w:cs="Arial"/>
          <w:b/>
          <w:bCs/>
          <w:sz w:val="24"/>
          <w:szCs w:val="24"/>
        </w:rPr>
      </w:pPr>
      <w:r>
        <w:rPr>
          <w:rFonts w:ascii="Century Gothic" w:hAnsi="Century Gothic" w:cs="Arial"/>
          <w:sz w:val="24"/>
          <w:szCs w:val="24"/>
        </w:rPr>
        <w:t>2</w:t>
      </w:r>
      <w:r w:rsidRPr="008E0F19">
        <w:rPr>
          <w:rFonts w:ascii="Century Gothic" w:hAnsi="Century Gothic" w:cs="Arial"/>
          <w:sz w:val="24"/>
          <w:szCs w:val="24"/>
        </w:rPr>
        <w:t>.</w:t>
      </w:r>
      <w:r>
        <w:rPr>
          <w:rFonts w:ascii="Century Gothic" w:hAnsi="Century Gothic" w:cs="Arial"/>
          <w:b/>
          <w:bCs/>
          <w:sz w:val="24"/>
          <w:szCs w:val="24"/>
        </w:rPr>
        <w:t xml:space="preserve"> </w:t>
      </w:r>
      <w:r w:rsidR="00F95E73" w:rsidRPr="00F353FC">
        <w:rPr>
          <w:rFonts w:ascii="Century Gothic" w:hAnsi="Century Gothic" w:cs="Arial"/>
          <w:b/>
          <w:bCs/>
          <w:sz w:val="24"/>
          <w:szCs w:val="24"/>
        </w:rPr>
        <w:t xml:space="preserve">PRIMERO. </w:t>
      </w:r>
      <w:r w:rsidR="00C44DB6" w:rsidRPr="00F353FC">
        <w:rPr>
          <w:rFonts w:ascii="Century Gothic" w:hAnsi="Century Gothic" w:cs="Arial"/>
          <w:b/>
          <w:bCs/>
          <w:sz w:val="24"/>
          <w:szCs w:val="24"/>
        </w:rPr>
        <w:t xml:space="preserve">Antecedentes. </w:t>
      </w:r>
    </w:p>
    <w:p w14:paraId="53BF8773" w14:textId="4120F841" w:rsidR="00207445" w:rsidRPr="00207445" w:rsidRDefault="00207445" w:rsidP="00A745A0">
      <w:pPr>
        <w:pStyle w:val="Prrafodelista"/>
        <w:numPr>
          <w:ilvl w:val="0"/>
          <w:numId w:val="16"/>
        </w:numPr>
        <w:spacing w:after="120"/>
        <w:ind w:right="-376"/>
        <w:jc w:val="both"/>
        <w:rPr>
          <w:rFonts w:ascii="Century Gothic" w:hAnsi="Century Gothic" w:cs="Arial"/>
          <w:b/>
          <w:bCs/>
          <w:sz w:val="24"/>
          <w:szCs w:val="24"/>
        </w:rPr>
      </w:pPr>
      <w:r w:rsidRPr="00F353FC">
        <w:rPr>
          <w:rFonts w:ascii="Century Gothic" w:hAnsi="Century Gothic" w:cs="Arial"/>
          <w:b/>
          <w:bCs/>
          <w:sz w:val="24"/>
          <w:szCs w:val="24"/>
        </w:rPr>
        <w:t>Por medio</w:t>
      </w:r>
      <w:r w:rsidRPr="00207445">
        <w:rPr>
          <w:rFonts w:ascii="Century Gothic" w:hAnsi="Century Gothic" w:cs="Arial"/>
          <w:b/>
          <w:bCs/>
          <w:sz w:val="24"/>
          <w:szCs w:val="24"/>
        </w:rPr>
        <w:t xml:space="preserve"> del escrito de fecha </w:t>
      </w:r>
      <w:r w:rsidRPr="00207445">
        <w:rPr>
          <w:rFonts w:ascii="Century Gothic" w:hAnsi="Century Gothic" w:cs="Arial"/>
          <w:sz w:val="24"/>
          <w:szCs w:val="24"/>
        </w:rPr>
        <w:t xml:space="preserve">tres de noviembre de dos mil veinte, recibido en la Oficialía de partes Común de este Tribunal, se tuvo a la </w:t>
      </w:r>
      <w:r w:rsidRPr="003108AC">
        <w:rPr>
          <w:rFonts w:ascii="Century Gothic" w:hAnsi="Century Gothic" w:cs="Arial"/>
          <w:b/>
          <w:sz w:val="24"/>
          <w:szCs w:val="24"/>
        </w:rPr>
        <w:t xml:space="preserve">C. </w:t>
      </w:r>
      <w:r w:rsidR="00B911CD">
        <w:rPr>
          <w:rFonts w:ascii="Century Gothic" w:hAnsi="Century Gothic" w:cs="Arial"/>
          <w:b/>
          <w:sz w:val="24"/>
          <w:szCs w:val="24"/>
        </w:rPr>
        <w:t>**********</w:t>
      </w:r>
      <w:r w:rsidR="005D7E0E" w:rsidRPr="00207445">
        <w:rPr>
          <w:rFonts w:ascii="Century Gothic" w:hAnsi="Century Gothic" w:cs="Arial"/>
          <w:bCs/>
          <w:sz w:val="24"/>
          <w:szCs w:val="24"/>
        </w:rPr>
        <w:t xml:space="preserve">, </w:t>
      </w:r>
      <w:r w:rsidRPr="00207445">
        <w:rPr>
          <w:rFonts w:ascii="Century Gothic" w:hAnsi="Century Gothic" w:cs="Arial"/>
          <w:bCs/>
          <w:sz w:val="24"/>
          <w:szCs w:val="24"/>
        </w:rPr>
        <w:t>interponiendo juicio de nulidad en contra de los actos de</w:t>
      </w:r>
      <w:r w:rsidR="005D7E0E" w:rsidRPr="00207445">
        <w:rPr>
          <w:rFonts w:ascii="Century Gothic" w:hAnsi="Century Gothic" w:cs="Arial"/>
          <w:bCs/>
          <w:sz w:val="24"/>
          <w:szCs w:val="24"/>
        </w:rPr>
        <w:t xml:space="preserve"> </w:t>
      </w:r>
      <w:r w:rsidR="005D7E0E" w:rsidRPr="003108AC">
        <w:rPr>
          <w:rFonts w:ascii="Century Gothic" w:hAnsi="Century Gothic" w:cs="Arial"/>
          <w:b/>
          <w:bCs/>
          <w:sz w:val="24"/>
          <w:szCs w:val="24"/>
        </w:rPr>
        <w:t xml:space="preserve">JOSÉ </w:t>
      </w:r>
      <w:r w:rsidR="00E13E64" w:rsidRPr="003108AC">
        <w:rPr>
          <w:rFonts w:ascii="Century Gothic" w:hAnsi="Century Gothic" w:cs="Arial"/>
          <w:b/>
          <w:bCs/>
          <w:sz w:val="24"/>
          <w:szCs w:val="24"/>
        </w:rPr>
        <w:t>RUBÉN</w:t>
      </w:r>
      <w:r w:rsidRPr="003108AC">
        <w:rPr>
          <w:rFonts w:ascii="Century Gothic" w:hAnsi="Century Gothic" w:cs="Arial"/>
          <w:b/>
          <w:bCs/>
          <w:sz w:val="24"/>
          <w:szCs w:val="24"/>
        </w:rPr>
        <w:t xml:space="preserve"> HERNÁNDEZ MÁRQUEZ</w:t>
      </w:r>
      <w:r w:rsidR="005D7E0E" w:rsidRPr="00207445">
        <w:rPr>
          <w:rFonts w:ascii="Century Gothic" w:hAnsi="Century Gothic" w:cs="Arial"/>
          <w:bCs/>
          <w:sz w:val="24"/>
          <w:szCs w:val="24"/>
        </w:rPr>
        <w:t xml:space="preserve">, </w:t>
      </w:r>
      <w:r w:rsidRPr="00207445">
        <w:rPr>
          <w:rFonts w:ascii="Century Gothic" w:hAnsi="Century Gothic" w:cs="Arial"/>
          <w:bCs/>
          <w:sz w:val="24"/>
          <w:szCs w:val="24"/>
        </w:rPr>
        <w:t>Policía Vial con nú</w:t>
      </w:r>
      <w:r w:rsidR="005D7E0E" w:rsidRPr="00207445">
        <w:rPr>
          <w:rFonts w:ascii="Century Gothic" w:hAnsi="Century Gothic" w:cs="Arial"/>
          <w:bCs/>
          <w:sz w:val="24"/>
          <w:szCs w:val="24"/>
        </w:rPr>
        <w:t xml:space="preserve">mero </w:t>
      </w:r>
      <w:r w:rsidRPr="00207445">
        <w:rPr>
          <w:rFonts w:ascii="Century Gothic" w:hAnsi="Century Gothic" w:cs="Arial"/>
          <w:bCs/>
          <w:sz w:val="24"/>
          <w:szCs w:val="24"/>
        </w:rPr>
        <w:t>estadístico</w:t>
      </w:r>
      <w:r w:rsidR="005D7E0E" w:rsidRPr="00207445">
        <w:rPr>
          <w:rFonts w:ascii="Century Gothic" w:hAnsi="Century Gothic" w:cs="Arial"/>
          <w:bCs/>
          <w:sz w:val="24"/>
          <w:szCs w:val="24"/>
        </w:rPr>
        <w:t xml:space="preserve"> PV-131, ad</w:t>
      </w:r>
      <w:r w:rsidRPr="00207445">
        <w:rPr>
          <w:rFonts w:ascii="Century Gothic" w:hAnsi="Century Gothic" w:cs="Arial"/>
          <w:bCs/>
          <w:sz w:val="24"/>
          <w:szCs w:val="24"/>
        </w:rPr>
        <w:t xml:space="preserve">scrito a la </w:t>
      </w:r>
      <w:r w:rsidR="005D7E0E" w:rsidRPr="00207445">
        <w:rPr>
          <w:rFonts w:ascii="Century Gothic" w:hAnsi="Century Gothic" w:cs="Arial"/>
          <w:bCs/>
          <w:sz w:val="24"/>
          <w:szCs w:val="24"/>
        </w:rPr>
        <w:t xml:space="preserve">subdirección de Tránsito y </w:t>
      </w:r>
      <w:r w:rsidRPr="00207445">
        <w:rPr>
          <w:rFonts w:ascii="Century Gothic" w:hAnsi="Century Gothic" w:cs="Arial"/>
          <w:bCs/>
          <w:sz w:val="24"/>
          <w:szCs w:val="24"/>
        </w:rPr>
        <w:t>Movilidad</w:t>
      </w:r>
      <w:r w:rsidR="005D7E0E" w:rsidRPr="00207445">
        <w:rPr>
          <w:rFonts w:ascii="Century Gothic" w:hAnsi="Century Gothic" w:cs="Arial"/>
          <w:bCs/>
          <w:sz w:val="24"/>
          <w:szCs w:val="24"/>
        </w:rPr>
        <w:t xml:space="preserve"> del</w:t>
      </w:r>
      <w:r>
        <w:rPr>
          <w:rFonts w:ascii="Century Gothic" w:hAnsi="Century Gothic" w:cs="Arial"/>
          <w:bCs/>
          <w:sz w:val="24"/>
          <w:szCs w:val="24"/>
        </w:rPr>
        <w:t xml:space="preserve"> Municipio de Oaxaca de Juárez, </w:t>
      </w:r>
      <w:r w:rsidR="005D7E0E" w:rsidRPr="00207445">
        <w:rPr>
          <w:rFonts w:ascii="Century Gothic" w:hAnsi="Century Gothic" w:cs="Arial"/>
          <w:bCs/>
          <w:sz w:val="24"/>
          <w:szCs w:val="24"/>
        </w:rPr>
        <w:t>Oaxaca;</w:t>
      </w:r>
      <w:r>
        <w:rPr>
          <w:rFonts w:ascii="Century Gothic" w:hAnsi="Century Gothic" w:cs="Arial"/>
          <w:bCs/>
          <w:sz w:val="24"/>
          <w:szCs w:val="24"/>
        </w:rPr>
        <w:t xml:space="preserve"> consistente en </w:t>
      </w:r>
      <w:r w:rsidRPr="005D7E0E">
        <w:rPr>
          <w:rFonts w:ascii="Century Gothic" w:hAnsi="Century Gothic" w:cs="Arial"/>
          <w:sz w:val="24"/>
          <w:szCs w:val="24"/>
        </w:rPr>
        <w:t>el acta</w:t>
      </w:r>
      <w:r>
        <w:rPr>
          <w:rFonts w:ascii="Century Gothic" w:hAnsi="Century Gothic" w:cs="Arial"/>
          <w:sz w:val="24"/>
          <w:szCs w:val="24"/>
        </w:rPr>
        <w:t xml:space="preserve"> </w:t>
      </w:r>
      <w:r w:rsidRPr="005D7E0E">
        <w:rPr>
          <w:rFonts w:ascii="Century Gothic" w:hAnsi="Century Gothic" w:cs="Arial"/>
          <w:sz w:val="24"/>
          <w:szCs w:val="24"/>
        </w:rPr>
        <w:t xml:space="preserve">de infracción con número de folio 5737 A, de fecha catorce de octubre de dos </w:t>
      </w:r>
      <w:r w:rsidRPr="000E6B0A">
        <w:rPr>
          <w:rFonts w:ascii="Century Gothic" w:hAnsi="Century Gothic" w:cs="Arial"/>
          <w:sz w:val="24"/>
          <w:szCs w:val="24"/>
        </w:rPr>
        <w:t>mil veinte</w:t>
      </w:r>
      <w:r w:rsidR="00E13E64">
        <w:rPr>
          <w:rFonts w:ascii="Century Gothic" w:hAnsi="Century Gothic" w:cs="Arial"/>
          <w:bCs/>
          <w:sz w:val="24"/>
          <w:szCs w:val="24"/>
        </w:rPr>
        <w:t xml:space="preserve"> </w:t>
      </w:r>
      <w:r w:rsidRPr="000E6B0A">
        <w:rPr>
          <w:rFonts w:ascii="Century Gothic" w:hAnsi="Century Gothic" w:cs="Arial"/>
          <w:bCs/>
          <w:sz w:val="24"/>
          <w:szCs w:val="24"/>
        </w:rPr>
        <w:t xml:space="preserve">formándose al respecto el expediente </w:t>
      </w:r>
      <w:r w:rsidR="00564EE5">
        <w:rPr>
          <w:rFonts w:ascii="Century Gothic" w:hAnsi="Century Gothic" w:cs="Arial"/>
          <w:bCs/>
          <w:sz w:val="24"/>
          <w:szCs w:val="24"/>
        </w:rPr>
        <w:t>0</w:t>
      </w:r>
      <w:r w:rsidRPr="000E6B0A">
        <w:rPr>
          <w:rFonts w:ascii="Century Gothic" w:hAnsi="Century Gothic" w:cs="Arial"/>
          <w:bCs/>
          <w:sz w:val="24"/>
          <w:szCs w:val="24"/>
        </w:rPr>
        <w:t>160/2020 del</w:t>
      </w:r>
      <w:r>
        <w:rPr>
          <w:rFonts w:ascii="Century Gothic" w:hAnsi="Century Gothic" w:cs="Arial"/>
          <w:bCs/>
          <w:sz w:val="24"/>
          <w:szCs w:val="24"/>
        </w:rPr>
        <w:t xml:space="preserve"> índice de la Segunda Sala Unitaria de Primera Instancia de este Tribunal.</w:t>
      </w:r>
    </w:p>
    <w:p w14:paraId="12E941B8" w14:textId="77777777" w:rsidR="00F353FC" w:rsidRDefault="005D7E0E" w:rsidP="00A745A0">
      <w:pPr>
        <w:pStyle w:val="Prrafodelista"/>
        <w:numPr>
          <w:ilvl w:val="0"/>
          <w:numId w:val="16"/>
        </w:numPr>
        <w:spacing w:after="120"/>
        <w:ind w:right="-376"/>
        <w:jc w:val="both"/>
        <w:rPr>
          <w:rFonts w:ascii="Century Gothic" w:hAnsi="Century Gothic" w:cs="Arial"/>
          <w:sz w:val="24"/>
          <w:szCs w:val="24"/>
        </w:rPr>
      </w:pPr>
      <w:r w:rsidRPr="005D7E0E">
        <w:rPr>
          <w:rFonts w:ascii="Century Gothic" w:hAnsi="Century Gothic" w:cs="Arial"/>
          <w:sz w:val="24"/>
          <w:szCs w:val="24"/>
        </w:rPr>
        <w:t xml:space="preserve">En auto de fecha tres de marzo de </w:t>
      </w:r>
      <w:r w:rsidR="000E6B0A">
        <w:rPr>
          <w:rFonts w:ascii="Century Gothic" w:hAnsi="Century Gothic" w:cs="Arial"/>
          <w:sz w:val="24"/>
          <w:szCs w:val="24"/>
        </w:rPr>
        <w:t>dos mil veintiuno</w:t>
      </w:r>
      <w:r w:rsidRPr="005D7E0E">
        <w:rPr>
          <w:rFonts w:ascii="Century Gothic" w:hAnsi="Century Gothic" w:cs="Arial"/>
          <w:sz w:val="24"/>
          <w:szCs w:val="24"/>
        </w:rPr>
        <w:t xml:space="preserve">, </w:t>
      </w:r>
      <w:r w:rsidRPr="000E6B0A">
        <w:rPr>
          <w:rFonts w:ascii="Century Gothic" w:hAnsi="Century Gothic" w:cs="Arial"/>
          <w:sz w:val="24"/>
          <w:szCs w:val="24"/>
        </w:rPr>
        <w:t>se tuvo a la</w:t>
      </w:r>
      <w:r w:rsidR="00207445" w:rsidRPr="000E6B0A">
        <w:rPr>
          <w:rFonts w:ascii="Century Gothic" w:hAnsi="Century Gothic" w:cs="Arial"/>
          <w:sz w:val="24"/>
          <w:szCs w:val="24"/>
        </w:rPr>
        <w:t xml:space="preserve"> </w:t>
      </w:r>
      <w:r w:rsidRPr="000E6B0A">
        <w:rPr>
          <w:rFonts w:ascii="Century Gothic" w:hAnsi="Century Gothic" w:cs="Arial"/>
          <w:sz w:val="24"/>
          <w:szCs w:val="24"/>
        </w:rPr>
        <w:t>autoridad demandada dando contestación a la demanda instaurada en su contra en</w:t>
      </w:r>
      <w:r w:rsidR="00207445" w:rsidRPr="000E6B0A">
        <w:rPr>
          <w:rFonts w:ascii="Century Gothic" w:hAnsi="Century Gothic" w:cs="Arial"/>
          <w:sz w:val="24"/>
          <w:szCs w:val="24"/>
        </w:rPr>
        <w:t xml:space="preserve"> </w:t>
      </w:r>
      <w:r w:rsidRPr="000E6B0A">
        <w:rPr>
          <w:rFonts w:ascii="Century Gothic" w:hAnsi="Century Gothic" w:cs="Arial"/>
          <w:sz w:val="24"/>
          <w:szCs w:val="24"/>
        </w:rPr>
        <w:t xml:space="preserve">tiempo y forma y en los </w:t>
      </w:r>
      <w:r w:rsidRPr="00FC525C">
        <w:rPr>
          <w:rFonts w:ascii="Century Gothic" w:hAnsi="Century Gothic" w:cs="Arial"/>
          <w:sz w:val="24"/>
          <w:szCs w:val="24"/>
        </w:rPr>
        <w:t>términos en los que lo hizo, ordenando correr traslado a la</w:t>
      </w:r>
      <w:r w:rsidR="00207445" w:rsidRPr="00FC525C">
        <w:rPr>
          <w:rFonts w:ascii="Century Gothic" w:hAnsi="Century Gothic" w:cs="Arial"/>
          <w:sz w:val="24"/>
          <w:szCs w:val="24"/>
        </w:rPr>
        <w:t xml:space="preserve"> </w:t>
      </w:r>
      <w:r w:rsidRPr="00FC525C">
        <w:rPr>
          <w:rFonts w:ascii="Century Gothic" w:hAnsi="Century Gothic" w:cs="Arial"/>
          <w:sz w:val="24"/>
          <w:szCs w:val="24"/>
        </w:rPr>
        <w:t>parte actora para los efectos legales correspondientes.</w:t>
      </w:r>
    </w:p>
    <w:p w14:paraId="5AC12290" w14:textId="3983DE05" w:rsidR="00207445" w:rsidRPr="00F353FC" w:rsidRDefault="005D7E0E" w:rsidP="00A745A0">
      <w:pPr>
        <w:pStyle w:val="Prrafodelista"/>
        <w:numPr>
          <w:ilvl w:val="0"/>
          <w:numId w:val="16"/>
        </w:numPr>
        <w:spacing w:after="120"/>
        <w:ind w:right="-376"/>
        <w:jc w:val="both"/>
        <w:rPr>
          <w:rFonts w:ascii="Century Gothic" w:hAnsi="Century Gothic" w:cs="Arial"/>
          <w:sz w:val="24"/>
          <w:szCs w:val="24"/>
        </w:rPr>
      </w:pPr>
      <w:r w:rsidRPr="00F353FC">
        <w:rPr>
          <w:rFonts w:ascii="Century Gothic" w:hAnsi="Century Gothic" w:cs="Arial"/>
          <w:sz w:val="24"/>
          <w:szCs w:val="24"/>
        </w:rPr>
        <w:t xml:space="preserve">En auto de fecha catorce de abril de </w:t>
      </w:r>
      <w:r w:rsidR="000E6B0A" w:rsidRPr="00F353FC">
        <w:rPr>
          <w:rFonts w:ascii="Century Gothic" w:hAnsi="Century Gothic" w:cs="Arial"/>
          <w:sz w:val="24"/>
          <w:szCs w:val="24"/>
        </w:rPr>
        <w:t>dos mil veintiuno</w:t>
      </w:r>
      <w:r w:rsidRPr="00F353FC">
        <w:rPr>
          <w:rFonts w:ascii="Century Gothic" w:hAnsi="Century Gothic" w:cs="Arial"/>
          <w:sz w:val="24"/>
          <w:szCs w:val="24"/>
        </w:rPr>
        <w:t>, se tuvo por</w:t>
      </w:r>
      <w:r w:rsidR="00207445" w:rsidRPr="00F353FC">
        <w:rPr>
          <w:rFonts w:ascii="Century Gothic" w:hAnsi="Century Gothic" w:cs="Arial"/>
          <w:sz w:val="24"/>
          <w:szCs w:val="24"/>
        </w:rPr>
        <w:t xml:space="preserve"> </w:t>
      </w:r>
      <w:r w:rsidRPr="00F353FC">
        <w:rPr>
          <w:rFonts w:ascii="Century Gothic" w:hAnsi="Century Gothic" w:cs="Arial"/>
          <w:sz w:val="24"/>
          <w:szCs w:val="24"/>
        </w:rPr>
        <w:t>recibido un escrito de la autorizada legal de la parte actora, y en atención a lo</w:t>
      </w:r>
      <w:r w:rsidR="00207445" w:rsidRPr="00F353FC">
        <w:rPr>
          <w:rFonts w:ascii="Century Gothic" w:hAnsi="Century Gothic" w:cs="Arial"/>
          <w:sz w:val="24"/>
          <w:szCs w:val="24"/>
        </w:rPr>
        <w:t xml:space="preserve"> solicitado</w:t>
      </w:r>
      <w:r w:rsidRPr="00F353FC">
        <w:rPr>
          <w:rFonts w:ascii="Century Gothic" w:hAnsi="Century Gothic" w:cs="Arial"/>
          <w:sz w:val="24"/>
          <w:szCs w:val="24"/>
        </w:rPr>
        <w:t>, se señaló fecha y hora para la celebración de la audiencia final.</w:t>
      </w:r>
      <w:r w:rsidR="00207445" w:rsidRPr="00F353FC">
        <w:rPr>
          <w:rFonts w:ascii="Century Gothic" w:hAnsi="Century Gothic" w:cs="Arial"/>
          <w:sz w:val="24"/>
          <w:szCs w:val="24"/>
        </w:rPr>
        <w:t xml:space="preserve"> </w:t>
      </w:r>
    </w:p>
    <w:p w14:paraId="00C751E6" w14:textId="74839DBF" w:rsidR="00FC525C" w:rsidRDefault="002159C8" w:rsidP="00A745A0">
      <w:pPr>
        <w:pStyle w:val="Prrafodelista"/>
        <w:numPr>
          <w:ilvl w:val="0"/>
          <w:numId w:val="16"/>
        </w:numPr>
        <w:spacing w:after="120"/>
        <w:ind w:right="-376"/>
        <w:jc w:val="both"/>
        <w:rPr>
          <w:rFonts w:ascii="Century Gothic" w:hAnsi="Century Gothic" w:cs="Arial"/>
          <w:sz w:val="24"/>
          <w:szCs w:val="24"/>
        </w:rPr>
      </w:pPr>
      <w:r w:rsidRPr="00074E28">
        <w:rPr>
          <w:rFonts w:ascii="Century Gothic" w:hAnsi="Century Gothic" w:cs="Arial"/>
          <w:sz w:val="24"/>
          <w:szCs w:val="24"/>
        </w:rPr>
        <w:t xml:space="preserve">Con fecha tres de febrero de dos mil veintitrés, se emitió resolución dentro del </w:t>
      </w:r>
      <w:r w:rsidRPr="00074E28">
        <w:rPr>
          <w:rFonts w:ascii="Century Gothic" w:hAnsi="Century Gothic" w:cs="Arial"/>
          <w:bCs/>
          <w:sz w:val="24"/>
          <w:szCs w:val="24"/>
        </w:rPr>
        <w:t xml:space="preserve">expediente </w:t>
      </w:r>
      <w:r w:rsidR="00564EE5">
        <w:rPr>
          <w:rFonts w:ascii="Century Gothic" w:hAnsi="Century Gothic" w:cs="Arial"/>
          <w:bCs/>
          <w:sz w:val="24"/>
          <w:szCs w:val="24"/>
        </w:rPr>
        <w:t>0</w:t>
      </w:r>
      <w:r w:rsidRPr="00074E28">
        <w:rPr>
          <w:rFonts w:ascii="Century Gothic" w:hAnsi="Century Gothic" w:cs="Arial"/>
          <w:bCs/>
          <w:sz w:val="24"/>
          <w:szCs w:val="24"/>
        </w:rPr>
        <w:t>160/2020 del índice de la Segunda Sala Unitaria de Primera Instancia de este Tribunal</w:t>
      </w:r>
      <w:r w:rsidR="00074E28" w:rsidRPr="00074E28">
        <w:rPr>
          <w:rFonts w:ascii="Century Gothic" w:hAnsi="Century Gothic" w:cs="Arial"/>
          <w:sz w:val="24"/>
          <w:szCs w:val="24"/>
        </w:rPr>
        <w:t>.</w:t>
      </w:r>
      <w:r w:rsidRPr="00074E28">
        <w:rPr>
          <w:rFonts w:ascii="Century Gothic" w:hAnsi="Century Gothic" w:cs="Arial"/>
          <w:sz w:val="24"/>
          <w:szCs w:val="24"/>
        </w:rPr>
        <w:t xml:space="preserve"> </w:t>
      </w:r>
    </w:p>
    <w:p w14:paraId="554CF997" w14:textId="681C7F32" w:rsidR="00C44DB6" w:rsidRDefault="00074E28" w:rsidP="00023FE9">
      <w:pPr>
        <w:pStyle w:val="Prrafodelista"/>
        <w:numPr>
          <w:ilvl w:val="0"/>
          <w:numId w:val="16"/>
        </w:numPr>
        <w:spacing w:after="120"/>
        <w:ind w:right="-376"/>
        <w:jc w:val="both"/>
        <w:rPr>
          <w:rFonts w:ascii="Century Gothic" w:hAnsi="Century Gothic" w:cs="Arial"/>
          <w:sz w:val="24"/>
          <w:szCs w:val="24"/>
        </w:rPr>
      </w:pPr>
      <w:r w:rsidRPr="00074E28">
        <w:rPr>
          <w:rFonts w:ascii="Century Gothic" w:hAnsi="Century Gothic" w:cs="Arial"/>
          <w:sz w:val="24"/>
          <w:szCs w:val="24"/>
        </w:rPr>
        <w:t xml:space="preserve">Mediante auto de fecha siete de marzo de dos mil veintitrés se tuvo por recibido el oficio DM/DJ/148/2023, </w:t>
      </w:r>
      <w:r>
        <w:rPr>
          <w:rFonts w:ascii="Century Gothic" w:hAnsi="Century Gothic" w:cs="Arial"/>
          <w:sz w:val="24"/>
          <w:szCs w:val="24"/>
        </w:rPr>
        <w:t xml:space="preserve">de fecha veintiocho de febrero del año en curso, </w:t>
      </w:r>
      <w:r w:rsidRPr="00074E28">
        <w:rPr>
          <w:rFonts w:ascii="Century Gothic" w:hAnsi="Century Gothic" w:cs="Arial"/>
          <w:sz w:val="24"/>
          <w:szCs w:val="24"/>
        </w:rPr>
        <w:t xml:space="preserve">suscrito </w:t>
      </w:r>
      <w:r>
        <w:rPr>
          <w:rFonts w:ascii="Century Gothic" w:hAnsi="Century Gothic" w:cs="Arial"/>
          <w:sz w:val="24"/>
          <w:szCs w:val="24"/>
        </w:rPr>
        <w:t xml:space="preserve">por </w:t>
      </w:r>
      <w:r w:rsidRPr="00074E28">
        <w:rPr>
          <w:rFonts w:ascii="Century Gothic" w:hAnsi="Century Gothic" w:cs="Arial"/>
          <w:sz w:val="24"/>
          <w:szCs w:val="24"/>
        </w:rPr>
        <w:t>JOSÉ RUBÉN HERNÁNDEZ MÁRQUEZ, Policía Vial con número estadístico PV-131, adscrito a la Subdirección de Tránsito y Movilidad de la Dirección de Seguridad Pública, Vialidad y Protección Ciudadana del Municipio de Oaxaca de Juárez, Oaxaca</w:t>
      </w:r>
      <w:r>
        <w:rPr>
          <w:rFonts w:ascii="Century Gothic" w:hAnsi="Century Gothic" w:cs="Arial"/>
          <w:sz w:val="24"/>
          <w:szCs w:val="24"/>
        </w:rPr>
        <w:t xml:space="preserve"> por el cual </w:t>
      </w:r>
      <w:r w:rsidRPr="00074E28">
        <w:rPr>
          <w:rFonts w:ascii="Century Gothic" w:hAnsi="Century Gothic" w:cs="Arial"/>
          <w:sz w:val="24"/>
          <w:szCs w:val="24"/>
        </w:rPr>
        <w:t xml:space="preserve">interpone </w:t>
      </w:r>
      <w:r w:rsidR="00C44DB6" w:rsidRPr="00074E28">
        <w:rPr>
          <w:rFonts w:ascii="Century Gothic" w:hAnsi="Century Gothic" w:cs="Arial"/>
          <w:sz w:val="24"/>
          <w:szCs w:val="24"/>
        </w:rPr>
        <w:t>recurso de revisión</w:t>
      </w:r>
      <w:r>
        <w:rPr>
          <w:rFonts w:ascii="Century Gothic" w:hAnsi="Century Gothic" w:cs="Arial"/>
          <w:sz w:val="24"/>
          <w:szCs w:val="24"/>
        </w:rPr>
        <w:t xml:space="preserve"> en contra de la sentencia de fecha tres de febrero de dos mil veintitrés </w:t>
      </w:r>
      <w:r w:rsidR="00F353FC">
        <w:rPr>
          <w:rFonts w:ascii="Century Gothic" w:hAnsi="Century Gothic" w:cs="Arial"/>
          <w:sz w:val="24"/>
          <w:szCs w:val="24"/>
        </w:rPr>
        <w:t>emitida en el juicio de nulidad al rubro indicado</w:t>
      </w:r>
      <w:r w:rsidR="00C44DB6" w:rsidRPr="00F353FC">
        <w:rPr>
          <w:rFonts w:ascii="Century Gothic" w:hAnsi="Century Gothic" w:cs="Arial"/>
          <w:sz w:val="24"/>
          <w:szCs w:val="24"/>
        </w:rPr>
        <w:t>.</w:t>
      </w:r>
    </w:p>
    <w:p w14:paraId="04C54BF0" w14:textId="77777777" w:rsidR="00023FE9" w:rsidRPr="00023FE9" w:rsidRDefault="00023FE9" w:rsidP="00023FE9">
      <w:pPr>
        <w:pStyle w:val="Prrafodelista"/>
        <w:spacing w:after="120"/>
        <w:ind w:left="1428" w:right="-376"/>
        <w:jc w:val="both"/>
        <w:rPr>
          <w:rFonts w:ascii="Century Gothic" w:hAnsi="Century Gothic" w:cs="Arial"/>
          <w:sz w:val="24"/>
          <w:szCs w:val="24"/>
        </w:rPr>
      </w:pPr>
    </w:p>
    <w:p w14:paraId="305327BE" w14:textId="77777777" w:rsidR="008E0F19" w:rsidRDefault="00C44DB6" w:rsidP="00A745A0">
      <w:pPr>
        <w:ind w:firstLine="708"/>
        <w:jc w:val="both"/>
        <w:rPr>
          <w:rFonts w:ascii="Century Gothic" w:hAnsi="Century Gothic" w:cs="Arial"/>
          <w:b/>
          <w:bCs/>
          <w:sz w:val="24"/>
          <w:szCs w:val="24"/>
        </w:rPr>
      </w:pPr>
      <w:r>
        <w:rPr>
          <w:rFonts w:ascii="Century Gothic" w:hAnsi="Century Gothic" w:cs="Arial"/>
          <w:b/>
          <w:bCs/>
          <w:sz w:val="24"/>
          <w:szCs w:val="24"/>
        </w:rPr>
        <w:t>SEGUNDO. Determinación recurrida.</w:t>
      </w:r>
    </w:p>
    <w:p w14:paraId="5EF50E40" w14:textId="0E49F707" w:rsidR="00F95E73" w:rsidRPr="0086631D" w:rsidRDefault="008E0F19" w:rsidP="00A745A0">
      <w:pPr>
        <w:ind w:firstLine="708"/>
        <w:jc w:val="both"/>
        <w:rPr>
          <w:rFonts w:ascii="Century Gothic" w:hAnsi="Century Gothic" w:cs="Arial"/>
          <w:sz w:val="24"/>
          <w:szCs w:val="24"/>
        </w:rPr>
      </w:pPr>
      <w:r w:rsidRPr="008E0F19">
        <w:rPr>
          <w:rFonts w:ascii="Century Gothic" w:hAnsi="Century Gothic" w:cs="Arial"/>
          <w:sz w:val="24"/>
          <w:szCs w:val="24"/>
        </w:rPr>
        <w:t xml:space="preserve">3. </w:t>
      </w:r>
      <w:r w:rsidR="00F95E73" w:rsidRPr="0086631D">
        <w:rPr>
          <w:rFonts w:ascii="Century Gothic" w:hAnsi="Century Gothic" w:cs="Arial"/>
          <w:sz w:val="24"/>
          <w:szCs w:val="24"/>
        </w:rPr>
        <w:t xml:space="preserve">Inconforme con la sentencia de fecha tres de febrero de dos mil veintitrés dictada dentro del juicio de nulidad con número de expediente </w:t>
      </w:r>
      <w:r w:rsidR="00F95E73" w:rsidRPr="0086631D">
        <w:rPr>
          <w:rFonts w:ascii="Century Gothic" w:hAnsi="Century Gothic" w:cs="Arial"/>
          <w:b/>
          <w:sz w:val="24"/>
          <w:szCs w:val="24"/>
        </w:rPr>
        <w:t>0160/2020</w:t>
      </w:r>
      <w:r w:rsidR="00F95E73" w:rsidRPr="0086631D">
        <w:rPr>
          <w:rFonts w:ascii="Century Gothic" w:hAnsi="Century Gothic" w:cs="Arial"/>
          <w:sz w:val="24"/>
          <w:szCs w:val="24"/>
        </w:rPr>
        <w:t xml:space="preserve"> del índice de la </w:t>
      </w:r>
      <w:r w:rsidR="0035505C">
        <w:rPr>
          <w:rFonts w:ascii="Century Gothic" w:hAnsi="Century Gothic" w:cs="Arial"/>
          <w:sz w:val="24"/>
          <w:szCs w:val="24"/>
        </w:rPr>
        <w:t>S</w:t>
      </w:r>
      <w:r w:rsidR="00F95E73" w:rsidRPr="0086631D">
        <w:rPr>
          <w:rFonts w:ascii="Century Gothic" w:hAnsi="Century Gothic" w:cs="Arial"/>
          <w:sz w:val="24"/>
          <w:szCs w:val="24"/>
        </w:rPr>
        <w:t xml:space="preserve">egunda Sala Unitaria de Primera Instancia del Tribunal </w:t>
      </w:r>
      <w:r w:rsidR="00F95E73" w:rsidRPr="0086631D">
        <w:rPr>
          <w:rFonts w:ascii="Century Gothic" w:eastAsia="Times New Roman" w:hAnsi="Century Gothic" w:cs="Arial"/>
          <w:sz w:val="24"/>
          <w:szCs w:val="24"/>
          <w:lang w:val="es-ES_tradnl" w:eastAsia="es-ES"/>
        </w:rPr>
        <w:t>de Justicia Administrativa y Combate a la Corrupción del Estado de Oaxaca</w:t>
      </w:r>
      <w:r w:rsidR="00F95E73" w:rsidRPr="0086631D">
        <w:rPr>
          <w:rFonts w:ascii="Century Gothic" w:hAnsi="Century Gothic" w:cs="Arial"/>
          <w:sz w:val="24"/>
          <w:szCs w:val="24"/>
        </w:rPr>
        <w:t>, la autoridad demandada interpuso en su contra recurso de revisión.</w:t>
      </w:r>
    </w:p>
    <w:p w14:paraId="7A30855D" w14:textId="2CEF0AAC" w:rsidR="00F95E73" w:rsidRPr="0086631D" w:rsidRDefault="00E13363" w:rsidP="00A745A0">
      <w:pPr>
        <w:ind w:firstLine="708"/>
        <w:jc w:val="both"/>
        <w:rPr>
          <w:rFonts w:ascii="Century Gothic" w:hAnsi="Century Gothic" w:cs="Arial"/>
          <w:bCs/>
          <w:sz w:val="24"/>
          <w:szCs w:val="24"/>
        </w:rPr>
      </w:pPr>
      <w:r>
        <w:rPr>
          <w:rFonts w:ascii="Century Gothic" w:hAnsi="Century Gothic" w:cs="Arial"/>
          <w:b/>
          <w:bCs/>
          <w:sz w:val="24"/>
          <w:szCs w:val="24"/>
        </w:rPr>
        <w:t>“</w:t>
      </w:r>
      <w:r w:rsidR="00F95E73" w:rsidRPr="0086631D">
        <w:rPr>
          <w:rFonts w:ascii="Century Gothic" w:hAnsi="Century Gothic" w:cs="Arial"/>
          <w:b/>
          <w:bCs/>
          <w:sz w:val="24"/>
          <w:szCs w:val="24"/>
        </w:rPr>
        <w:t xml:space="preserve">SEGUNDO. </w:t>
      </w:r>
      <w:r w:rsidR="00F95E73" w:rsidRPr="0086631D">
        <w:rPr>
          <w:rFonts w:ascii="Century Gothic" w:hAnsi="Century Gothic" w:cs="Arial"/>
          <w:bCs/>
          <w:sz w:val="24"/>
          <w:szCs w:val="24"/>
        </w:rPr>
        <w:t>Los puntos resolutivos de la sentencia recurrida son los siguientes:</w:t>
      </w:r>
    </w:p>
    <w:p w14:paraId="32793201" w14:textId="38D17A8F" w:rsidR="00F95E73" w:rsidRPr="0086631D" w:rsidRDefault="00F95E73" w:rsidP="00A745A0">
      <w:pPr>
        <w:spacing w:after="0"/>
        <w:ind w:left="567" w:right="616" w:firstLine="284"/>
        <w:jc w:val="both"/>
        <w:rPr>
          <w:rFonts w:ascii="Century Gothic" w:hAnsi="Century Gothic" w:cs="Arial"/>
          <w:i/>
          <w:sz w:val="24"/>
          <w:szCs w:val="24"/>
        </w:rPr>
      </w:pPr>
      <w:r w:rsidRPr="0086631D">
        <w:rPr>
          <w:rFonts w:ascii="Century Gothic" w:hAnsi="Century Gothic"/>
          <w:b/>
          <w:i/>
          <w:sz w:val="24"/>
          <w:szCs w:val="24"/>
        </w:rPr>
        <w:lastRenderedPageBreak/>
        <w:t>“</w:t>
      </w:r>
      <w:r w:rsidRPr="0086631D">
        <w:rPr>
          <w:rFonts w:ascii="Century Gothic" w:hAnsi="Century Gothic" w:cs="Arial"/>
          <w:b/>
          <w:i/>
          <w:sz w:val="24"/>
          <w:szCs w:val="24"/>
        </w:rPr>
        <w:t xml:space="preserve">PRIMERO. </w:t>
      </w:r>
      <w:r w:rsidRPr="0086631D">
        <w:rPr>
          <w:rFonts w:ascii="Century Gothic" w:hAnsi="Century Gothic" w:cs="Arial"/>
          <w:i/>
          <w:sz w:val="24"/>
          <w:szCs w:val="24"/>
        </w:rPr>
        <w:t xml:space="preserve">Esta Segunda Sala Unitaria es competente para conocer y resolver del presente asunto. - - - - - - - - - - - - - - - - - </w:t>
      </w:r>
    </w:p>
    <w:p w14:paraId="6E801585" w14:textId="77777777" w:rsidR="00F95E73" w:rsidRPr="0086631D" w:rsidRDefault="00F95E73" w:rsidP="00A745A0">
      <w:pPr>
        <w:spacing w:after="0"/>
        <w:ind w:left="567" w:right="616" w:firstLine="284"/>
        <w:jc w:val="both"/>
        <w:rPr>
          <w:rFonts w:ascii="Century Gothic" w:hAnsi="Century Gothic" w:cs="Arial"/>
          <w:i/>
          <w:sz w:val="24"/>
          <w:szCs w:val="24"/>
        </w:rPr>
      </w:pPr>
    </w:p>
    <w:p w14:paraId="42C68242" w14:textId="13AFB010" w:rsidR="00F95E73" w:rsidRPr="0086631D" w:rsidRDefault="00F95E73" w:rsidP="00A745A0">
      <w:pPr>
        <w:spacing w:after="0"/>
        <w:ind w:left="567" w:right="616" w:firstLine="284"/>
        <w:jc w:val="both"/>
        <w:rPr>
          <w:rFonts w:ascii="Century Gothic" w:hAnsi="Century Gothic" w:cs="Arial"/>
          <w:i/>
          <w:sz w:val="24"/>
          <w:szCs w:val="24"/>
        </w:rPr>
      </w:pPr>
      <w:r w:rsidRPr="0086631D">
        <w:rPr>
          <w:rFonts w:ascii="Century Gothic" w:hAnsi="Century Gothic" w:cs="Arial"/>
          <w:b/>
          <w:i/>
          <w:sz w:val="24"/>
          <w:szCs w:val="24"/>
        </w:rPr>
        <w:t xml:space="preserve">SEGUNDO. </w:t>
      </w:r>
      <w:r w:rsidRPr="0086631D">
        <w:rPr>
          <w:rFonts w:ascii="Century Gothic" w:hAnsi="Century Gothic" w:cs="Arial"/>
          <w:i/>
          <w:sz w:val="24"/>
          <w:szCs w:val="24"/>
        </w:rPr>
        <w:t xml:space="preserve">La personalidad de las partes </w:t>
      </w:r>
      <w:r w:rsidR="0035505C">
        <w:rPr>
          <w:rFonts w:ascii="Century Gothic" w:hAnsi="Century Gothic" w:cs="Arial"/>
          <w:i/>
          <w:sz w:val="24"/>
          <w:szCs w:val="24"/>
        </w:rPr>
        <w:t xml:space="preserve">quedó </w:t>
      </w:r>
      <w:r w:rsidRPr="0086631D">
        <w:rPr>
          <w:rFonts w:ascii="Century Gothic" w:hAnsi="Century Gothic" w:cs="Arial"/>
          <w:i/>
          <w:sz w:val="24"/>
          <w:szCs w:val="24"/>
        </w:rPr>
        <w:t xml:space="preserve">asentada en autos, dentro del considerando SEGUNDO de la presente resolución. - - - - - - - - - - - - - - - - - - - - - - - - - - - - - - - - - - - - - - - - </w:t>
      </w:r>
    </w:p>
    <w:p w14:paraId="547FEA07" w14:textId="77777777" w:rsidR="00F95E73" w:rsidRPr="0086631D" w:rsidRDefault="00F95E73" w:rsidP="00A745A0">
      <w:pPr>
        <w:spacing w:after="0"/>
        <w:ind w:left="567" w:right="616" w:firstLine="284"/>
        <w:jc w:val="both"/>
        <w:rPr>
          <w:rFonts w:ascii="Century Gothic" w:hAnsi="Century Gothic" w:cs="Arial"/>
          <w:i/>
          <w:sz w:val="24"/>
          <w:szCs w:val="24"/>
        </w:rPr>
      </w:pPr>
    </w:p>
    <w:p w14:paraId="4A41F665" w14:textId="7127B213" w:rsidR="00F95E73" w:rsidRPr="0086631D" w:rsidRDefault="00F95E73" w:rsidP="00A745A0">
      <w:pPr>
        <w:spacing w:after="0"/>
        <w:ind w:left="567" w:right="616" w:firstLine="284"/>
        <w:jc w:val="both"/>
        <w:rPr>
          <w:rFonts w:ascii="Century Gothic" w:hAnsi="Century Gothic" w:cs="Arial"/>
          <w:i/>
          <w:sz w:val="24"/>
          <w:szCs w:val="24"/>
        </w:rPr>
      </w:pPr>
      <w:r w:rsidRPr="0086631D">
        <w:rPr>
          <w:rFonts w:ascii="Century Gothic" w:hAnsi="Century Gothic" w:cs="Arial"/>
          <w:b/>
          <w:i/>
          <w:sz w:val="24"/>
          <w:szCs w:val="24"/>
        </w:rPr>
        <w:t xml:space="preserve">TERCERO. </w:t>
      </w:r>
      <w:r w:rsidRPr="0086631D">
        <w:rPr>
          <w:rFonts w:ascii="Century Gothic" w:hAnsi="Century Gothic" w:cs="Arial"/>
          <w:i/>
          <w:sz w:val="24"/>
          <w:szCs w:val="24"/>
        </w:rPr>
        <w:t>Esta Sala Unitaria advierte que, en el presente juicio no se configura alguna causal de improcedencia o sobreseimiento, por tanto, NO SE SOBRESEE.</w:t>
      </w:r>
      <w:r w:rsidRPr="0086631D">
        <w:rPr>
          <w:rFonts w:ascii="Century Gothic" w:hAnsi="Century Gothic" w:cs="Arial"/>
          <w:b/>
          <w:i/>
          <w:sz w:val="24"/>
          <w:szCs w:val="24"/>
        </w:rPr>
        <w:t xml:space="preserve"> </w:t>
      </w:r>
      <w:r w:rsidRPr="0086631D">
        <w:rPr>
          <w:rFonts w:ascii="Century Gothic" w:hAnsi="Century Gothic" w:cs="Arial"/>
          <w:i/>
          <w:sz w:val="24"/>
          <w:szCs w:val="24"/>
        </w:rPr>
        <w:t xml:space="preserve"> - - - - - - - - - - - - - </w:t>
      </w:r>
    </w:p>
    <w:p w14:paraId="5F965116" w14:textId="77777777" w:rsidR="00F95E73" w:rsidRPr="0086631D" w:rsidRDefault="00F95E73" w:rsidP="00A745A0">
      <w:pPr>
        <w:spacing w:after="0"/>
        <w:ind w:left="567" w:right="616" w:firstLine="284"/>
        <w:jc w:val="both"/>
        <w:rPr>
          <w:rFonts w:ascii="Century Gothic" w:hAnsi="Century Gothic" w:cs="Arial"/>
          <w:i/>
          <w:sz w:val="24"/>
          <w:szCs w:val="24"/>
        </w:rPr>
      </w:pPr>
    </w:p>
    <w:p w14:paraId="24B1B560" w14:textId="4B25A1B9" w:rsidR="00F95E73" w:rsidRPr="0086631D" w:rsidRDefault="00E25794" w:rsidP="00A745A0">
      <w:pPr>
        <w:spacing w:after="0"/>
        <w:ind w:left="567" w:right="616" w:firstLine="284"/>
        <w:jc w:val="both"/>
        <w:rPr>
          <w:rFonts w:ascii="Century Gothic" w:hAnsi="Century Gothic" w:cs="Arial"/>
          <w:i/>
          <w:sz w:val="24"/>
          <w:szCs w:val="24"/>
        </w:rPr>
      </w:pPr>
      <w:r w:rsidRPr="0086631D">
        <w:rPr>
          <w:rFonts w:ascii="Century Gothic" w:hAnsi="Century Gothic" w:cs="Arial"/>
          <w:b/>
          <w:i/>
          <w:sz w:val="24"/>
          <w:szCs w:val="24"/>
        </w:rPr>
        <w:t xml:space="preserve">CUARTO. </w:t>
      </w:r>
      <w:r w:rsidRPr="0086631D">
        <w:rPr>
          <w:rFonts w:ascii="Century Gothic" w:hAnsi="Century Gothic" w:cs="Arial"/>
          <w:i/>
          <w:sz w:val="24"/>
          <w:szCs w:val="24"/>
        </w:rPr>
        <w:t xml:space="preserve">Se declara la </w:t>
      </w:r>
      <w:r w:rsidRPr="0086631D">
        <w:rPr>
          <w:rFonts w:ascii="Century Gothic" w:hAnsi="Century Gothic" w:cs="Arial"/>
          <w:b/>
          <w:i/>
          <w:sz w:val="24"/>
          <w:szCs w:val="24"/>
        </w:rPr>
        <w:t>NULIDAD LISA Y LLANA</w:t>
      </w:r>
      <w:r w:rsidRPr="0086631D">
        <w:rPr>
          <w:rFonts w:ascii="Century Gothic" w:hAnsi="Century Gothic" w:cs="Arial"/>
          <w:i/>
          <w:sz w:val="24"/>
          <w:szCs w:val="24"/>
        </w:rPr>
        <w:t xml:space="preserve"> del acta de infracción con número de folio 5737 A, de fecha catorce de octubre de dos mil veinte, emitida por José Rubén Hernández Márquez, Policía Vial con número estadístico PV-131, adscrito a la Subdirección de Tránsito y Movilidad de la Dirección de Seguridad</w:t>
      </w:r>
      <w:r w:rsidR="00FC525C">
        <w:rPr>
          <w:rFonts w:ascii="Century Gothic" w:hAnsi="Century Gothic" w:cs="Arial"/>
          <w:i/>
          <w:sz w:val="24"/>
          <w:szCs w:val="24"/>
        </w:rPr>
        <w:t xml:space="preserve"> </w:t>
      </w:r>
      <w:r w:rsidRPr="0086631D">
        <w:rPr>
          <w:rFonts w:ascii="Century Gothic" w:hAnsi="Century Gothic" w:cs="Arial"/>
          <w:i/>
          <w:sz w:val="24"/>
          <w:szCs w:val="24"/>
        </w:rPr>
        <w:t xml:space="preserve">Pública, Vialidad y Protección Ciudadana del Municipio de Oaxaca de Juárez, Oaxaca, en consecuencia, </w:t>
      </w:r>
      <w:r w:rsidRPr="0086631D">
        <w:rPr>
          <w:rFonts w:ascii="Century Gothic" w:hAnsi="Century Gothic" w:cs="Arial"/>
          <w:i/>
          <w:sz w:val="24"/>
          <w:szCs w:val="24"/>
          <w:u w:val="single"/>
        </w:rPr>
        <w:t>se ordena a esa autoridad demandada para que a través de sí misma o de quien sea legalmente competente, realice la baja de la citada acta de infracción del sistema electrónico y/o documental que para tal efecto lleve esa autoridad</w:t>
      </w:r>
      <w:r w:rsidRPr="0086631D">
        <w:rPr>
          <w:rFonts w:ascii="Century Gothic" w:hAnsi="Century Gothic" w:cs="Arial"/>
          <w:i/>
          <w:sz w:val="24"/>
          <w:szCs w:val="24"/>
        </w:rPr>
        <w:t>, por las razones ya expuestas en el considerando CUARTO de esta sentencia</w:t>
      </w:r>
      <w:r w:rsidR="00F95E73" w:rsidRPr="0086631D">
        <w:rPr>
          <w:rFonts w:ascii="Century Gothic" w:hAnsi="Century Gothic" w:cs="Arial"/>
          <w:i/>
          <w:sz w:val="24"/>
          <w:szCs w:val="24"/>
        </w:rPr>
        <w:t xml:space="preserve">. - - - - - - - - - - - - - - - - - - </w:t>
      </w:r>
      <w:r w:rsidR="003108AC">
        <w:rPr>
          <w:rFonts w:ascii="Century Gothic" w:hAnsi="Century Gothic" w:cs="Arial"/>
          <w:i/>
          <w:sz w:val="24"/>
          <w:szCs w:val="24"/>
        </w:rPr>
        <w:t xml:space="preserve">- - - - - - - - - - - - - - - - - - - - - - - </w:t>
      </w:r>
    </w:p>
    <w:p w14:paraId="640EB5C7" w14:textId="77777777" w:rsidR="00F95E73" w:rsidRPr="0086631D" w:rsidRDefault="00F95E73" w:rsidP="00A745A0">
      <w:pPr>
        <w:spacing w:after="0"/>
        <w:ind w:left="567" w:right="616" w:firstLine="284"/>
        <w:jc w:val="both"/>
        <w:rPr>
          <w:rFonts w:ascii="Century Gothic" w:hAnsi="Century Gothic" w:cs="Arial"/>
          <w:i/>
          <w:sz w:val="24"/>
          <w:szCs w:val="24"/>
        </w:rPr>
      </w:pPr>
    </w:p>
    <w:p w14:paraId="7C7FC969" w14:textId="038A66E7" w:rsidR="00E25794" w:rsidRPr="0086631D" w:rsidRDefault="00F95E73" w:rsidP="00A745A0">
      <w:pPr>
        <w:spacing w:after="0"/>
        <w:ind w:left="567" w:right="616" w:firstLine="284"/>
        <w:jc w:val="both"/>
        <w:rPr>
          <w:rFonts w:ascii="Century Gothic" w:hAnsi="Century Gothic" w:cs="Arial"/>
          <w:b/>
          <w:i/>
          <w:sz w:val="24"/>
          <w:szCs w:val="24"/>
        </w:rPr>
      </w:pPr>
      <w:r w:rsidRPr="0086631D">
        <w:rPr>
          <w:rFonts w:ascii="Century Gothic" w:hAnsi="Century Gothic" w:cs="Arial"/>
          <w:b/>
          <w:i/>
          <w:sz w:val="24"/>
          <w:szCs w:val="24"/>
        </w:rPr>
        <w:t xml:space="preserve">QUINTO. NOTIFÍQUESE </w:t>
      </w:r>
      <w:r w:rsidR="00E25794" w:rsidRPr="0086631D">
        <w:rPr>
          <w:rFonts w:ascii="Century Gothic" w:hAnsi="Century Gothic" w:cs="Arial"/>
          <w:b/>
          <w:i/>
          <w:sz w:val="24"/>
          <w:szCs w:val="24"/>
        </w:rPr>
        <w:t>Y CÚMPLASE.</w:t>
      </w:r>
      <w:r w:rsidR="00E13363">
        <w:rPr>
          <w:rFonts w:ascii="Century Gothic" w:hAnsi="Century Gothic" w:cs="Arial"/>
          <w:b/>
          <w:i/>
          <w:sz w:val="24"/>
          <w:szCs w:val="24"/>
        </w:rPr>
        <w:t>”</w:t>
      </w:r>
    </w:p>
    <w:p w14:paraId="19AF4521" w14:textId="28B4667F" w:rsidR="00E25794" w:rsidRPr="0086631D" w:rsidRDefault="00E25794" w:rsidP="00A745A0">
      <w:pPr>
        <w:spacing w:after="0"/>
        <w:ind w:left="567" w:right="616" w:firstLine="284"/>
        <w:jc w:val="both"/>
        <w:rPr>
          <w:rFonts w:ascii="Century Gothic" w:hAnsi="Century Gothic" w:cs="Arial"/>
          <w:b/>
          <w:i/>
          <w:sz w:val="24"/>
          <w:szCs w:val="24"/>
        </w:rPr>
      </w:pPr>
    </w:p>
    <w:p w14:paraId="5D4070F5" w14:textId="77777777" w:rsidR="00E25794" w:rsidRPr="0086631D" w:rsidRDefault="00E25794" w:rsidP="00A745A0">
      <w:pPr>
        <w:spacing w:after="0"/>
        <w:ind w:left="567" w:right="616" w:firstLine="284"/>
        <w:jc w:val="both"/>
        <w:rPr>
          <w:rFonts w:ascii="Century Gothic" w:hAnsi="Century Gothic" w:cs="Arial"/>
          <w:b/>
          <w:i/>
          <w:sz w:val="24"/>
          <w:szCs w:val="24"/>
        </w:rPr>
      </w:pPr>
    </w:p>
    <w:p w14:paraId="3CE2FB50" w14:textId="66080660" w:rsidR="00287983" w:rsidRPr="0086631D" w:rsidRDefault="00287983" w:rsidP="00A745A0">
      <w:pPr>
        <w:widowControl w:val="0"/>
        <w:tabs>
          <w:tab w:val="left" w:pos="7938"/>
        </w:tabs>
        <w:spacing w:before="240" w:after="0"/>
        <w:ind w:left="1134" w:right="616"/>
        <w:jc w:val="center"/>
        <w:rPr>
          <w:rFonts w:ascii="Century Gothic" w:hAnsi="Century Gothic" w:cs="Arial"/>
          <w:b/>
          <w:bCs/>
          <w:sz w:val="24"/>
          <w:szCs w:val="24"/>
        </w:rPr>
      </w:pPr>
      <w:r w:rsidRPr="0086631D">
        <w:rPr>
          <w:rFonts w:ascii="Century Gothic" w:hAnsi="Century Gothic" w:cs="Arial"/>
          <w:b/>
          <w:bCs/>
          <w:sz w:val="24"/>
          <w:szCs w:val="24"/>
        </w:rPr>
        <w:t xml:space="preserve">C O N S I D E R A N </w:t>
      </w:r>
      <w:r w:rsidR="00BE4773" w:rsidRPr="0086631D">
        <w:rPr>
          <w:rFonts w:ascii="Century Gothic" w:hAnsi="Century Gothic" w:cs="Arial"/>
          <w:b/>
          <w:bCs/>
          <w:sz w:val="24"/>
          <w:szCs w:val="24"/>
        </w:rPr>
        <w:t>D O</w:t>
      </w:r>
    </w:p>
    <w:p w14:paraId="5C00899B" w14:textId="77777777" w:rsidR="008E0F19" w:rsidRDefault="00287983" w:rsidP="00023FE9">
      <w:pPr>
        <w:pStyle w:val="Textoindependiente21"/>
        <w:spacing w:before="240" w:line="276" w:lineRule="auto"/>
        <w:ind w:right="18" w:firstLine="708"/>
        <w:rPr>
          <w:rFonts w:ascii="Century Gothic" w:hAnsi="Century Gothic" w:cs="Arial"/>
          <w:bCs/>
          <w:iCs/>
          <w:szCs w:val="24"/>
        </w:rPr>
      </w:pPr>
      <w:r w:rsidRPr="0086631D">
        <w:rPr>
          <w:rFonts w:ascii="Century Gothic" w:hAnsi="Century Gothic" w:cs="Arial"/>
          <w:b/>
          <w:bCs/>
          <w:iCs/>
          <w:szCs w:val="24"/>
        </w:rPr>
        <w:t xml:space="preserve">PRIMERO. </w:t>
      </w:r>
      <w:r w:rsidR="00406D0B" w:rsidRPr="00C27A33">
        <w:rPr>
          <w:rFonts w:ascii="Century Gothic" w:hAnsi="Century Gothic" w:cs="Arial"/>
          <w:b/>
          <w:bCs/>
          <w:iCs/>
          <w:szCs w:val="24"/>
        </w:rPr>
        <w:t>Jurisdicción y Competencia</w:t>
      </w:r>
      <w:r w:rsidR="00406D0B" w:rsidRPr="0086631D">
        <w:rPr>
          <w:rFonts w:ascii="Century Gothic" w:hAnsi="Century Gothic" w:cs="Arial"/>
          <w:bCs/>
          <w:iCs/>
          <w:szCs w:val="24"/>
        </w:rPr>
        <w:t>.</w:t>
      </w:r>
    </w:p>
    <w:p w14:paraId="2EA721C4" w14:textId="552B9875" w:rsidR="00023FE9" w:rsidRDefault="008E0F19" w:rsidP="00023FE9">
      <w:pPr>
        <w:pStyle w:val="Textoindependiente21"/>
        <w:spacing w:before="240" w:line="276" w:lineRule="auto"/>
        <w:ind w:right="18" w:firstLine="708"/>
        <w:rPr>
          <w:rFonts w:ascii="Century Gothic" w:hAnsi="Century Gothic" w:cs="Arial"/>
          <w:b/>
          <w:szCs w:val="24"/>
        </w:rPr>
      </w:pPr>
      <w:r>
        <w:rPr>
          <w:rFonts w:ascii="Century Gothic" w:hAnsi="Century Gothic" w:cs="Arial"/>
          <w:bCs/>
          <w:iCs/>
          <w:szCs w:val="24"/>
        </w:rPr>
        <w:t xml:space="preserve">4. </w:t>
      </w:r>
      <w:r w:rsidR="00406D0B" w:rsidRPr="0086631D">
        <w:rPr>
          <w:rFonts w:ascii="Century Gothic" w:hAnsi="Century Gothic" w:cs="Arial"/>
          <w:bCs/>
          <w:iCs/>
          <w:szCs w:val="24"/>
        </w:rPr>
        <w:t xml:space="preserve">El Tribunal de Justicia Administrativa y Combate a la Corrupción del Estado de Oaxaca ejerce jurisdicción y esta Sala Superior es competente para conocer del presente asunto, conforme a lo dispuesto por los artículos 114 </w:t>
      </w:r>
      <w:proofErr w:type="spellStart"/>
      <w:r w:rsidR="00406D0B" w:rsidRPr="0086631D">
        <w:rPr>
          <w:rFonts w:ascii="Century Gothic" w:hAnsi="Century Gothic" w:cs="Arial"/>
          <w:bCs/>
          <w:iCs/>
          <w:szCs w:val="24"/>
        </w:rPr>
        <w:t>Quáter</w:t>
      </w:r>
      <w:proofErr w:type="spellEnd"/>
      <w:r w:rsidR="00406D0B" w:rsidRPr="0086631D">
        <w:rPr>
          <w:rFonts w:ascii="Century Gothic" w:hAnsi="Century Gothic" w:cs="Arial"/>
          <w:bCs/>
          <w:iCs/>
          <w:szCs w:val="24"/>
        </w:rPr>
        <w:t xml:space="preserve">  de la Constitución </w:t>
      </w:r>
      <w:r w:rsidR="00F353FC">
        <w:rPr>
          <w:rFonts w:ascii="Century Gothic" w:hAnsi="Century Gothic" w:cs="Arial"/>
          <w:bCs/>
          <w:iCs/>
          <w:szCs w:val="24"/>
        </w:rPr>
        <w:t xml:space="preserve"> </w:t>
      </w:r>
      <w:r w:rsidR="00406D0B" w:rsidRPr="0086631D">
        <w:rPr>
          <w:rFonts w:ascii="Century Gothic" w:hAnsi="Century Gothic" w:cs="Arial"/>
          <w:bCs/>
          <w:iCs/>
          <w:szCs w:val="24"/>
        </w:rPr>
        <w:t>Política del Estado Libre y Soberano de Oaxaca</w:t>
      </w:r>
      <w:r w:rsidR="00406D0B" w:rsidRPr="0086631D">
        <w:rPr>
          <w:rFonts w:ascii="Century Gothic" w:eastAsia="Calibri" w:hAnsi="Century Gothic" w:cs="Arial"/>
          <w:bCs/>
          <w:color w:val="000000" w:themeColor="text1"/>
          <w:szCs w:val="24"/>
          <w:vertAlign w:val="superscript"/>
        </w:rPr>
        <w:footnoteReference w:id="1"/>
      </w:r>
      <w:r w:rsidR="00406D0B" w:rsidRPr="0086631D">
        <w:rPr>
          <w:rFonts w:ascii="Century Gothic" w:hAnsi="Century Gothic" w:cs="Arial"/>
          <w:bCs/>
          <w:iCs/>
          <w:szCs w:val="24"/>
        </w:rPr>
        <w:t>; 1, 2, 4, fracción VIII, 23, 24, fracciones I y III, 25, fracción I y 27 de la Ley Orgánica del Tribunal de Justicia Administrativa del Estado de Oaxaca, vigente; 120, 125, 127, 129,130, fracción l, 131, 201, 236, fracción VII y 238 de la Ley de Procedimiento</w:t>
      </w:r>
      <w:r w:rsidR="00770D7F" w:rsidRPr="0086631D">
        <w:rPr>
          <w:rFonts w:ascii="Century Gothic" w:hAnsi="Century Gothic" w:cs="Arial"/>
          <w:bCs/>
          <w:iCs/>
          <w:szCs w:val="24"/>
        </w:rPr>
        <w:t xml:space="preserve">, dado que se trata de </w:t>
      </w:r>
      <w:r w:rsidR="00770D7F" w:rsidRPr="0086631D">
        <w:rPr>
          <w:rFonts w:ascii="Century Gothic" w:hAnsi="Century Gothic" w:cs="Arial"/>
          <w:bCs/>
          <w:iCs/>
          <w:szCs w:val="24"/>
        </w:rPr>
        <w:lastRenderedPageBreak/>
        <w:t>un recurso de r</w:t>
      </w:r>
      <w:r w:rsidR="00287983" w:rsidRPr="0086631D">
        <w:rPr>
          <w:rFonts w:ascii="Century Gothic" w:hAnsi="Century Gothic" w:cs="Arial"/>
          <w:bCs/>
          <w:iCs/>
          <w:szCs w:val="24"/>
        </w:rPr>
        <w:t xml:space="preserve">evisión interpuesto en contra </w:t>
      </w:r>
      <w:r w:rsidR="001E0E21" w:rsidRPr="0086631D">
        <w:rPr>
          <w:rFonts w:ascii="Century Gothic" w:hAnsi="Century Gothic" w:cs="Arial"/>
          <w:bCs/>
          <w:iCs/>
          <w:szCs w:val="24"/>
        </w:rPr>
        <w:t>de la</w:t>
      </w:r>
      <w:r w:rsidR="001E0E21" w:rsidRPr="0086631D">
        <w:rPr>
          <w:rFonts w:ascii="Century Gothic" w:hAnsi="Century Gothic" w:cs="Arial"/>
          <w:szCs w:val="24"/>
        </w:rPr>
        <w:t xml:space="preserve"> sentencia de </w:t>
      </w:r>
      <w:r w:rsidR="00E25794" w:rsidRPr="0086631D">
        <w:rPr>
          <w:rFonts w:ascii="Century Gothic" w:hAnsi="Century Gothic" w:cs="Arial"/>
          <w:szCs w:val="24"/>
        </w:rPr>
        <w:t>fecha tres</w:t>
      </w:r>
      <w:r w:rsidR="00A12515" w:rsidRPr="0086631D">
        <w:rPr>
          <w:rFonts w:ascii="Century Gothic" w:hAnsi="Century Gothic" w:cs="Arial"/>
          <w:szCs w:val="24"/>
        </w:rPr>
        <w:t xml:space="preserve"> de febrero de dos mil veintitrés</w:t>
      </w:r>
      <w:r w:rsidR="001E0E21" w:rsidRPr="0086631D">
        <w:rPr>
          <w:rFonts w:ascii="Century Gothic" w:hAnsi="Century Gothic" w:cs="Arial"/>
          <w:szCs w:val="24"/>
        </w:rPr>
        <w:t xml:space="preserve">, </w:t>
      </w:r>
      <w:r w:rsidR="00234A27" w:rsidRPr="0086631D">
        <w:rPr>
          <w:rFonts w:ascii="Century Gothic" w:hAnsi="Century Gothic" w:cs="Arial"/>
          <w:szCs w:val="24"/>
        </w:rPr>
        <w:t xml:space="preserve">dictada en el juicio de nulidad con número de  expediente </w:t>
      </w:r>
      <w:r w:rsidR="0024076F" w:rsidRPr="0086631D">
        <w:rPr>
          <w:rFonts w:ascii="Century Gothic" w:hAnsi="Century Gothic" w:cs="Arial"/>
          <w:b/>
          <w:szCs w:val="24"/>
        </w:rPr>
        <w:t>01</w:t>
      </w:r>
      <w:r w:rsidR="0035505C">
        <w:rPr>
          <w:rFonts w:ascii="Century Gothic" w:hAnsi="Century Gothic" w:cs="Arial"/>
          <w:b/>
          <w:szCs w:val="24"/>
        </w:rPr>
        <w:t>60/2020</w:t>
      </w:r>
      <w:r w:rsidR="00234A27" w:rsidRPr="0086631D">
        <w:rPr>
          <w:rFonts w:ascii="Century Gothic" w:hAnsi="Century Gothic" w:cs="Arial"/>
          <w:szCs w:val="24"/>
        </w:rPr>
        <w:t xml:space="preserve"> de</w:t>
      </w:r>
      <w:r w:rsidR="0024076F" w:rsidRPr="0086631D">
        <w:rPr>
          <w:rFonts w:ascii="Century Gothic" w:hAnsi="Century Gothic" w:cs="Arial"/>
          <w:szCs w:val="24"/>
        </w:rPr>
        <w:t xml:space="preserve">l índice de </w:t>
      </w:r>
      <w:r w:rsidR="00234A27" w:rsidRPr="0086631D">
        <w:rPr>
          <w:rFonts w:ascii="Century Gothic" w:hAnsi="Century Gothic" w:cs="Arial"/>
          <w:szCs w:val="24"/>
        </w:rPr>
        <w:t xml:space="preserve">la </w:t>
      </w:r>
      <w:r w:rsidR="0024076F" w:rsidRPr="0086631D">
        <w:rPr>
          <w:rFonts w:ascii="Century Gothic" w:hAnsi="Century Gothic" w:cs="Arial"/>
          <w:szCs w:val="24"/>
        </w:rPr>
        <w:t>Segunda</w:t>
      </w:r>
      <w:r w:rsidR="00234A27" w:rsidRPr="0086631D">
        <w:rPr>
          <w:rFonts w:ascii="Century Gothic" w:hAnsi="Century Gothic" w:cs="Arial"/>
          <w:szCs w:val="24"/>
        </w:rPr>
        <w:t xml:space="preserve"> Sala Unitaria de Primera Instancia del Tribunal </w:t>
      </w:r>
      <w:r w:rsidR="00234A27" w:rsidRPr="0086631D">
        <w:rPr>
          <w:rFonts w:ascii="Century Gothic" w:hAnsi="Century Gothic" w:cs="Arial"/>
          <w:szCs w:val="24"/>
          <w:lang w:val="es-ES_tradnl"/>
        </w:rPr>
        <w:t>de Justicia Administrativa y Combate a la Corrupción del Estado de Oaxaca</w:t>
      </w:r>
      <w:r w:rsidR="00287983" w:rsidRPr="0086631D">
        <w:rPr>
          <w:rFonts w:ascii="Century Gothic" w:hAnsi="Century Gothic" w:cs="Arial"/>
          <w:b/>
          <w:szCs w:val="24"/>
        </w:rPr>
        <w:t xml:space="preserve">.  </w:t>
      </w:r>
    </w:p>
    <w:p w14:paraId="130A16DE" w14:textId="77777777" w:rsidR="008E0F19" w:rsidRDefault="00C27A33" w:rsidP="00A745A0">
      <w:pPr>
        <w:spacing w:before="240"/>
        <w:ind w:firstLine="708"/>
        <w:jc w:val="both"/>
        <w:rPr>
          <w:rFonts w:ascii="Century Gothic" w:hAnsi="Century Gothic" w:cs="Arial"/>
          <w:b/>
          <w:iCs/>
          <w:sz w:val="24"/>
          <w:szCs w:val="24"/>
        </w:rPr>
      </w:pPr>
      <w:r w:rsidRPr="00E264A5">
        <w:rPr>
          <w:rFonts w:ascii="Century Gothic" w:hAnsi="Century Gothic" w:cs="Arial"/>
          <w:b/>
          <w:sz w:val="24"/>
          <w:szCs w:val="24"/>
        </w:rPr>
        <w:t>SEGUNDO</w:t>
      </w:r>
      <w:r w:rsidRPr="00F81FF1">
        <w:rPr>
          <w:rFonts w:ascii="Century Gothic" w:hAnsi="Century Gothic" w:cs="Arial"/>
          <w:b/>
          <w:iCs/>
          <w:sz w:val="24"/>
          <w:szCs w:val="24"/>
        </w:rPr>
        <w:t xml:space="preserve">. </w:t>
      </w:r>
      <w:r>
        <w:rPr>
          <w:rFonts w:ascii="Century Gothic" w:hAnsi="Century Gothic" w:cs="Arial"/>
          <w:b/>
          <w:iCs/>
          <w:sz w:val="24"/>
          <w:szCs w:val="24"/>
        </w:rPr>
        <w:t>R</w:t>
      </w:r>
      <w:r w:rsidRPr="00C624D3">
        <w:rPr>
          <w:rFonts w:ascii="Century Gothic" w:hAnsi="Century Gothic" w:cs="Arial"/>
          <w:b/>
          <w:iCs/>
          <w:sz w:val="24"/>
          <w:szCs w:val="24"/>
        </w:rPr>
        <w:t xml:space="preserve">equisitos de procedencia. </w:t>
      </w:r>
    </w:p>
    <w:p w14:paraId="2C7EB83C" w14:textId="70BD6632" w:rsidR="00C27A33" w:rsidRDefault="008E0F19" w:rsidP="00A745A0">
      <w:pPr>
        <w:spacing w:before="240"/>
        <w:ind w:firstLine="708"/>
        <w:jc w:val="both"/>
        <w:rPr>
          <w:rFonts w:ascii="Century Gothic" w:hAnsi="Century Gothic" w:cs="Arial"/>
          <w:bCs/>
          <w:iCs/>
          <w:sz w:val="24"/>
          <w:szCs w:val="24"/>
        </w:rPr>
      </w:pPr>
      <w:r w:rsidRPr="008E0F19">
        <w:rPr>
          <w:rFonts w:ascii="Century Gothic" w:hAnsi="Century Gothic" w:cs="Arial"/>
          <w:bCs/>
          <w:iCs/>
          <w:sz w:val="24"/>
          <w:szCs w:val="24"/>
        </w:rPr>
        <w:t xml:space="preserve">5. </w:t>
      </w:r>
      <w:r w:rsidR="00C27A33" w:rsidRPr="00C624D3">
        <w:rPr>
          <w:rFonts w:ascii="Century Gothic" w:hAnsi="Century Gothic" w:cs="Arial"/>
          <w:bCs/>
          <w:iCs/>
          <w:sz w:val="24"/>
          <w:szCs w:val="24"/>
        </w:rPr>
        <w:t>Se tienen por satisfechos los requisitos de procedencia previstos en los artículos</w:t>
      </w:r>
      <w:r w:rsidR="00C27A33">
        <w:rPr>
          <w:rFonts w:ascii="Century Gothic" w:hAnsi="Century Gothic" w:cs="Arial"/>
          <w:bCs/>
          <w:iCs/>
          <w:sz w:val="24"/>
          <w:szCs w:val="24"/>
        </w:rPr>
        <w:t xml:space="preserve"> 236, 237 </w:t>
      </w:r>
      <w:r w:rsidR="00C27A33" w:rsidRPr="00E264A5">
        <w:rPr>
          <w:rFonts w:ascii="Century Gothic" w:hAnsi="Century Gothic" w:cs="Arial"/>
          <w:bCs/>
          <w:iCs/>
          <w:sz w:val="24"/>
          <w:szCs w:val="24"/>
        </w:rPr>
        <w:t>de la Ley de Procedimiento</w:t>
      </w:r>
      <w:r w:rsidR="00C27A33">
        <w:rPr>
          <w:rFonts w:ascii="Century Gothic" w:hAnsi="Century Gothic" w:cs="Arial"/>
          <w:bCs/>
          <w:iCs/>
          <w:sz w:val="24"/>
          <w:szCs w:val="24"/>
        </w:rPr>
        <w:t>.</w:t>
      </w:r>
    </w:p>
    <w:p w14:paraId="146E9F9B" w14:textId="5DBD06A1" w:rsidR="00C27A33" w:rsidRPr="0070320B" w:rsidRDefault="00C27A33" w:rsidP="00A745A0">
      <w:pPr>
        <w:pStyle w:val="Prrafodelista"/>
        <w:numPr>
          <w:ilvl w:val="0"/>
          <w:numId w:val="17"/>
        </w:numPr>
        <w:spacing w:before="240"/>
        <w:ind w:left="0" w:firstLine="426"/>
        <w:jc w:val="both"/>
        <w:rPr>
          <w:rFonts w:ascii="Century Gothic" w:hAnsi="Century Gothic" w:cs="Arial"/>
          <w:bCs/>
          <w:iCs/>
          <w:sz w:val="24"/>
          <w:szCs w:val="24"/>
        </w:rPr>
      </w:pPr>
      <w:r w:rsidRPr="0070320B">
        <w:rPr>
          <w:rFonts w:ascii="Century Gothic" w:hAnsi="Century Gothic" w:cs="Arial"/>
          <w:b/>
          <w:iCs/>
          <w:sz w:val="24"/>
          <w:szCs w:val="24"/>
        </w:rPr>
        <w:t xml:space="preserve">Forma. </w:t>
      </w:r>
      <w:r w:rsidRPr="0070320B">
        <w:rPr>
          <w:rFonts w:ascii="Century Gothic" w:hAnsi="Century Gothic" w:cs="Arial"/>
          <w:bCs/>
          <w:iCs/>
          <w:sz w:val="24"/>
          <w:szCs w:val="24"/>
        </w:rPr>
        <w:t>Se observa que el</w:t>
      </w:r>
      <w:r w:rsidRPr="0070320B">
        <w:rPr>
          <w:rFonts w:ascii="Century Gothic" w:hAnsi="Century Gothic" w:cs="Arial"/>
          <w:b/>
          <w:iCs/>
          <w:sz w:val="24"/>
          <w:szCs w:val="24"/>
        </w:rPr>
        <w:t xml:space="preserve"> </w:t>
      </w:r>
      <w:r w:rsidRPr="0070320B">
        <w:rPr>
          <w:rFonts w:ascii="Century Gothic" w:hAnsi="Century Gothic" w:cs="Arial"/>
          <w:bCs/>
          <w:iCs/>
          <w:sz w:val="24"/>
          <w:szCs w:val="24"/>
        </w:rPr>
        <w:t>recurso se efectuó conforme a los lineamientos que exige el artículo 236 de la Ley de Procedimiento, ya que se presentó por escrito, con la expresión de agravios ante la Sala que dictó el acuerdo que se impugna.</w:t>
      </w:r>
    </w:p>
    <w:p w14:paraId="72EDAD8F" w14:textId="67BEC4FD" w:rsidR="00C27A33" w:rsidRPr="0070320B" w:rsidRDefault="00C27A33" w:rsidP="00A745A0">
      <w:pPr>
        <w:pStyle w:val="Prrafodelista"/>
        <w:numPr>
          <w:ilvl w:val="0"/>
          <w:numId w:val="17"/>
        </w:numPr>
        <w:spacing w:before="240"/>
        <w:ind w:left="0" w:firstLine="426"/>
        <w:jc w:val="both"/>
        <w:rPr>
          <w:rFonts w:ascii="Century Gothic" w:hAnsi="Century Gothic" w:cs="Arial"/>
          <w:bCs/>
          <w:iCs/>
          <w:sz w:val="24"/>
          <w:szCs w:val="24"/>
        </w:rPr>
      </w:pPr>
      <w:r w:rsidRPr="0070320B">
        <w:rPr>
          <w:rFonts w:ascii="Century Gothic" w:hAnsi="Century Gothic" w:cs="Arial"/>
          <w:b/>
          <w:iCs/>
          <w:sz w:val="24"/>
          <w:szCs w:val="24"/>
        </w:rPr>
        <w:t xml:space="preserve">Oportunidad. </w:t>
      </w:r>
      <w:r w:rsidRPr="0070320B">
        <w:rPr>
          <w:rFonts w:ascii="Century Gothic" w:hAnsi="Century Gothic" w:cs="Arial"/>
          <w:bCs/>
          <w:iCs/>
          <w:sz w:val="24"/>
          <w:szCs w:val="24"/>
        </w:rPr>
        <w:t xml:space="preserve">Se cumple tal requisito, toda vez que el acto impugnado fue notificado al recurrente, el </w:t>
      </w:r>
      <w:r w:rsidR="009E1C4A">
        <w:rPr>
          <w:rFonts w:ascii="Century Gothic" w:hAnsi="Century Gothic" w:cs="Arial"/>
          <w:bCs/>
          <w:iCs/>
          <w:sz w:val="24"/>
          <w:szCs w:val="24"/>
        </w:rPr>
        <w:t xml:space="preserve">viernes veinticuatro de febrero </w:t>
      </w:r>
      <w:r w:rsidRPr="0070320B">
        <w:rPr>
          <w:rFonts w:ascii="Century Gothic" w:hAnsi="Century Gothic" w:cs="Arial"/>
          <w:bCs/>
          <w:iCs/>
          <w:sz w:val="24"/>
          <w:szCs w:val="24"/>
        </w:rPr>
        <w:t xml:space="preserve">de dos mil veintitrés, en tanto el correspondiente recurso se interpuso el día </w:t>
      </w:r>
      <w:r w:rsidR="003A5241">
        <w:rPr>
          <w:rFonts w:ascii="Century Gothic" w:hAnsi="Century Gothic" w:cs="Arial"/>
          <w:bCs/>
          <w:iCs/>
          <w:sz w:val="24"/>
          <w:szCs w:val="24"/>
        </w:rPr>
        <w:t>veintiocho de febrero</w:t>
      </w:r>
      <w:r w:rsidRPr="0070320B">
        <w:rPr>
          <w:rFonts w:ascii="Century Gothic" w:hAnsi="Century Gothic" w:cs="Arial"/>
          <w:bCs/>
          <w:iCs/>
          <w:sz w:val="24"/>
          <w:szCs w:val="24"/>
        </w:rPr>
        <w:t xml:space="preserve"> del dos mil veintitrés, siendo éste dentro del plazo de cinco </w:t>
      </w:r>
      <w:r w:rsidR="00C21D0A">
        <w:rPr>
          <w:rFonts w:ascii="Century Gothic" w:hAnsi="Century Gothic" w:cs="Arial"/>
          <w:bCs/>
          <w:iCs/>
          <w:sz w:val="24"/>
          <w:szCs w:val="24"/>
        </w:rPr>
        <w:t>días previsto en el artículo 237</w:t>
      </w:r>
      <w:r w:rsidRPr="0070320B">
        <w:rPr>
          <w:rFonts w:ascii="Century Gothic" w:hAnsi="Century Gothic" w:cs="Arial"/>
          <w:bCs/>
          <w:iCs/>
          <w:sz w:val="24"/>
          <w:szCs w:val="24"/>
        </w:rPr>
        <w:t xml:space="preserve"> de la Ley de Procedimiento</w:t>
      </w:r>
      <w:r w:rsidR="009F422B">
        <w:rPr>
          <w:rFonts w:ascii="Century Gothic" w:hAnsi="Century Gothic" w:cs="Arial"/>
          <w:bCs/>
          <w:iCs/>
          <w:sz w:val="24"/>
          <w:szCs w:val="24"/>
        </w:rPr>
        <w:t xml:space="preserve"> y Justicia Administrativa</w:t>
      </w:r>
      <w:r w:rsidRPr="0070320B">
        <w:rPr>
          <w:rFonts w:ascii="Century Gothic" w:hAnsi="Century Gothic" w:cs="Arial"/>
          <w:bCs/>
          <w:iCs/>
          <w:sz w:val="24"/>
          <w:szCs w:val="24"/>
        </w:rPr>
        <w:t xml:space="preserve"> para el Estado de Oaxaca, en virtud que el </w:t>
      </w:r>
      <w:r w:rsidR="003A5241">
        <w:rPr>
          <w:rFonts w:ascii="Century Gothic" w:hAnsi="Century Gothic" w:cs="Arial"/>
          <w:bCs/>
          <w:iCs/>
          <w:sz w:val="24"/>
          <w:szCs w:val="24"/>
        </w:rPr>
        <w:t xml:space="preserve">día lunes veintisiete de febrero del año </w:t>
      </w:r>
      <w:r w:rsidR="00CC19BA">
        <w:rPr>
          <w:rFonts w:ascii="Century Gothic" w:hAnsi="Century Gothic" w:cs="Arial"/>
          <w:bCs/>
          <w:iCs/>
          <w:sz w:val="24"/>
          <w:szCs w:val="24"/>
        </w:rPr>
        <w:t xml:space="preserve">en curso </w:t>
      </w:r>
      <w:r w:rsidRPr="0070320B">
        <w:rPr>
          <w:rFonts w:ascii="Century Gothic" w:hAnsi="Century Gothic" w:cs="Arial"/>
          <w:bCs/>
          <w:iCs/>
          <w:sz w:val="24"/>
          <w:szCs w:val="24"/>
        </w:rPr>
        <w:t xml:space="preserve">surtió efectos y empezando a correr el conteo a partir del día </w:t>
      </w:r>
      <w:r w:rsidR="00CC19BA">
        <w:rPr>
          <w:rFonts w:ascii="Century Gothic" w:hAnsi="Century Gothic" w:cs="Arial"/>
          <w:bCs/>
          <w:iCs/>
          <w:sz w:val="24"/>
          <w:szCs w:val="24"/>
        </w:rPr>
        <w:t>martes veintiocho de febrero al seis de marzo del presente año</w:t>
      </w:r>
      <w:r w:rsidRPr="0070320B">
        <w:rPr>
          <w:rFonts w:ascii="Century Gothic" w:hAnsi="Century Gothic" w:cs="Arial"/>
          <w:bCs/>
          <w:iCs/>
          <w:sz w:val="24"/>
          <w:szCs w:val="24"/>
        </w:rPr>
        <w:t xml:space="preserve"> (sin ser contados los días </w:t>
      </w:r>
      <w:r w:rsidR="00CC19BA">
        <w:rPr>
          <w:rFonts w:ascii="Century Gothic" w:hAnsi="Century Gothic" w:cs="Arial"/>
          <w:bCs/>
          <w:iCs/>
          <w:sz w:val="24"/>
          <w:szCs w:val="24"/>
        </w:rPr>
        <w:t xml:space="preserve">sábado y domingo por ser </w:t>
      </w:r>
      <w:r w:rsidRPr="0070320B">
        <w:rPr>
          <w:rFonts w:ascii="Century Gothic" w:hAnsi="Century Gothic" w:cs="Arial"/>
          <w:bCs/>
          <w:iCs/>
          <w:sz w:val="24"/>
          <w:szCs w:val="24"/>
        </w:rPr>
        <w:t>inhábiles</w:t>
      </w:r>
      <w:r w:rsidR="00CC19BA">
        <w:rPr>
          <w:rFonts w:ascii="Century Gothic" w:hAnsi="Century Gothic" w:cs="Arial"/>
          <w:bCs/>
          <w:iCs/>
          <w:sz w:val="24"/>
          <w:szCs w:val="24"/>
        </w:rPr>
        <w:t>, de conformidad con el artículo 39 de la Ley de Procedimiento</w:t>
      </w:r>
      <w:r w:rsidR="00CC19BA">
        <w:rPr>
          <w:rStyle w:val="Refdenotaalpie"/>
          <w:rFonts w:ascii="Century Gothic" w:hAnsi="Century Gothic" w:cs="Arial"/>
          <w:bCs/>
          <w:iCs/>
          <w:sz w:val="24"/>
          <w:szCs w:val="24"/>
        </w:rPr>
        <w:footnoteReference w:id="2"/>
      </w:r>
      <w:r w:rsidRPr="0070320B">
        <w:rPr>
          <w:rFonts w:ascii="Century Gothic" w:hAnsi="Century Gothic" w:cs="Arial"/>
          <w:bCs/>
          <w:iCs/>
          <w:sz w:val="24"/>
          <w:szCs w:val="24"/>
        </w:rPr>
        <w:t>).</w:t>
      </w:r>
    </w:p>
    <w:p w14:paraId="23284641" w14:textId="354289E9" w:rsidR="00C27A33" w:rsidRPr="0070320B" w:rsidRDefault="00C27A33" w:rsidP="00A745A0">
      <w:pPr>
        <w:pStyle w:val="Prrafodelista"/>
        <w:numPr>
          <w:ilvl w:val="0"/>
          <w:numId w:val="17"/>
        </w:numPr>
        <w:spacing w:before="240"/>
        <w:ind w:left="0" w:firstLine="426"/>
        <w:jc w:val="both"/>
        <w:rPr>
          <w:rFonts w:ascii="Century Gothic" w:hAnsi="Century Gothic" w:cs="Arial"/>
          <w:bCs/>
          <w:iCs/>
          <w:sz w:val="24"/>
          <w:szCs w:val="24"/>
        </w:rPr>
      </w:pPr>
      <w:r w:rsidRPr="0070320B">
        <w:rPr>
          <w:rFonts w:ascii="Century Gothic" w:hAnsi="Century Gothic" w:cs="Arial"/>
          <w:b/>
          <w:iCs/>
          <w:sz w:val="24"/>
          <w:szCs w:val="24"/>
        </w:rPr>
        <w:t xml:space="preserve">Legitimación. </w:t>
      </w:r>
      <w:r w:rsidRPr="0070320B">
        <w:rPr>
          <w:rFonts w:ascii="Century Gothic" w:hAnsi="Century Gothic" w:cs="Arial"/>
          <w:bCs/>
          <w:iCs/>
          <w:sz w:val="24"/>
          <w:szCs w:val="24"/>
        </w:rPr>
        <w:t>El presente recurso fue interpuesto por parte legítima. Ello, porque de conformidad con señalado en el artículo 236, de la Ley de Procedimiento, el recurso de revisión en que se actúa, puede ser impugnado por las partes.</w:t>
      </w:r>
    </w:p>
    <w:p w14:paraId="5B1BF677" w14:textId="4E27850F" w:rsidR="00C27A33" w:rsidRPr="00E13363" w:rsidRDefault="00C27A33" w:rsidP="00A745A0">
      <w:pPr>
        <w:pStyle w:val="Prrafodelista"/>
        <w:numPr>
          <w:ilvl w:val="0"/>
          <w:numId w:val="17"/>
        </w:numPr>
        <w:spacing w:before="240"/>
        <w:ind w:left="0" w:firstLine="426"/>
        <w:jc w:val="both"/>
        <w:rPr>
          <w:rFonts w:ascii="Century Gothic" w:hAnsi="Century Gothic" w:cs="Arial"/>
          <w:bCs/>
          <w:color w:val="000000"/>
          <w:sz w:val="24"/>
          <w:szCs w:val="24"/>
        </w:rPr>
      </w:pPr>
      <w:r w:rsidRPr="0070320B">
        <w:rPr>
          <w:rFonts w:ascii="Century Gothic" w:hAnsi="Century Gothic" w:cs="Arial"/>
          <w:b/>
          <w:color w:val="000000"/>
          <w:sz w:val="24"/>
          <w:szCs w:val="24"/>
        </w:rPr>
        <w:t xml:space="preserve">Idoneidad. </w:t>
      </w:r>
      <w:r w:rsidRPr="0070320B">
        <w:rPr>
          <w:rFonts w:ascii="Century Gothic" w:hAnsi="Century Gothic" w:cs="Arial"/>
          <w:bCs/>
          <w:color w:val="000000"/>
          <w:sz w:val="24"/>
          <w:szCs w:val="24"/>
        </w:rPr>
        <w:t>Ahora, por lo que hace a este requisito, éste se cumple, en virtud que la determinación de la Sala Unitaria de primera Instancia que fue recu</w:t>
      </w:r>
      <w:r w:rsidRPr="00E13363">
        <w:rPr>
          <w:rFonts w:ascii="Century Gothic" w:hAnsi="Century Gothic" w:cs="Arial"/>
          <w:bCs/>
          <w:color w:val="000000"/>
          <w:sz w:val="24"/>
          <w:szCs w:val="24"/>
        </w:rPr>
        <w:t xml:space="preserve">rrida es </w:t>
      </w:r>
      <w:r w:rsidR="00E13363" w:rsidRPr="00E13363">
        <w:rPr>
          <w:rFonts w:ascii="Century Gothic" w:hAnsi="Century Gothic" w:cs="Arial"/>
          <w:bCs/>
          <w:color w:val="000000"/>
          <w:sz w:val="24"/>
          <w:szCs w:val="24"/>
        </w:rPr>
        <w:t xml:space="preserve">la </w:t>
      </w:r>
      <w:r w:rsidR="00E13363" w:rsidRPr="00E13363">
        <w:rPr>
          <w:rFonts w:ascii="Century Gothic" w:eastAsia="Calibri" w:hAnsi="Century Gothic" w:cs="Arial"/>
          <w:bCs/>
          <w:sz w:val="24"/>
          <w:szCs w:val="24"/>
        </w:rPr>
        <w:t xml:space="preserve">declaración de </w:t>
      </w:r>
      <w:r w:rsidR="00E13363" w:rsidRPr="00E13363">
        <w:rPr>
          <w:rFonts w:ascii="Century Gothic" w:hAnsi="Century Gothic" w:cs="Arial"/>
          <w:sz w:val="24"/>
          <w:szCs w:val="24"/>
        </w:rPr>
        <w:t xml:space="preserve">la </w:t>
      </w:r>
      <w:r w:rsidR="00E13363" w:rsidRPr="00E13363">
        <w:rPr>
          <w:rFonts w:ascii="Century Gothic" w:hAnsi="Century Gothic" w:cs="Arial"/>
          <w:b/>
          <w:sz w:val="24"/>
          <w:szCs w:val="24"/>
        </w:rPr>
        <w:t>NULIDAD LISA Y LLANA</w:t>
      </w:r>
      <w:r w:rsidR="00E13363" w:rsidRPr="00E13363">
        <w:rPr>
          <w:rFonts w:ascii="Century Gothic" w:hAnsi="Century Gothic" w:cs="Arial"/>
          <w:sz w:val="24"/>
          <w:szCs w:val="24"/>
        </w:rPr>
        <w:t xml:space="preserve"> del acta de infracción con número de folio 5737 A, de fecha catorce de octubre de dos mil veinte, emitida por José Rubén Hernández Márquez, Policía Vial con número estadístico PV-131, adscrito a la Subdirección de Tránsito y Movilidad de la Dirección de Seguridad Pública, Vialidad y Protección Ciudadana del Municipio de Oaxaca de Juárez, Oaxaca, </w:t>
      </w:r>
      <w:r w:rsidRPr="00E13363">
        <w:rPr>
          <w:rFonts w:ascii="Century Gothic" w:hAnsi="Century Gothic" w:cs="Arial"/>
          <w:bCs/>
          <w:color w:val="000000"/>
          <w:sz w:val="24"/>
          <w:szCs w:val="24"/>
        </w:rPr>
        <w:t xml:space="preserve">por ende, se </w:t>
      </w:r>
      <w:r w:rsidRPr="00E13363">
        <w:rPr>
          <w:rFonts w:ascii="Century Gothic" w:hAnsi="Century Gothic" w:cs="Arial"/>
          <w:bCs/>
          <w:color w:val="000000"/>
          <w:sz w:val="24"/>
          <w:szCs w:val="24"/>
        </w:rPr>
        <w:lastRenderedPageBreak/>
        <w:t xml:space="preserve">encuentra dentro de ese catálogo que enlista el numeral 236 </w:t>
      </w:r>
      <w:r w:rsidR="003108AC">
        <w:rPr>
          <w:rFonts w:ascii="Century Gothic" w:hAnsi="Century Gothic" w:cs="Arial"/>
          <w:bCs/>
          <w:color w:val="000000"/>
          <w:sz w:val="24"/>
          <w:szCs w:val="24"/>
        </w:rPr>
        <w:t xml:space="preserve">fracción VII </w:t>
      </w:r>
      <w:r w:rsidRPr="00E13363">
        <w:rPr>
          <w:rFonts w:ascii="Century Gothic" w:hAnsi="Century Gothic" w:cs="Arial"/>
          <w:bCs/>
          <w:iCs/>
          <w:sz w:val="24"/>
          <w:szCs w:val="24"/>
        </w:rPr>
        <w:t>de la Ley de Procedimiento</w:t>
      </w:r>
      <w:r w:rsidRPr="00E13363">
        <w:rPr>
          <w:rFonts w:ascii="Century Gothic" w:hAnsi="Century Gothic" w:cs="Arial"/>
          <w:bCs/>
          <w:color w:val="000000"/>
          <w:sz w:val="24"/>
          <w:szCs w:val="24"/>
        </w:rPr>
        <w:t>, por lo cual procede el recurso de revisión.</w:t>
      </w:r>
    </w:p>
    <w:p w14:paraId="10D51316" w14:textId="77777777" w:rsidR="008E0F19" w:rsidRDefault="00C27A33" w:rsidP="00A745A0">
      <w:pPr>
        <w:spacing w:before="240" w:after="0"/>
        <w:ind w:right="49" w:firstLine="708"/>
        <w:jc w:val="both"/>
        <w:rPr>
          <w:rFonts w:ascii="Century Gothic" w:hAnsi="Century Gothic" w:cs="Arial"/>
          <w:b/>
          <w:bCs/>
          <w:sz w:val="24"/>
          <w:szCs w:val="24"/>
        </w:rPr>
      </w:pPr>
      <w:r>
        <w:rPr>
          <w:rFonts w:ascii="Century Gothic" w:hAnsi="Century Gothic" w:cs="Arial"/>
          <w:b/>
          <w:bCs/>
          <w:sz w:val="24"/>
          <w:szCs w:val="24"/>
        </w:rPr>
        <w:t>TERCERO</w:t>
      </w:r>
      <w:r w:rsidR="00287983" w:rsidRPr="0086631D">
        <w:rPr>
          <w:rFonts w:ascii="Century Gothic" w:hAnsi="Century Gothic" w:cs="Arial"/>
          <w:b/>
          <w:bCs/>
          <w:sz w:val="24"/>
          <w:szCs w:val="24"/>
        </w:rPr>
        <w:t>.</w:t>
      </w:r>
      <w:r w:rsidR="00287983" w:rsidRPr="0086631D">
        <w:rPr>
          <w:rFonts w:ascii="Century Gothic" w:hAnsi="Century Gothic" w:cs="Arial"/>
          <w:bCs/>
          <w:sz w:val="24"/>
          <w:szCs w:val="24"/>
        </w:rPr>
        <w:t xml:space="preserve"> </w:t>
      </w:r>
      <w:r>
        <w:rPr>
          <w:rFonts w:ascii="Century Gothic" w:hAnsi="Century Gothic" w:cs="Arial"/>
          <w:b/>
          <w:bCs/>
          <w:sz w:val="24"/>
          <w:szCs w:val="24"/>
        </w:rPr>
        <w:t>Agr</w:t>
      </w:r>
      <w:r w:rsidR="00CC19BA">
        <w:rPr>
          <w:rFonts w:ascii="Century Gothic" w:hAnsi="Century Gothic" w:cs="Arial"/>
          <w:b/>
          <w:bCs/>
          <w:sz w:val="24"/>
          <w:szCs w:val="24"/>
        </w:rPr>
        <w:t>avios</w:t>
      </w:r>
      <w:r>
        <w:rPr>
          <w:rFonts w:ascii="Century Gothic" w:hAnsi="Century Gothic" w:cs="Arial"/>
          <w:b/>
          <w:bCs/>
          <w:sz w:val="24"/>
          <w:szCs w:val="24"/>
        </w:rPr>
        <w:t>.</w:t>
      </w:r>
    </w:p>
    <w:p w14:paraId="475773A8" w14:textId="08CDE01B" w:rsidR="00287983" w:rsidRPr="0086631D" w:rsidRDefault="008E0F19" w:rsidP="00A745A0">
      <w:pPr>
        <w:spacing w:before="240" w:after="0"/>
        <w:ind w:right="49" w:firstLine="708"/>
        <w:jc w:val="both"/>
        <w:rPr>
          <w:rFonts w:ascii="Century Gothic" w:hAnsi="Century Gothic" w:cs="Arial"/>
          <w:sz w:val="24"/>
          <w:szCs w:val="24"/>
        </w:rPr>
      </w:pPr>
      <w:r w:rsidRPr="008E0F19">
        <w:rPr>
          <w:rFonts w:ascii="Century Gothic" w:hAnsi="Century Gothic" w:cs="Arial"/>
          <w:sz w:val="24"/>
          <w:szCs w:val="24"/>
        </w:rPr>
        <w:t>6.</w:t>
      </w:r>
      <w:r>
        <w:rPr>
          <w:rFonts w:ascii="Century Gothic" w:hAnsi="Century Gothic" w:cs="Arial"/>
          <w:b/>
          <w:bCs/>
          <w:sz w:val="24"/>
          <w:szCs w:val="24"/>
        </w:rPr>
        <w:t xml:space="preserve"> </w:t>
      </w:r>
      <w:r w:rsidR="00E34263" w:rsidRPr="0086631D">
        <w:rPr>
          <w:rFonts w:ascii="Century Gothic" w:hAnsi="Century Gothic" w:cs="Arial"/>
          <w:bCs/>
          <w:sz w:val="24"/>
          <w:szCs w:val="24"/>
        </w:rPr>
        <w:t>Los</w:t>
      </w:r>
      <w:r w:rsidR="00EE0690" w:rsidRPr="0086631D">
        <w:rPr>
          <w:rFonts w:ascii="Century Gothic" w:hAnsi="Century Gothic" w:cs="Arial"/>
          <w:bCs/>
          <w:sz w:val="24"/>
          <w:szCs w:val="24"/>
        </w:rPr>
        <w:t xml:space="preserve"> </w:t>
      </w:r>
      <w:r w:rsidR="00287983" w:rsidRPr="0086631D">
        <w:rPr>
          <w:rFonts w:ascii="Century Gothic" w:hAnsi="Century Gothic" w:cs="Arial"/>
          <w:bCs/>
          <w:sz w:val="24"/>
          <w:szCs w:val="24"/>
        </w:rPr>
        <w:t>agravio</w:t>
      </w:r>
      <w:r w:rsidR="00E34263" w:rsidRPr="0086631D">
        <w:rPr>
          <w:rFonts w:ascii="Century Gothic" w:hAnsi="Century Gothic" w:cs="Arial"/>
          <w:bCs/>
          <w:sz w:val="24"/>
          <w:szCs w:val="24"/>
        </w:rPr>
        <w:t>s</w:t>
      </w:r>
      <w:r w:rsidR="00287983" w:rsidRPr="0086631D">
        <w:rPr>
          <w:rFonts w:ascii="Century Gothic" w:hAnsi="Century Gothic" w:cs="Arial"/>
          <w:bCs/>
          <w:sz w:val="24"/>
          <w:szCs w:val="24"/>
        </w:rPr>
        <w:t xml:space="preserve"> hecho</w:t>
      </w:r>
      <w:r w:rsidR="00E34263" w:rsidRPr="0086631D">
        <w:rPr>
          <w:rFonts w:ascii="Century Gothic" w:hAnsi="Century Gothic" w:cs="Arial"/>
          <w:bCs/>
          <w:sz w:val="24"/>
          <w:szCs w:val="24"/>
        </w:rPr>
        <w:t>s</w:t>
      </w:r>
      <w:r w:rsidR="00EE0690" w:rsidRPr="0086631D">
        <w:rPr>
          <w:rFonts w:ascii="Century Gothic" w:hAnsi="Century Gothic" w:cs="Arial"/>
          <w:bCs/>
          <w:sz w:val="24"/>
          <w:szCs w:val="24"/>
        </w:rPr>
        <w:t xml:space="preserve"> valer se encuentra</w:t>
      </w:r>
      <w:r w:rsidR="00E34263" w:rsidRPr="0086631D">
        <w:rPr>
          <w:rFonts w:ascii="Century Gothic" w:hAnsi="Century Gothic" w:cs="Arial"/>
          <w:bCs/>
          <w:sz w:val="24"/>
          <w:szCs w:val="24"/>
        </w:rPr>
        <w:t>n</w:t>
      </w:r>
      <w:r w:rsidR="00287983" w:rsidRPr="0086631D">
        <w:rPr>
          <w:rFonts w:ascii="Century Gothic" w:hAnsi="Century Gothic" w:cs="Arial"/>
          <w:bCs/>
          <w:sz w:val="24"/>
          <w:szCs w:val="24"/>
        </w:rPr>
        <w:t xml:space="preserve"> expuesto</w:t>
      </w:r>
      <w:r w:rsidR="00E34263" w:rsidRPr="0086631D">
        <w:rPr>
          <w:rFonts w:ascii="Century Gothic" w:hAnsi="Century Gothic" w:cs="Arial"/>
          <w:bCs/>
          <w:sz w:val="24"/>
          <w:szCs w:val="24"/>
        </w:rPr>
        <w:t>s</w:t>
      </w:r>
      <w:r w:rsidR="00287983" w:rsidRPr="0086631D">
        <w:rPr>
          <w:rFonts w:ascii="Century Gothic" w:hAnsi="Century Gothic" w:cs="Arial"/>
          <w:bCs/>
          <w:sz w:val="24"/>
          <w:szCs w:val="24"/>
        </w:rPr>
        <w:t xml:space="preserve"> en el escrito respectivo del recurrente, por lo que no existe necesidad de transcribirlo</w:t>
      </w:r>
      <w:r w:rsidR="00C95675" w:rsidRPr="0086631D">
        <w:rPr>
          <w:rFonts w:ascii="Century Gothic" w:hAnsi="Century Gothic" w:cs="Arial"/>
          <w:bCs/>
          <w:sz w:val="24"/>
          <w:szCs w:val="24"/>
        </w:rPr>
        <w:t>s</w:t>
      </w:r>
      <w:r w:rsidR="00287983" w:rsidRPr="0086631D">
        <w:rPr>
          <w:rFonts w:ascii="Century Gothic" w:hAnsi="Century Gothic" w:cs="Arial"/>
          <w:bCs/>
          <w:sz w:val="24"/>
          <w:szCs w:val="24"/>
        </w:rPr>
        <w:t>, al no transgredírsele derecho alguno, como tampoco se vulnera disposición expresa que imponga tal obligación</w:t>
      </w:r>
      <w:r w:rsidR="00287983" w:rsidRPr="0086631D">
        <w:rPr>
          <w:rFonts w:ascii="Century Gothic" w:hAnsi="Century Gothic" w:cs="Arial"/>
          <w:sz w:val="24"/>
          <w:szCs w:val="24"/>
        </w:rPr>
        <w:t>.</w:t>
      </w:r>
    </w:p>
    <w:p w14:paraId="4C923F7F" w14:textId="7D88A97C" w:rsidR="001C7636" w:rsidRPr="0086631D" w:rsidRDefault="00023FE9" w:rsidP="00A745A0">
      <w:pPr>
        <w:widowControl w:val="0"/>
        <w:tabs>
          <w:tab w:val="left" w:pos="7938"/>
          <w:tab w:val="left" w:pos="8222"/>
        </w:tabs>
        <w:spacing w:before="240"/>
        <w:ind w:right="49" w:firstLine="851"/>
        <w:jc w:val="both"/>
        <w:rPr>
          <w:rFonts w:ascii="Century Gothic" w:hAnsi="Century Gothic" w:cs="Arial"/>
          <w:bCs/>
          <w:sz w:val="24"/>
          <w:szCs w:val="24"/>
        </w:rPr>
      </w:pPr>
      <w:r>
        <w:rPr>
          <w:rFonts w:ascii="Century Gothic" w:hAnsi="Century Gothic" w:cs="Arial"/>
          <w:bCs/>
          <w:sz w:val="24"/>
          <w:szCs w:val="24"/>
        </w:rPr>
        <w:t xml:space="preserve">7. </w:t>
      </w:r>
      <w:r w:rsidR="001C7636" w:rsidRPr="0086631D">
        <w:rPr>
          <w:rFonts w:ascii="Century Gothic" w:hAnsi="Century Gothic" w:cs="Arial"/>
          <w:bCs/>
          <w:sz w:val="24"/>
          <w:szCs w:val="24"/>
        </w:rPr>
        <w:t xml:space="preserve">Se invoca en apoyo, la </w:t>
      </w:r>
      <w:r w:rsidR="00C75E60" w:rsidRPr="0086631D">
        <w:rPr>
          <w:rFonts w:ascii="Century Gothic" w:hAnsi="Century Gothic" w:cs="Arial"/>
          <w:bCs/>
          <w:sz w:val="24"/>
          <w:szCs w:val="24"/>
        </w:rPr>
        <w:t>J</w:t>
      </w:r>
      <w:r w:rsidR="001C7636" w:rsidRPr="0086631D">
        <w:rPr>
          <w:rFonts w:ascii="Century Gothic" w:hAnsi="Century Gothic" w:cs="Arial"/>
          <w:bCs/>
          <w:sz w:val="24"/>
          <w:szCs w:val="24"/>
        </w:rPr>
        <w:t xml:space="preserve">urisprudencia en materia común, número </w:t>
      </w:r>
      <w:r w:rsidR="001C7636" w:rsidRPr="0086631D">
        <w:rPr>
          <w:rFonts w:ascii="Century Gothic" w:eastAsia="Times New Roman" w:hAnsi="Century Gothic" w:cs="Arial"/>
          <w:sz w:val="24"/>
          <w:szCs w:val="24"/>
        </w:rPr>
        <w:t xml:space="preserve">2a./J. 58/2010, de la Novena Época, emitida por la Segunda Sala de la Suprema Corte de Justicia de la Nación, </w:t>
      </w:r>
      <w:r w:rsidR="001C7636" w:rsidRPr="0086631D">
        <w:rPr>
          <w:rFonts w:ascii="Century Gothic" w:hAnsi="Century Gothic" w:cs="Arial"/>
          <w:bCs/>
          <w:sz w:val="24"/>
          <w:szCs w:val="24"/>
        </w:rPr>
        <w:t xml:space="preserve">con número de registro digital </w:t>
      </w:r>
      <w:r w:rsidR="001C7636" w:rsidRPr="0086631D">
        <w:rPr>
          <w:rFonts w:ascii="Century Gothic" w:eastAsia="Times New Roman" w:hAnsi="Century Gothic" w:cs="Arial"/>
          <w:sz w:val="24"/>
          <w:szCs w:val="24"/>
        </w:rPr>
        <w:t xml:space="preserve">164618, publicada en el Semanario Judicial de la Federación y su Gaceta. En el Tomo XXXI, </w:t>
      </w:r>
      <w:proofErr w:type="gramStart"/>
      <w:r w:rsidR="001C7636" w:rsidRPr="0086631D">
        <w:rPr>
          <w:rFonts w:ascii="Century Gothic" w:eastAsia="Times New Roman" w:hAnsi="Century Gothic" w:cs="Arial"/>
          <w:sz w:val="24"/>
          <w:szCs w:val="24"/>
        </w:rPr>
        <w:t>Mayo</w:t>
      </w:r>
      <w:proofErr w:type="gramEnd"/>
      <w:r w:rsidR="001C7636" w:rsidRPr="0086631D">
        <w:rPr>
          <w:rFonts w:ascii="Century Gothic" w:eastAsia="Times New Roman" w:hAnsi="Century Gothic" w:cs="Arial"/>
          <w:sz w:val="24"/>
          <w:szCs w:val="24"/>
        </w:rPr>
        <w:t xml:space="preserve"> de 2010, visible a página 830, </w:t>
      </w:r>
      <w:r w:rsidR="001C7636" w:rsidRPr="0086631D">
        <w:rPr>
          <w:rFonts w:ascii="Century Gothic" w:hAnsi="Century Gothic" w:cs="Arial"/>
          <w:bCs/>
          <w:sz w:val="24"/>
          <w:szCs w:val="24"/>
        </w:rPr>
        <w:t xml:space="preserve">bajo el rubro y texto siguiente: </w:t>
      </w:r>
    </w:p>
    <w:p w14:paraId="219AD011" w14:textId="1088AB35" w:rsidR="001C7636" w:rsidRPr="0086631D" w:rsidRDefault="001C7636" w:rsidP="00A745A0">
      <w:pPr>
        <w:spacing w:before="240"/>
        <w:ind w:left="567" w:right="616"/>
        <w:jc w:val="both"/>
        <w:rPr>
          <w:rFonts w:ascii="Century Gothic" w:eastAsia="Times New Roman" w:hAnsi="Century Gothic" w:cs="Arial"/>
          <w:i/>
          <w:iCs/>
          <w:sz w:val="24"/>
          <w:szCs w:val="24"/>
        </w:rPr>
      </w:pPr>
      <w:r w:rsidRPr="00C21D0A">
        <w:rPr>
          <w:rFonts w:ascii="Century Gothic" w:eastAsia="Times New Roman" w:hAnsi="Century Gothic" w:cs="Arial"/>
          <w:b/>
          <w:bCs/>
          <w:i/>
          <w:iCs/>
        </w:rPr>
        <w:t>“CONCEPTOS DE VIOLACIÓN O AGRAVIOS. PARA CUMPLIR CON LOS PRINCIPIOS DE CONGRUENCIA Y EXHAUSTIVIDAD EN LAS SENTENCIAS DE AMPARO ES INNECESARIA SU TRANSCRIPCIÓN</w:t>
      </w:r>
      <w:r w:rsidR="00E13363">
        <w:rPr>
          <w:rFonts w:ascii="Century Gothic" w:eastAsia="Times New Roman" w:hAnsi="Century Gothic" w:cs="Arial"/>
          <w:b/>
          <w:bCs/>
          <w:i/>
          <w:iCs/>
          <w:sz w:val="24"/>
          <w:szCs w:val="24"/>
        </w:rPr>
        <w:t>”</w:t>
      </w:r>
      <w:r w:rsidR="00E13363">
        <w:rPr>
          <w:rStyle w:val="Refdenotaalpie"/>
          <w:rFonts w:ascii="Century Gothic" w:eastAsia="Times New Roman" w:hAnsi="Century Gothic" w:cs="Arial"/>
          <w:b/>
          <w:bCs/>
          <w:i/>
          <w:iCs/>
          <w:sz w:val="24"/>
          <w:szCs w:val="24"/>
        </w:rPr>
        <w:footnoteReference w:id="3"/>
      </w:r>
      <w:r w:rsidRPr="0086631D">
        <w:rPr>
          <w:rFonts w:ascii="Century Gothic" w:eastAsia="Times New Roman" w:hAnsi="Century Gothic" w:cs="Arial"/>
          <w:b/>
          <w:bCs/>
          <w:i/>
          <w:iCs/>
          <w:sz w:val="24"/>
          <w:szCs w:val="24"/>
        </w:rPr>
        <w:t>.</w:t>
      </w:r>
    </w:p>
    <w:p w14:paraId="45A5D2FB" w14:textId="77777777" w:rsidR="008E0F19" w:rsidRDefault="00C27A33" w:rsidP="00A745A0">
      <w:pPr>
        <w:spacing w:before="240"/>
        <w:ind w:firstLine="708"/>
        <w:jc w:val="both"/>
        <w:rPr>
          <w:rFonts w:ascii="Century Gothic" w:eastAsia="Calibri" w:hAnsi="Century Gothic" w:cs="Arial"/>
          <w:b/>
          <w:bCs/>
          <w:sz w:val="24"/>
          <w:szCs w:val="24"/>
        </w:rPr>
      </w:pPr>
      <w:r>
        <w:rPr>
          <w:rFonts w:ascii="Century Gothic" w:hAnsi="Century Gothic" w:cs="Arial"/>
          <w:b/>
          <w:bCs/>
          <w:sz w:val="24"/>
          <w:szCs w:val="24"/>
        </w:rPr>
        <w:t>CUARTO</w:t>
      </w:r>
      <w:r w:rsidR="00287983" w:rsidRPr="0086631D">
        <w:rPr>
          <w:rFonts w:ascii="Century Gothic" w:hAnsi="Century Gothic" w:cs="Arial"/>
          <w:b/>
          <w:bCs/>
          <w:sz w:val="24"/>
          <w:szCs w:val="24"/>
        </w:rPr>
        <w:t>.</w:t>
      </w:r>
      <w:r w:rsidR="00287983" w:rsidRPr="0086631D">
        <w:rPr>
          <w:rFonts w:ascii="Century Gothic" w:eastAsia="Calibri" w:hAnsi="Century Gothic" w:cs="Arial"/>
          <w:b/>
          <w:bCs/>
          <w:sz w:val="24"/>
          <w:szCs w:val="24"/>
        </w:rPr>
        <w:t xml:space="preserve"> </w:t>
      </w:r>
      <w:r>
        <w:rPr>
          <w:rFonts w:ascii="Century Gothic" w:eastAsia="Calibri" w:hAnsi="Century Gothic" w:cs="Arial"/>
          <w:b/>
          <w:bCs/>
          <w:sz w:val="24"/>
          <w:szCs w:val="24"/>
        </w:rPr>
        <w:t>Estudio y análisis de los agravios.</w:t>
      </w:r>
    </w:p>
    <w:p w14:paraId="7275331F" w14:textId="03B8D442" w:rsidR="00812C99" w:rsidRPr="0086631D" w:rsidRDefault="008E0F19" w:rsidP="00A745A0">
      <w:pPr>
        <w:spacing w:before="240"/>
        <w:ind w:firstLine="708"/>
        <w:jc w:val="both"/>
        <w:rPr>
          <w:rFonts w:ascii="Century Gothic" w:eastAsia="Calibri" w:hAnsi="Century Gothic" w:cs="Arial"/>
          <w:bCs/>
          <w:sz w:val="24"/>
          <w:szCs w:val="24"/>
        </w:rPr>
      </w:pPr>
      <w:r w:rsidRPr="008E0F19">
        <w:rPr>
          <w:rFonts w:ascii="Century Gothic" w:eastAsia="Calibri" w:hAnsi="Century Gothic" w:cs="Arial"/>
          <w:sz w:val="24"/>
          <w:szCs w:val="24"/>
        </w:rPr>
        <w:t xml:space="preserve">8. </w:t>
      </w:r>
      <w:r w:rsidR="00167772" w:rsidRPr="0086631D">
        <w:rPr>
          <w:rFonts w:ascii="Century Gothic" w:eastAsia="Calibri" w:hAnsi="Century Gothic" w:cs="Arial"/>
          <w:bCs/>
          <w:sz w:val="24"/>
          <w:szCs w:val="24"/>
        </w:rPr>
        <w:t>Del análisis de</w:t>
      </w:r>
      <w:r w:rsidR="00DC5F95" w:rsidRPr="0086631D">
        <w:rPr>
          <w:rFonts w:ascii="Century Gothic" w:eastAsia="Calibri" w:hAnsi="Century Gothic" w:cs="Arial"/>
          <w:bCs/>
          <w:sz w:val="24"/>
          <w:szCs w:val="24"/>
        </w:rPr>
        <w:t>l primer agravio hecho por el recurrente, donde aduce que e</w:t>
      </w:r>
      <w:r w:rsidR="00655491" w:rsidRPr="0086631D">
        <w:rPr>
          <w:rFonts w:ascii="Century Gothic" w:eastAsia="Calibri" w:hAnsi="Century Gothic" w:cs="Arial"/>
          <w:sz w:val="24"/>
          <w:szCs w:val="24"/>
        </w:rPr>
        <w:t xml:space="preserve">l considerando </w:t>
      </w:r>
      <w:r w:rsidR="00DC5F95" w:rsidRPr="0086631D">
        <w:rPr>
          <w:rFonts w:ascii="Century Gothic" w:eastAsia="Calibri" w:hAnsi="Century Gothic" w:cs="Arial"/>
          <w:sz w:val="24"/>
          <w:szCs w:val="24"/>
        </w:rPr>
        <w:t>cuarto</w:t>
      </w:r>
      <w:r w:rsidR="00655491" w:rsidRPr="0086631D">
        <w:rPr>
          <w:rFonts w:ascii="Century Gothic" w:eastAsia="Calibri" w:hAnsi="Century Gothic" w:cs="Arial"/>
          <w:sz w:val="24"/>
          <w:szCs w:val="24"/>
        </w:rPr>
        <w:t xml:space="preserve"> de </w:t>
      </w:r>
      <w:r w:rsidR="00655491" w:rsidRPr="009E1C4A">
        <w:rPr>
          <w:rFonts w:ascii="Century Gothic" w:eastAsia="Calibri" w:hAnsi="Century Gothic" w:cs="Arial"/>
          <w:sz w:val="24"/>
          <w:szCs w:val="24"/>
        </w:rPr>
        <w:t xml:space="preserve">la sentencia que </w:t>
      </w:r>
      <w:r w:rsidR="000C1407" w:rsidRPr="009E1C4A">
        <w:rPr>
          <w:rFonts w:ascii="Century Gothic" w:eastAsia="Calibri" w:hAnsi="Century Gothic" w:cs="Arial"/>
          <w:sz w:val="24"/>
          <w:szCs w:val="24"/>
        </w:rPr>
        <w:t>combate</w:t>
      </w:r>
      <w:r w:rsidR="00655491" w:rsidRPr="009E1C4A">
        <w:rPr>
          <w:rFonts w:ascii="Century Gothic" w:eastAsia="Calibri" w:hAnsi="Century Gothic" w:cs="Arial"/>
          <w:sz w:val="24"/>
          <w:szCs w:val="24"/>
        </w:rPr>
        <w:t xml:space="preserve">, viola </w:t>
      </w:r>
      <w:r w:rsidR="0040309B" w:rsidRPr="009E1C4A">
        <w:rPr>
          <w:rFonts w:ascii="Century Gothic" w:eastAsia="Calibri" w:hAnsi="Century Gothic" w:cs="Arial"/>
          <w:bCs/>
          <w:sz w:val="24"/>
          <w:szCs w:val="24"/>
        </w:rPr>
        <w:t xml:space="preserve">en perjuicio de la autoridad que representa </w:t>
      </w:r>
      <w:r w:rsidR="00675E2C" w:rsidRPr="009E1C4A">
        <w:rPr>
          <w:rFonts w:ascii="Century Gothic" w:eastAsia="Calibri" w:hAnsi="Century Gothic" w:cs="Arial"/>
          <w:bCs/>
          <w:sz w:val="24"/>
          <w:szCs w:val="24"/>
        </w:rPr>
        <w:t xml:space="preserve">los </w:t>
      </w:r>
      <w:r w:rsidR="00812C99" w:rsidRPr="009E1C4A">
        <w:rPr>
          <w:rFonts w:ascii="Century Gothic" w:eastAsia="Calibri" w:hAnsi="Century Gothic" w:cs="Arial"/>
          <w:bCs/>
          <w:sz w:val="24"/>
          <w:szCs w:val="24"/>
        </w:rPr>
        <w:t>artículos 14 y 16 de l</w:t>
      </w:r>
      <w:r w:rsidR="00675E2C" w:rsidRPr="009E1C4A">
        <w:rPr>
          <w:rFonts w:ascii="Century Gothic" w:eastAsia="Calibri" w:hAnsi="Century Gothic" w:cs="Arial"/>
          <w:bCs/>
          <w:sz w:val="24"/>
          <w:szCs w:val="24"/>
        </w:rPr>
        <w:t xml:space="preserve">a Constitución </w:t>
      </w:r>
      <w:r w:rsidR="00F353FC" w:rsidRPr="009E1C4A">
        <w:rPr>
          <w:rFonts w:ascii="Century Gothic" w:eastAsia="Calibri" w:hAnsi="Century Gothic" w:cs="Arial"/>
          <w:bCs/>
          <w:sz w:val="24"/>
          <w:szCs w:val="24"/>
        </w:rPr>
        <w:t>Federal</w:t>
      </w:r>
      <w:r w:rsidR="00812C99" w:rsidRPr="009E1C4A">
        <w:rPr>
          <w:rFonts w:ascii="Century Gothic" w:eastAsia="Calibri" w:hAnsi="Century Gothic" w:cs="Arial"/>
          <w:bCs/>
          <w:sz w:val="24"/>
          <w:szCs w:val="24"/>
        </w:rPr>
        <w:t xml:space="preserve"> </w:t>
      </w:r>
      <w:r w:rsidR="00675E2C" w:rsidRPr="009E1C4A">
        <w:rPr>
          <w:rFonts w:ascii="Century Gothic" w:eastAsia="Calibri" w:hAnsi="Century Gothic" w:cs="Arial"/>
          <w:bCs/>
          <w:sz w:val="24"/>
          <w:szCs w:val="24"/>
        </w:rPr>
        <w:t>y</w:t>
      </w:r>
      <w:r w:rsidR="00812C99" w:rsidRPr="009E1C4A">
        <w:rPr>
          <w:rFonts w:ascii="Century Gothic" w:eastAsia="Calibri" w:hAnsi="Century Gothic" w:cs="Arial"/>
          <w:bCs/>
          <w:sz w:val="24"/>
          <w:szCs w:val="24"/>
        </w:rPr>
        <w:t xml:space="preserve"> 207, fracción II de la Ley de Procedimiento, </w:t>
      </w:r>
      <w:r w:rsidR="00655491" w:rsidRPr="009E1C4A">
        <w:rPr>
          <w:rFonts w:ascii="Century Gothic" w:eastAsia="Calibri" w:hAnsi="Century Gothic" w:cs="Arial"/>
          <w:bCs/>
          <w:sz w:val="24"/>
          <w:szCs w:val="24"/>
        </w:rPr>
        <w:t xml:space="preserve">en virtud de que </w:t>
      </w:r>
      <w:r w:rsidR="00812C99" w:rsidRPr="009E1C4A">
        <w:rPr>
          <w:rFonts w:ascii="Century Gothic" w:eastAsia="Calibri" w:hAnsi="Century Gothic" w:cs="Arial"/>
          <w:bCs/>
          <w:sz w:val="24"/>
          <w:szCs w:val="24"/>
        </w:rPr>
        <w:t>no está emitida de forma congruente con el acto impugnado</w:t>
      </w:r>
      <w:r w:rsidR="00655491" w:rsidRPr="009E1C4A">
        <w:rPr>
          <w:rFonts w:ascii="Century Gothic" w:eastAsia="Calibri" w:hAnsi="Century Gothic" w:cs="Arial"/>
          <w:bCs/>
          <w:sz w:val="24"/>
          <w:szCs w:val="24"/>
        </w:rPr>
        <w:t xml:space="preserve">, ya que a pesar de que </w:t>
      </w:r>
      <w:r w:rsidR="00812C99" w:rsidRPr="009E1C4A">
        <w:rPr>
          <w:rFonts w:ascii="Century Gothic" w:eastAsia="Calibri" w:hAnsi="Century Gothic" w:cs="Arial"/>
          <w:bCs/>
          <w:sz w:val="24"/>
          <w:szCs w:val="24"/>
        </w:rPr>
        <w:t>quedó acreditada la correcta fundamentación y motivación</w:t>
      </w:r>
      <w:r w:rsidR="00655491" w:rsidRPr="009E1C4A">
        <w:rPr>
          <w:rFonts w:ascii="Century Gothic" w:eastAsia="Calibri" w:hAnsi="Century Gothic" w:cs="Arial"/>
          <w:bCs/>
          <w:sz w:val="24"/>
          <w:szCs w:val="24"/>
        </w:rPr>
        <w:t xml:space="preserve"> del acto</w:t>
      </w:r>
      <w:r w:rsidR="00812C99" w:rsidRPr="009E1C4A">
        <w:rPr>
          <w:rFonts w:ascii="Century Gothic" w:eastAsia="Calibri" w:hAnsi="Century Gothic" w:cs="Arial"/>
          <w:bCs/>
          <w:sz w:val="24"/>
          <w:szCs w:val="24"/>
        </w:rPr>
        <w:t xml:space="preserve">, </w:t>
      </w:r>
      <w:r w:rsidR="007D44B7" w:rsidRPr="009E1C4A">
        <w:rPr>
          <w:rFonts w:ascii="Century Gothic" w:eastAsia="Calibri" w:hAnsi="Century Gothic" w:cs="Arial"/>
          <w:bCs/>
          <w:sz w:val="24"/>
          <w:szCs w:val="24"/>
        </w:rPr>
        <w:t xml:space="preserve">y con ello </w:t>
      </w:r>
      <w:r w:rsidR="00655491" w:rsidRPr="009E1C4A">
        <w:rPr>
          <w:rFonts w:ascii="Century Gothic" w:eastAsia="Calibri" w:hAnsi="Century Gothic" w:cs="Arial"/>
          <w:bCs/>
          <w:sz w:val="24"/>
          <w:szCs w:val="24"/>
        </w:rPr>
        <w:t>la validez del mismo, l</w:t>
      </w:r>
      <w:r w:rsidR="001810D5" w:rsidRPr="009E1C4A">
        <w:rPr>
          <w:rFonts w:ascii="Century Gothic" w:eastAsia="Calibri" w:hAnsi="Century Gothic" w:cs="Arial"/>
          <w:bCs/>
          <w:sz w:val="24"/>
          <w:szCs w:val="24"/>
        </w:rPr>
        <w:t>a</w:t>
      </w:r>
      <w:r w:rsidR="00655491" w:rsidRPr="009E1C4A">
        <w:rPr>
          <w:rFonts w:ascii="Century Gothic" w:eastAsia="Calibri" w:hAnsi="Century Gothic" w:cs="Arial"/>
          <w:bCs/>
          <w:sz w:val="24"/>
          <w:szCs w:val="24"/>
        </w:rPr>
        <w:t xml:space="preserve"> </w:t>
      </w:r>
      <w:r w:rsidR="00812C99" w:rsidRPr="009E1C4A">
        <w:rPr>
          <w:rFonts w:ascii="Century Gothic" w:eastAsia="Calibri" w:hAnsi="Century Gothic" w:cs="Arial"/>
          <w:bCs/>
          <w:i/>
          <w:iCs/>
          <w:sz w:val="24"/>
          <w:szCs w:val="24"/>
        </w:rPr>
        <w:t xml:space="preserve">A quo </w:t>
      </w:r>
      <w:r w:rsidR="00655491" w:rsidRPr="009E1C4A">
        <w:rPr>
          <w:rFonts w:ascii="Century Gothic" w:eastAsia="Calibri" w:hAnsi="Century Gothic" w:cs="Arial"/>
          <w:bCs/>
          <w:sz w:val="24"/>
          <w:szCs w:val="24"/>
        </w:rPr>
        <w:t>omi</w:t>
      </w:r>
      <w:r w:rsidR="001810D5" w:rsidRPr="009E1C4A">
        <w:rPr>
          <w:rFonts w:ascii="Century Gothic" w:eastAsia="Calibri" w:hAnsi="Century Gothic" w:cs="Arial"/>
          <w:bCs/>
          <w:sz w:val="24"/>
          <w:szCs w:val="24"/>
        </w:rPr>
        <w:t xml:space="preserve">tió razonarla </w:t>
      </w:r>
      <w:r w:rsidR="00655491" w:rsidRPr="009E1C4A">
        <w:rPr>
          <w:rFonts w:ascii="Century Gothic" w:eastAsia="Calibri" w:hAnsi="Century Gothic" w:cs="Arial"/>
          <w:bCs/>
          <w:sz w:val="24"/>
          <w:szCs w:val="24"/>
        </w:rPr>
        <w:t xml:space="preserve">para declarar </w:t>
      </w:r>
      <w:r w:rsidR="001810D5" w:rsidRPr="009E1C4A">
        <w:rPr>
          <w:rFonts w:ascii="Century Gothic" w:eastAsia="Calibri" w:hAnsi="Century Gothic" w:cs="Arial"/>
          <w:bCs/>
          <w:sz w:val="24"/>
          <w:szCs w:val="24"/>
        </w:rPr>
        <w:t xml:space="preserve">su nulidad </w:t>
      </w:r>
      <w:r w:rsidR="00812C99" w:rsidRPr="009E1C4A">
        <w:rPr>
          <w:rFonts w:ascii="Century Gothic" w:eastAsia="Calibri" w:hAnsi="Century Gothic" w:cs="Arial"/>
          <w:bCs/>
          <w:sz w:val="24"/>
          <w:szCs w:val="24"/>
        </w:rPr>
        <w:t>lisa y llana</w:t>
      </w:r>
      <w:r w:rsidR="001810D5" w:rsidRPr="009E1C4A">
        <w:rPr>
          <w:rFonts w:ascii="Century Gothic" w:eastAsia="Calibri" w:hAnsi="Century Gothic" w:cs="Arial"/>
          <w:bCs/>
          <w:sz w:val="24"/>
          <w:szCs w:val="24"/>
        </w:rPr>
        <w:t>.</w:t>
      </w:r>
    </w:p>
    <w:p w14:paraId="476AC4DF" w14:textId="20AB5E0F" w:rsidR="00092E19" w:rsidRPr="0086631D" w:rsidRDefault="00023FE9" w:rsidP="00A745A0">
      <w:pPr>
        <w:spacing w:before="240"/>
        <w:ind w:firstLine="708"/>
        <w:jc w:val="both"/>
        <w:rPr>
          <w:rFonts w:ascii="Century Gothic" w:eastAsia="Calibri" w:hAnsi="Century Gothic" w:cs="Arial"/>
          <w:bCs/>
          <w:sz w:val="24"/>
          <w:szCs w:val="24"/>
        </w:rPr>
      </w:pPr>
      <w:r>
        <w:rPr>
          <w:rFonts w:ascii="Century Gothic" w:eastAsia="Calibri" w:hAnsi="Century Gothic" w:cs="Arial"/>
          <w:bCs/>
          <w:sz w:val="24"/>
          <w:szCs w:val="24"/>
        </w:rPr>
        <w:lastRenderedPageBreak/>
        <w:t xml:space="preserve">9. </w:t>
      </w:r>
      <w:r w:rsidR="00092E19" w:rsidRPr="0086631D">
        <w:rPr>
          <w:rFonts w:ascii="Century Gothic" w:eastAsia="Calibri" w:hAnsi="Century Gothic" w:cs="Arial"/>
          <w:bCs/>
          <w:sz w:val="24"/>
          <w:szCs w:val="24"/>
        </w:rPr>
        <w:t>R</w:t>
      </w:r>
      <w:r w:rsidR="00655491" w:rsidRPr="0086631D">
        <w:rPr>
          <w:rFonts w:ascii="Century Gothic" w:eastAsia="Calibri" w:hAnsi="Century Gothic" w:cs="Arial"/>
          <w:bCs/>
          <w:sz w:val="24"/>
          <w:szCs w:val="24"/>
        </w:rPr>
        <w:t xml:space="preserve">efiere que </w:t>
      </w:r>
      <w:r w:rsidR="0024076F" w:rsidRPr="0086631D">
        <w:rPr>
          <w:rFonts w:ascii="Century Gothic" w:eastAsia="Calibri" w:hAnsi="Century Gothic" w:cs="Arial"/>
          <w:bCs/>
          <w:sz w:val="24"/>
          <w:szCs w:val="24"/>
        </w:rPr>
        <w:t xml:space="preserve">el Magistrado Titular de </w:t>
      </w:r>
      <w:r w:rsidR="00092E19" w:rsidRPr="0086631D">
        <w:rPr>
          <w:rFonts w:ascii="Century Gothic" w:eastAsia="Calibri" w:hAnsi="Century Gothic" w:cs="Arial"/>
          <w:bCs/>
          <w:sz w:val="24"/>
          <w:szCs w:val="24"/>
        </w:rPr>
        <w:t>Primera Instancia, le causa</w:t>
      </w:r>
      <w:r w:rsidR="00655491" w:rsidRPr="0086631D">
        <w:rPr>
          <w:rFonts w:ascii="Century Gothic" w:eastAsia="Calibri" w:hAnsi="Century Gothic" w:cs="Arial"/>
          <w:bCs/>
          <w:sz w:val="24"/>
          <w:szCs w:val="24"/>
        </w:rPr>
        <w:t xml:space="preserve"> agravio a su investidura como P</w:t>
      </w:r>
      <w:r w:rsidR="00092E19" w:rsidRPr="0086631D">
        <w:rPr>
          <w:rFonts w:ascii="Century Gothic" w:eastAsia="Calibri" w:hAnsi="Century Gothic" w:cs="Arial"/>
          <w:bCs/>
          <w:sz w:val="24"/>
          <w:szCs w:val="24"/>
        </w:rPr>
        <w:t xml:space="preserve">olicía </w:t>
      </w:r>
      <w:r w:rsidR="003626E5" w:rsidRPr="0086631D">
        <w:rPr>
          <w:rFonts w:ascii="Century Gothic" w:eastAsia="Calibri" w:hAnsi="Century Gothic" w:cs="Arial"/>
          <w:bCs/>
          <w:sz w:val="24"/>
          <w:szCs w:val="24"/>
        </w:rPr>
        <w:t>Vial M</w:t>
      </w:r>
      <w:r w:rsidR="00092E19" w:rsidRPr="0086631D">
        <w:rPr>
          <w:rFonts w:ascii="Century Gothic" w:eastAsia="Calibri" w:hAnsi="Century Gothic" w:cs="Arial"/>
          <w:bCs/>
          <w:sz w:val="24"/>
          <w:szCs w:val="24"/>
        </w:rPr>
        <w:t>unicipal, ya que en primer término</w:t>
      </w:r>
      <w:r w:rsidR="00136F02" w:rsidRPr="0086631D">
        <w:rPr>
          <w:rFonts w:ascii="Century Gothic" w:eastAsia="Calibri" w:hAnsi="Century Gothic" w:cs="Arial"/>
          <w:bCs/>
          <w:sz w:val="24"/>
          <w:szCs w:val="24"/>
        </w:rPr>
        <w:t xml:space="preserve"> </w:t>
      </w:r>
      <w:r w:rsidR="00092E19" w:rsidRPr="0086631D">
        <w:rPr>
          <w:rFonts w:ascii="Century Gothic" w:eastAsia="Calibri" w:hAnsi="Century Gothic" w:cs="Arial"/>
          <w:bCs/>
          <w:sz w:val="24"/>
          <w:szCs w:val="24"/>
        </w:rPr>
        <w:t xml:space="preserve"> </w:t>
      </w:r>
      <w:r w:rsidR="00136F02" w:rsidRPr="0086631D">
        <w:rPr>
          <w:rFonts w:ascii="Century Gothic" w:eastAsia="Calibri" w:hAnsi="Century Gothic" w:cs="Arial"/>
          <w:bCs/>
          <w:sz w:val="24"/>
          <w:szCs w:val="24"/>
        </w:rPr>
        <w:t xml:space="preserve">la infracción en comento se encuentra debidamente fundada y motivada, razón por la cual emitió </w:t>
      </w:r>
      <w:r w:rsidR="00092E19" w:rsidRPr="0086631D">
        <w:rPr>
          <w:rFonts w:ascii="Century Gothic" w:eastAsia="Calibri" w:hAnsi="Century Gothic" w:cs="Arial"/>
          <w:bCs/>
          <w:sz w:val="24"/>
          <w:szCs w:val="24"/>
        </w:rPr>
        <w:t xml:space="preserve">el acta de infracción con número de folio </w:t>
      </w:r>
      <w:r w:rsidR="00136F02" w:rsidRPr="0086631D">
        <w:rPr>
          <w:rFonts w:ascii="Century Gothic" w:eastAsia="Calibri" w:hAnsi="Century Gothic" w:cs="Arial"/>
          <w:bCs/>
          <w:sz w:val="24"/>
          <w:szCs w:val="24"/>
        </w:rPr>
        <w:t>5737</w:t>
      </w:r>
      <w:r w:rsidR="00BE5DFA" w:rsidRPr="0086631D">
        <w:rPr>
          <w:rFonts w:ascii="Century Gothic" w:eastAsia="Calibri" w:hAnsi="Century Gothic" w:cs="Arial"/>
          <w:bCs/>
          <w:sz w:val="24"/>
          <w:szCs w:val="24"/>
        </w:rPr>
        <w:t xml:space="preserve">-A </w:t>
      </w:r>
      <w:r w:rsidR="00092E19" w:rsidRPr="0086631D">
        <w:rPr>
          <w:rFonts w:ascii="Century Gothic" w:eastAsia="Calibri" w:hAnsi="Century Gothic" w:cs="Arial"/>
          <w:bCs/>
          <w:sz w:val="24"/>
          <w:szCs w:val="24"/>
        </w:rPr>
        <w:t xml:space="preserve">de </w:t>
      </w:r>
      <w:r w:rsidR="00BE5DFA" w:rsidRPr="0086631D">
        <w:rPr>
          <w:rFonts w:ascii="Century Gothic" w:eastAsia="Calibri" w:hAnsi="Century Gothic" w:cs="Arial"/>
          <w:bCs/>
          <w:sz w:val="24"/>
          <w:szCs w:val="24"/>
        </w:rPr>
        <w:t xml:space="preserve">fecha </w:t>
      </w:r>
      <w:r w:rsidR="00136F02" w:rsidRPr="0086631D">
        <w:rPr>
          <w:rFonts w:ascii="Century Gothic" w:eastAsia="Calibri" w:hAnsi="Century Gothic" w:cs="Arial"/>
          <w:bCs/>
          <w:sz w:val="24"/>
          <w:szCs w:val="24"/>
        </w:rPr>
        <w:t>catorce de octubre de dos mil veinte,</w:t>
      </w:r>
      <w:r w:rsidR="006B0008" w:rsidRPr="0086631D">
        <w:rPr>
          <w:rFonts w:ascii="Century Gothic" w:eastAsia="Calibri" w:hAnsi="Century Gothic" w:cs="Arial"/>
          <w:bCs/>
          <w:sz w:val="24"/>
          <w:szCs w:val="24"/>
        </w:rPr>
        <w:t xml:space="preserve"> </w:t>
      </w:r>
      <w:r w:rsidR="00136F02" w:rsidRPr="0086631D">
        <w:rPr>
          <w:rFonts w:ascii="Century Gothic" w:eastAsia="Calibri" w:hAnsi="Century Gothic" w:cs="Arial"/>
          <w:bCs/>
          <w:sz w:val="24"/>
          <w:szCs w:val="24"/>
        </w:rPr>
        <w:t xml:space="preserve">consistente en “POR PASARSE LA LUZ ROJA” e indico como fundamentación los artículos 16 fracción II, 59 fracción I incisos c) y d) y 130 del Reglamento, </w:t>
      </w:r>
      <w:r w:rsidR="00092E19" w:rsidRPr="0086631D">
        <w:rPr>
          <w:rFonts w:ascii="Century Gothic" w:eastAsia="Calibri" w:hAnsi="Century Gothic" w:cs="Arial"/>
          <w:bCs/>
          <w:sz w:val="24"/>
          <w:szCs w:val="24"/>
        </w:rPr>
        <w:t>que prevé l</w:t>
      </w:r>
      <w:r w:rsidR="00C54E60" w:rsidRPr="0086631D">
        <w:rPr>
          <w:rFonts w:ascii="Century Gothic" w:eastAsia="Calibri" w:hAnsi="Century Gothic" w:cs="Arial"/>
          <w:bCs/>
          <w:sz w:val="24"/>
          <w:szCs w:val="24"/>
        </w:rPr>
        <w:t>a conducta ilegal de</w:t>
      </w:r>
      <w:r w:rsidR="00136F02" w:rsidRPr="0086631D">
        <w:rPr>
          <w:rFonts w:ascii="Century Gothic" w:eastAsia="Calibri" w:hAnsi="Century Gothic" w:cs="Arial"/>
          <w:bCs/>
          <w:sz w:val="24"/>
          <w:szCs w:val="24"/>
        </w:rPr>
        <w:t xml:space="preserve"> la infractora</w:t>
      </w:r>
      <w:r w:rsidR="00821FB2" w:rsidRPr="0086631D">
        <w:rPr>
          <w:rFonts w:ascii="Century Gothic" w:eastAsia="Calibri" w:hAnsi="Century Gothic" w:cs="Arial"/>
          <w:bCs/>
          <w:sz w:val="24"/>
          <w:szCs w:val="24"/>
        </w:rPr>
        <w:t xml:space="preserve">, </w:t>
      </w:r>
      <w:r w:rsidR="00092E19" w:rsidRPr="0086631D">
        <w:rPr>
          <w:rFonts w:ascii="Century Gothic" w:eastAsia="Calibri" w:hAnsi="Century Gothic" w:cs="Arial"/>
          <w:bCs/>
          <w:sz w:val="24"/>
          <w:szCs w:val="24"/>
        </w:rPr>
        <w:t xml:space="preserve"> </w:t>
      </w:r>
      <w:r w:rsidR="008D4B95" w:rsidRPr="0086631D">
        <w:rPr>
          <w:rFonts w:ascii="Century Gothic" w:eastAsia="Calibri" w:hAnsi="Century Gothic" w:cs="Arial"/>
          <w:bCs/>
          <w:sz w:val="24"/>
          <w:szCs w:val="24"/>
        </w:rPr>
        <w:t xml:space="preserve">por lo que </w:t>
      </w:r>
      <w:r w:rsidR="00092E19" w:rsidRPr="0086631D">
        <w:rPr>
          <w:rFonts w:ascii="Century Gothic" w:eastAsia="Calibri" w:hAnsi="Century Gothic" w:cs="Arial"/>
          <w:bCs/>
          <w:sz w:val="24"/>
          <w:szCs w:val="24"/>
        </w:rPr>
        <w:t>se hizo acreedor</w:t>
      </w:r>
      <w:r w:rsidR="00136F02" w:rsidRPr="0086631D">
        <w:rPr>
          <w:rFonts w:ascii="Century Gothic" w:eastAsia="Calibri" w:hAnsi="Century Gothic" w:cs="Arial"/>
          <w:bCs/>
          <w:sz w:val="24"/>
          <w:szCs w:val="24"/>
        </w:rPr>
        <w:t>a</w:t>
      </w:r>
      <w:r w:rsidR="00092E19" w:rsidRPr="0086631D">
        <w:rPr>
          <w:rFonts w:ascii="Century Gothic" w:eastAsia="Calibri" w:hAnsi="Century Gothic" w:cs="Arial"/>
          <w:bCs/>
          <w:sz w:val="24"/>
          <w:szCs w:val="24"/>
        </w:rPr>
        <w:t xml:space="preserve"> a una sanción como consecuencia de su conducta ilegal</w:t>
      </w:r>
      <w:r w:rsidR="00C9056B" w:rsidRPr="0086631D">
        <w:rPr>
          <w:rFonts w:ascii="Century Gothic" w:eastAsia="Calibri" w:hAnsi="Century Gothic" w:cs="Arial"/>
          <w:bCs/>
          <w:sz w:val="24"/>
          <w:szCs w:val="24"/>
        </w:rPr>
        <w:t xml:space="preserve">, </w:t>
      </w:r>
      <w:r w:rsidR="008D4B95" w:rsidRPr="0086631D">
        <w:rPr>
          <w:rFonts w:ascii="Century Gothic" w:eastAsia="Calibri" w:hAnsi="Century Gothic" w:cs="Arial"/>
          <w:bCs/>
          <w:sz w:val="24"/>
          <w:szCs w:val="24"/>
        </w:rPr>
        <w:t>de lo que se desprende la</w:t>
      </w:r>
      <w:r w:rsidR="003925FB" w:rsidRPr="0086631D">
        <w:rPr>
          <w:rFonts w:ascii="Century Gothic" w:eastAsia="Calibri" w:hAnsi="Century Gothic" w:cs="Arial"/>
          <w:bCs/>
          <w:sz w:val="24"/>
          <w:szCs w:val="24"/>
        </w:rPr>
        <w:t xml:space="preserve"> legalidad de la multa impuesta; por </w:t>
      </w:r>
      <w:r w:rsidR="003626E5" w:rsidRPr="0086631D">
        <w:rPr>
          <w:rFonts w:ascii="Century Gothic" w:eastAsia="Calibri" w:hAnsi="Century Gothic" w:cs="Arial"/>
          <w:bCs/>
          <w:sz w:val="24"/>
          <w:szCs w:val="24"/>
        </w:rPr>
        <w:t>el</w:t>
      </w:r>
      <w:r w:rsidR="003925FB" w:rsidRPr="0086631D">
        <w:rPr>
          <w:rFonts w:ascii="Century Gothic" w:eastAsia="Calibri" w:hAnsi="Century Gothic" w:cs="Arial"/>
          <w:bCs/>
          <w:sz w:val="24"/>
          <w:szCs w:val="24"/>
        </w:rPr>
        <w:t>lo</w:t>
      </w:r>
      <w:r w:rsidR="003626E5" w:rsidRPr="0086631D">
        <w:rPr>
          <w:rFonts w:ascii="Century Gothic" w:eastAsia="Calibri" w:hAnsi="Century Gothic" w:cs="Arial"/>
          <w:bCs/>
          <w:sz w:val="24"/>
          <w:szCs w:val="24"/>
        </w:rPr>
        <w:t>, l</w:t>
      </w:r>
      <w:r w:rsidR="003925FB" w:rsidRPr="0086631D">
        <w:rPr>
          <w:rFonts w:ascii="Century Gothic" w:eastAsia="Calibri" w:hAnsi="Century Gothic" w:cs="Arial"/>
          <w:bCs/>
          <w:sz w:val="24"/>
          <w:szCs w:val="24"/>
        </w:rPr>
        <w:t xml:space="preserve">a sentencia no </w:t>
      </w:r>
      <w:r w:rsidR="003626E5" w:rsidRPr="0086631D">
        <w:rPr>
          <w:rFonts w:ascii="Century Gothic" w:eastAsia="Calibri" w:hAnsi="Century Gothic" w:cs="Arial"/>
          <w:bCs/>
          <w:sz w:val="24"/>
          <w:szCs w:val="24"/>
        </w:rPr>
        <w:t>está apegada a derecho, ni fundada ni motivada</w:t>
      </w:r>
      <w:r w:rsidR="003925FB" w:rsidRPr="0086631D">
        <w:rPr>
          <w:rFonts w:ascii="Century Gothic" w:eastAsia="Calibri" w:hAnsi="Century Gothic" w:cs="Arial"/>
          <w:bCs/>
          <w:sz w:val="24"/>
          <w:szCs w:val="24"/>
        </w:rPr>
        <w:t>.</w:t>
      </w:r>
      <w:r w:rsidR="00E4394F" w:rsidRPr="0086631D">
        <w:rPr>
          <w:rFonts w:ascii="Century Gothic" w:eastAsia="Calibri" w:hAnsi="Century Gothic" w:cs="Arial"/>
          <w:bCs/>
          <w:sz w:val="24"/>
          <w:szCs w:val="24"/>
        </w:rPr>
        <w:t xml:space="preserve"> Aunado a que en el acta de infracción se citaron las circunstancias de modo, tiempo y lugar, para cumplir con el requisito de fundamentación y motivación que exige el artículo 17, fracción V de la Ley de Procedimiento</w:t>
      </w:r>
      <w:r w:rsidR="00484F8B" w:rsidRPr="0086631D">
        <w:rPr>
          <w:rFonts w:ascii="Century Gothic" w:eastAsia="Calibri" w:hAnsi="Century Gothic" w:cs="Arial"/>
          <w:bCs/>
          <w:sz w:val="24"/>
          <w:szCs w:val="24"/>
        </w:rPr>
        <w:t xml:space="preserve">; </w:t>
      </w:r>
      <w:r w:rsidR="00821FB2" w:rsidRPr="0086631D">
        <w:rPr>
          <w:rFonts w:ascii="Century Gothic" w:eastAsia="Calibri" w:hAnsi="Century Gothic" w:cs="Arial"/>
          <w:bCs/>
          <w:sz w:val="24"/>
          <w:szCs w:val="24"/>
        </w:rPr>
        <w:t xml:space="preserve">que si bien es cierto que el artículo 16 Constitucional establece la obligación de las autoridades de fundar y motivar sus actos, desde el punto de vista formal, cuando se expresen las normas legales aplicables y los hechos que hacen que el caso encaje en las hipótesis normativas, basta el razonamiento sustancial, sin que pueda exigirse formalmente mayor amplitud o abundancia, para que se comprenda el argumento expresado; además que se debe </w:t>
      </w:r>
      <w:r w:rsidR="00484F8B" w:rsidRPr="0086631D">
        <w:rPr>
          <w:rFonts w:ascii="Century Gothic" w:eastAsia="Calibri" w:hAnsi="Century Gothic" w:cs="Arial"/>
          <w:bCs/>
          <w:sz w:val="24"/>
          <w:szCs w:val="24"/>
        </w:rPr>
        <w:t>resolver bajo la premisa de que todo acto de autoridad es v</w:t>
      </w:r>
      <w:r w:rsidR="00821FB2" w:rsidRPr="0086631D">
        <w:rPr>
          <w:rFonts w:ascii="Century Gothic" w:eastAsia="Calibri" w:hAnsi="Century Gothic" w:cs="Arial"/>
          <w:bCs/>
          <w:sz w:val="24"/>
          <w:szCs w:val="24"/>
        </w:rPr>
        <w:t>á</w:t>
      </w:r>
      <w:r w:rsidR="00484F8B" w:rsidRPr="0086631D">
        <w:rPr>
          <w:rFonts w:ascii="Century Gothic" w:eastAsia="Calibri" w:hAnsi="Century Gothic" w:cs="Arial"/>
          <w:bCs/>
          <w:sz w:val="24"/>
          <w:szCs w:val="24"/>
        </w:rPr>
        <w:t>li</w:t>
      </w:r>
      <w:r w:rsidR="00821FB2" w:rsidRPr="0086631D">
        <w:rPr>
          <w:rFonts w:ascii="Century Gothic" w:eastAsia="Calibri" w:hAnsi="Century Gothic" w:cs="Arial"/>
          <w:bCs/>
          <w:sz w:val="24"/>
          <w:szCs w:val="24"/>
        </w:rPr>
        <w:t>do hasta demostrar lo contrario, correspondiéndole al promovente aportar los elementos necesarios para que desvirtúen la legalidad del acto de autoridad.</w:t>
      </w:r>
    </w:p>
    <w:p w14:paraId="48325F9A" w14:textId="7FDC7BE0" w:rsidR="00D00D3F" w:rsidRPr="0086631D" w:rsidRDefault="00023FE9" w:rsidP="00A745A0">
      <w:pPr>
        <w:ind w:firstLine="708"/>
        <w:jc w:val="both"/>
        <w:rPr>
          <w:rFonts w:ascii="Century Gothic" w:eastAsia="Calibri" w:hAnsi="Century Gothic" w:cs="Arial"/>
          <w:bCs/>
          <w:sz w:val="24"/>
          <w:szCs w:val="24"/>
        </w:rPr>
      </w:pPr>
      <w:r>
        <w:rPr>
          <w:rFonts w:ascii="Century Gothic" w:hAnsi="Century Gothic" w:cs="Arial"/>
          <w:sz w:val="24"/>
          <w:szCs w:val="24"/>
        </w:rPr>
        <w:t xml:space="preserve">10. </w:t>
      </w:r>
      <w:r w:rsidR="001E0503" w:rsidRPr="0086631D">
        <w:rPr>
          <w:rFonts w:ascii="Century Gothic" w:hAnsi="Century Gothic" w:cs="Arial"/>
          <w:sz w:val="24"/>
          <w:szCs w:val="24"/>
        </w:rPr>
        <w:t>Al caso,</w:t>
      </w:r>
      <w:r w:rsidR="00D00D3F" w:rsidRPr="0086631D">
        <w:rPr>
          <w:rFonts w:ascii="Century Gothic" w:hAnsi="Century Gothic" w:cs="Arial"/>
          <w:b/>
          <w:color w:val="000000"/>
          <w:sz w:val="24"/>
          <w:szCs w:val="24"/>
        </w:rPr>
        <w:t xml:space="preserve"> </w:t>
      </w:r>
      <w:r w:rsidR="001E0503" w:rsidRPr="0086631D">
        <w:rPr>
          <w:rFonts w:ascii="Century Gothic" w:hAnsi="Century Gothic" w:cs="Arial"/>
          <w:color w:val="000000"/>
          <w:sz w:val="24"/>
          <w:szCs w:val="24"/>
        </w:rPr>
        <w:t xml:space="preserve"> el agravio</w:t>
      </w:r>
      <w:r w:rsidR="00D00D3F" w:rsidRPr="0086631D">
        <w:rPr>
          <w:rFonts w:ascii="Century Gothic" w:hAnsi="Century Gothic" w:cs="Arial"/>
          <w:bCs/>
          <w:color w:val="000000"/>
          <w:sz w:val="24"/>
          <w:szCs w:val="24"/>
        </w:rPr>
        <w:t xml:space="preserve"> expuesto</w:t>
      </w:r>
      <w:r w:rsidR="00C565E5" w:rsidRPr="0086631D">
        <w:rPr>
          <w:rFonts w:ascii="Century Gothic" w:hAnsi="Century Gothic" w:cs="Arial"/>
          <w:bCs/>
          <w:color w:val="000000"/>
          <w:sz w:val="24"/>
          <w:szCs w:val="24"/>
        </w:rPr>
        <w:t xml:space="preserve"> por el</w:t>
      </w:r>
      <w:r w:rsidR="00D00D3F" w:rsidRPr="0086631D">
        <w:rPr>
          <w:rFonts w:ascii="Century Gothic" w:hAnsi="Century Gothic" w:cs="Arial"/>
          <w:bCs/>
          <w:color w:val="000000"/>
          <w:sz w:val="24"/>
          <w:szCs w:val="24"/>
        </w:rPr>
        <w:t xml:space="preserve"> recurrente</w:t>
      </w:r>
      <w:r w:rsidR="001E0503" w:rsidRPr="0086631D">
        <w:rPr>
          <w:rFonts w:ascii="Century Gothic" w:hAnsi="Century Gothic" w:cs="Arial"/>
          <w:bCs/>
          <w:color w:val="000000"/>
          <w:sz w:val="24"/>
          <w:szCs w:val="24"/>
        </w:rPr>
        <w:t xml:space="preserve"> resulta </w:t>
      </w:r>
      <w:r w:rsidR="001E0503" w:rsidRPr="0086631D">
        <w:rPr>
          <w:rFonts w:ascii="Century Gothic" w:hAnsi="Century Gothic" w:cs="Arial"/>
          <w:b/>
          <w:color w:val="000000"/>
          <w:sz w:val="24"/>
          <w:szCs w:val="24"/>
        </w:rPr>
        <w:t>INOPERANTE,</w:t>
      </w:r>
      <w:r w:rsidR="00D00D3F" w:rsidRPr="0086631D">
        <w:rPr>
          <w:rFonts w:ascii="Century Gothic" w:hAnsi="Century Gothic" w:cs="Arial"/>
          <w:b/>
          <w:color w:val="000000"/>
          <w:sz w:val="24"/>
          <w:szCs w:val="24"/>
        </w:rPr>
        <w:t xml:space="preserve"> </w:t>
      </w:r>
      <w:r w:rsidR="00D00D3F" w:rsidRPr="0086631D">
        <w:rPr>
          <w:rFonts w:ascii="Century Gothic" w:hAnsi="Century Gothic" w:cs="Arial"/>
          <w:bCs/>
          <w:color w:val="000000"/>
          <w:sz w:val="24"/>
          <w:szCs w:val="24"/>
        </w:rPr>
        <w:t xml:space="preserve">ya que </w:t>
      </w:r>
      <w:r w:rsidR="00D00D3F" w:rsidRPr="0086631D">
        <w:rPr>
          <w:rFonts w:ascii="Century Gothic" w:eastAsia="Calibri" w:hAnsi="Century Gothic" w:cs="Arial"/>
          <w:bCs/>
          <w:sz w:val="24"/>
          <w:szCs w:val="24"/>
        </w:rPr>
        <w:t xml:space="preserve">no basta que exprese de forma genérica y abstracta que en la sentencia en estudio se incurrió en indebida fundamentación y motivación, sino que debe </w:t>
      </w:r>
      <w:r w:rsidR="00D00D3F" w:rsidRPr="0086631D">
        <w:rPr>
          <w:rFonts w:ascii="Century Gothic" w:hAnsi="Century Gothic" w:cs="Arial"/>
          <w:sz w:val="24"/>
          <w:szCs w:val="24"/>
        </w:rPr>
        <w:t xml:space="preserve">exponer en forma precisa y razonada, los motivos concretos en los que explique el porqué de sus aseveraciones; es decir, debe </w:t>
      </w:r>
      <w:r w:rsidR="00D00D3F" w:rsidRPr="0086631D">
        <w:rPr>
          <w:rFonts w:ascii="Century Gothic" w:eastAsia="Calibri" w:hAnsi="Century Gothic" w:cs="Arial"/>
          <w:bCs/>
          <w:sz w:val="24"/>
          <w:szCs w:val="24"/>
        </w:rPr>
        <w:t xml:space="preserve">señalar cual es el pronunciamiento específico de la sentencia en la que se incurrió en indebida </w:t>
      </w:r>
      <w:r w:rsidR="00D00D3F" w:rsidRPr="00751243">
        <w:rPr>
          <w:rFonts w:ascii="Century Gothic" w:eastAsia="Calibri" w:hAnsi="Century Gothic" w:cs="Arial"/>
          <w:bCs/>
          <w:sz w:val="24"/>
          <w:szCs w:val="24"/>
        </w:rPr>
        <w:t>fundamentación y motivación</w:t>
      </w:r>
      <w:r w:rsidR="00D00D3F" w:rsidRPr="00720487">
        <w:rPr>
          <w:rFonts w:ascii="Century Gothic" w:eastAsia="Calibri" w:hAnsi="Century Gothic" w:cs="Arial"/>
          <w:bCs/>
          <w:sz w:val="24"/>
          <w:szCs w:val="24"/>
        </w:rPr>
        <w:t xml:space="preserve"> </w:t>
      </w:r>
      <w:r w:rsidR="00D00D3F" w:rsidRPr="0086631D">
        <w:rPr>
          <w:rFonts w:ascii="Century Gothic" w:eastAsia="Calibri" w:hAnsi="Century Gothic" w:cs="Arial"/>
          <w:bCs/>
          <w:sz w:val="24"/>
          <w:szCs w:val="24"/>
        </w:rPr>
        <w:t xml:space="preserve">y relacionar sus razones de disenso con el perjuicio que se le cause, </w:t>
      </w:r>
      <w:r w:rsidR="00D00D3F" w:rsidRPr="0086631D">
        <w:rPr>
          <w:rFonts w:ascii="Century Gothic" w:hAnsi="Century Gothic" w:cs="Arial"/>
          <w:sz w:val="24"/>
          <w:szCs w:val="24"/>
          <w:shd w:val="clear" w:color="auto" w:fill="FFFFFF"/>
        </w:rPr>
        <w:t xml:space="preserve">pues es obvio que </w:t>
      </w:r>
      <w:r w:rsidR="001E0503" w:rsidRPr="0086631D">
        <w:rPr>
          <w:rFonts w:ascii="Century Gothic" w:hAnsi="Century Gothic" w:cs="Arial"/>
          <w:sz w:val="24"/>
          <w:szCs w:val="24"/>
          <w:shd w:val="clear" w:color="auto" w:fill="FFFFFF"/>
        </w:rPr>
        <w:t xml:space="preserve">el </w:t>
      </w:r>
      <w:r w:rsidR="00D00D3F" w:rsidRPr="0086631D">
        <w:rPr>
          <w:rFonts w:ascii="Century Gothic" w:hAnsi="Century Gothic" w:cs="Arial"/>
          <w:sz w:val="24"/>
          <w:szCs w:val="24"/>
          <w:shd w:val="clear" w:color="auto" w:fill="FFFFFF"/>
        </w:rPr>
        <w:t xml:space="preserve">hoy recurrente como autoridad demandada en el juicio natural, le corresponde exponer razonadamente por qué estima ilegal el acto que recurre, debiendo señalar la parte de la sentencia que considera se encuentra indebidamente fundada y motivada, mas no expresar simples aseveraciones con la finalidad de que esta Sala Superior emprenda el examen de legalidad de la sentencia alzada con base en tales manifestaciones; consecuentemente, al no controvertir </w:t>
      </w:r>
      <w:r w:rsidR="00D00D3F" w:rsidRPr="0086631D">
        <w:rPr>
          <w:rFonts w:ascii="Century Gothic" w:eastAsia="Calibri" w:hAnsi="Century Gothic" w:cs="Arial"/>
          <w:bCs/>
          <w:sz w:val="24"/>
          <w:szCs w:val="24"/>
        </w:rPr>
        <w:t xml:space="preserve">de forma adecuada los fundamentos legales y las consideraciones de la primera instancia plasmadas en la sentencia impugnada, es que resulta </w:t>
      </w:r>
      <w:r w:rsidR="00D00D3F" w:rsidRPr="0086631D">
        <w:rPr>
          <w:rFonts w:ascii="Century Gothic" w:eastAsia="Calibri" w:hAnsi="Century Gothic" w:cs="Arial"/>
          <w:b/>
          <w:sz w:val="24"/>
          <w:szCs w:val="24"/>
        </w:rPr>
        <w:t>inoperante</w:t>
      </w:r>
      <w:r w:rsidR="00C565E5" w:rsidRPr="0086631D">
        <w:rPr>
          <w:rFonts w:ascii="Century Gothic" w:eastAsia="Calibri" w:hAnsi="Century Gothic" w:cs="Arial"/>
          <w:bCs/>
          <w:sz w:val="24"/>
          <w:szCs w:val="24"/>
        </w:rPr>
        <w:t xml:space="preserve"> lo alegado por el</w:t>
      </w:r>
      <w:r w:rsidR="00D00D3F" w:rsidRPr="0086631D">
        <w:rPr>
          <w:rFonts w:ascii="Century Gothic" w:eastAsia="Calibri" w:hAnsi="Century Gothic" w:cs="Arial"/>
          <w:bCs/>
          <w:sz w:val="24"/>
          <w:szCs w:val="24"/>
        </w:rPr>
        <w:t xml:space="preserve"> recurrente en el agravio analizado. </w:t>
      </w:r>
    </w:p>
    <w:p w14:paraId="4F8A7AAD" w14:textId="52AC10C2" w:rsidR="00D00D3F" w:rsidRPr="0086631D" w:rsidRDefault="00023FE9" w:rsidP="00A745A0">
      <w:pPr>
        <w:ind w:firstLine="708"/>
        <w:jc w:val="both"/>
        <w:rPr>
          <w:rFonts w:ascii="Century Gothic" w:hAnsi="Century Gothic" w:cs="Calibri"/>
          <w:color w:val="212529"/>
          <w:sz w:val="24"/>
          <w:szCs w:val="24"/>
        </w:rPr>
      </w:pPr>
      <w:r>
        <w:rPr>
          <w:rFonts w:ascii="Century Gothic" w:eastAsia="Calibri" w:hAnsi="Century Gothic" w:cs="Arial"/>
          <w:bCs/>
          <w:sz w:val="24"/>
          <w:szCs w:val="24"/>
        </w:rPr>
        <w:t xml:space="preserve">11. </w:t>
      </w:r>
      <w:r w:rsidR="00D00D3F" w:rsidRPr="0086631D">
        <w:rPr>
          <w:rFonts w:ascii="Century Gothic" w:eastAsia="Calibri" w:hAnsi="Century Gothic" w:cs="Arial"/>
          <w:bCs/>
          <w:sz w:val="24"/>
          <w:szCs w:val="24"/>
        </w:rPr>
        <w:t xml:space="preserve">Es aplicable por analogía la </w:t>
      </w:r>
      <w:r w:rsidR="00C75E60" w:rsidRPr="0086631D">
        <w:rPr>
          <w:rFonts w:ascii="Century Gothic" w:eastAsia="Calibri" w:hAnsi="Century Gothic" w:cs="Arial"/>
          <w:bCs/>
          <w:sz w:val="24"/>
          <w:szCs w:val="24"/>
        </w:rPr>
        <w:t>J</w:t>
      </w:r>
      <w:r w:rsidR="00D00D3F" w:rsidRPr="0086631D">
        <w:rPr>
          <w:rFonts w:ascii="Century Gothic" w:eastAsia="Calibri" w:hAnsi="Century Gothic" w:cs="Arial"/>
          <w:bCs/>
          <w:sz w:val="24"/>
          <w:szCs w:val="24"/>
        </w:rPr>
        <w:t xml:space="preserve">urisprudencia en materia común, de la novena época, número I.11o. </w:t>
      </w:r>
      <w:proofErr w:type="gramStart"/>
      <w:r w:rsidR="00D00D3F" w:rsidRPr="0086631D">
        <w:rPr>
          <w:rFonts w:ascii="Century Gothic" w:eastAsia="Calibri" w:hAnsi="Century Gothic" w:cs="Arial"/>
          <w:bCs/>
          <w:sz w:val="24"/>
          <w:szCs w:val="24"/>
        </w:rPr>
        <w:t>C.J</w:t>
      </w:r>
      <w:proofErr w:type="gramEnd"/>
      <w:r w:rsidR="00D00D3F" w:rsidRPr="0086631D">
        <w:rPr>
          <w:rFonts w:ascii="Century Gothic" w:eastAsia="Calibri" w:hAnsi="Century Gothic" w:cs="Arial"/>
          <w:bCs/>
          <w:sz w:val="24"/>
          <w:szCs w:val="24"/>
        </w:rPr>
        <w:t xml:space="preserve">/5, con número de registro 176045, de los Tribunales Colegiados de Circuito, publicado en el Semanario Judicial de la Federación y su Gaceta, en el Tomo XXIII, febrero de 2006, visible a página 1600, de rubro y texto siguiente: </w:t>
      </w:r>
    </w:p>
    <w:p w14:paraId="0E910FA0" w14:textId="7350A8E8" w:rsidR="00D00D3F" w:rsidRPr="0086631D" w:rsidRDefault="00D00D3F" w:rsidP="00A745A0">
      <w:pPr>
        <w:pStyle w:val="NormalWeb"/>
        <w:shd w:val="clear" w:color="auto" w:fill="FFFFFF"/>
        <w:spacing w:beforeAutospacing="0" w:after="240" w:afterAutospacing="0" w:line="276" w:lineRule="auto"/>
        <w:ind w:left="567" w:right="616"/>
        <w:jc w:val="both"/>
        <w:rPr>
          <w:rFonts w:ascii="Century Gothic" w:hAnsi="Century Gothic" w:cs="Calibri"/>
          <w:b/>
          <w:bCs/>
        </w:rPr>
      </w:pPr>
      <w:r w:rsidRPr="0086631D">
        <w:rPr>
          <w:rFonts w:ascii="Century Gothic" w:hAnsi="Century Gothic" w:cs="Calibri"/>
          <w:b/>
          <w:bCs/>
        </w:rPr>
        <w:lastRenderedPageBreak/>
        <w:t>“AGRAVIOS </w:t>
      </w:r>
      <w:r w:rsidR="00182189" w:rsidRPr="0086631D">
        <w:rPr>
          <w:rFonts w:ascii="Century Gothic" w:hAnsi="Century Gothic" w:cs="Calibri"/>
          <w:b/>
          <w:bCs/>
        </w:rPr>
        <w:t>INOPERANTES EN</w:t>
      </w:r>
      <w:r w:rsidRPr="0086631D">
        <w:rPr>
          <w:rFonts w:ascii="Century Gothic" w:hAnsi="Century Gothic" w:cs="Calibri"/>
          <w:b/>
          <w:bCs/>
        </w:rPr>
        <w:t xml:space="preserve"> LA REVISIÓN. LO SON LAS SIMPLES EXPRESIONES GENÉRICAS Y ABSTRACTAS CUANDO NO PROCEDE LA SUPLENCIA DE LA QUEJA DEFICIENTE</w:t>
      </w:r>
      <w:r w:rsidR="00A745A0">
        <w:rPr>
          <w:rFonts w:ascii="Century Gothic" w:hAnsi="Century Gothic" w:cs="Calibri"/>
          <w:b/>
          <w:bCs/>
        </w:rPr>
        <w:t xml:space="preserve">” </w:t>
      </w:r>
      <w:r w:rsidR="00A745A0">
        <w:rPr>
          <w:rStyle w:val="Refdenotaalpie"/>
          <w:rFonts w:ascii="Century Gothic" w:hAnsi="Century Gothic" w:cs="Calibri"/>
          <w:b/>
          <w:bCs/>
        </w:rPr>
        <w:footnoteReference w:id="4"/>
      </w:r>
    </w:p>
    <w:p w14:paraId="5A675D04" w14:textId="36C59DC1" w:rsidR="008D4B95" w:rsidRPr="0086631D" w:rsidRDefault="00023FE9" w:rsidP="00A745A0">
      <w:pPr>
        <w:widowControl w:val="0"/>
        <w:autoSpaceDE w:val="0"/>
        <w:autoSpaceDN w:val="0"/>
        <w:adjustRightInd w:val="0"/>
        <w:spacing w:before="240" w:after="0"/>
        <w:ind w:firstLine="567"/>
        <w:jc w:val="both"/>
        <w:rPr>
          <w:rFonts w:ascii="Century Gothic" w:eastAsia="Calibri" w:hAnsi="Century Gothic" w:cs="Arial"/>
          <w:bCs/>
          <w:sz w:val="24"/>
          <w:szCs w:val="24"/>
        </w:rPr>
      </w:pPr>
      <w:r>
        <w:rPr>
          <w:rFonts w:ascii="Century Gothic" w:eastAsia="Calibri" w:hAnsi="Century Gothic" w:cs="Arial"/>
          <w:sz w:val="24"/>
          <w:szCs w:val="24"/>
        </w:rPr>
        <w:t xml:space="preserve">12. </w:t>
      </w:r>
      <w:r w:rsidR="001E0503" w:rsidRPr="0086631D">
        <w:rPr>
          <w:rFonts w:ascii="Century Gothic" w:eastAsia="Calibri" w:hAnsi="Century Gothic" w:cs="Arial"/>
          <w:sz w:val="24"/>
          <w:szCs w:val="24"/>
        </w:rPr>
        <w:t>Ahora bien, respecto a lo manifestado por el recurrente, tocante a</w:t>
      </w:r>
      <w:r w:rsidR="001E0503" w:rsidRPr="0086631D">
        <w:rPr>
          <w:rFonts w:ascii="Century Gothic" w:eastAsia="Calibri" w:hAnsi="Century Gothic" w:cs="Arial"/>
          <w:b/>
          <w:sz w:val="24"/>
          <w:szCs w:val="24"/>
        </w:rPr>
        <w:t xml:space="preserve"> </w:t>
      </w:r>
      <w:r w:rsidR="008D4B95" w:rsidRPr="0086631D">
        <w:rPr>
          <w:rFonts w:ascii="Century Gothic" w:eastAsia="Calibri" w:hAnsi="Century Gothic" w:cs="Arial"/>
          <w:sz w:val="24"/>
          <w:szCs w:val="24"/>
        </w:rPr>
        <w:t xml:space="preserve">que </w:t>
      </w:r>
      <w:r w:rsidR="004F5408" w:rsidRPr="0086631D">
        <w:rPr>
          <w:rFonts w:ascii="Century Gothic" w:eastAsia="Calibri" w:hAnsi="Century Gothic" w:cs="Arial"/>
          <w:sz w:val="24"/>
          <w:szCs w:val="24"/>
        </w:rPr>
        <w:t>la motivación en el acta de infracción fue correcta y los preceptos legales citados, son aplicables al caso particular, por lo que de ning</w:t>
      </w:r>
      <w:r w:rsidR="00682AEE" w:rsidRPr="0086631D">
        <w:rPr>
          <w:rFonts w:ascii="Century Gothic" w:eastAsia="Calibri" w:hAnsi="Century Gothic" w:cs="Arial"/>
          <w:sz w:val="24"/>
          <w:szCs w:val="24"/>
        </w:rPr>
        <w:t>una</w:t>
      </w:r>
      <w:r w:rsidR="004F5408" w:rsidRPr="0086631D">
        <w:rPr>
          <w:rFonts w:ascii="Century Gothic" w:eastAsia="Calibri" w:hAnsi="Century Gothic" w:cs="Arial"/>
          <w:sz w:val="24"/>
          <w:szCs w:val="24"/>
        </w:rPr>
        <w:t xml:space="preserve"> manera se dejó al administrado en estado de indefensión, ya que se señalaron los  motivos, circunstancias especiales o razones particulares para determinar la conducta ilegal de</w:t>
      </w:r>
      <w:r w:rsidR="00106BA6">
        <w:rPr>
          <w:rFonts w:ascii="Century Gothic" w:eastAsia="Calibri" w:hAnsi="Century Gothic" w:cs="Arial"/>
          <w:sz w:val="24"/>
          <w:szCs w:val="24"/>
        </w:rPr>
        <w:t xml:space="preserve"> la </w:t>
      </w:r>
      <w:r w:rsidR="004F5408" w:rsidRPr="0086631D">
        <w:rPr>
          <w:rFonts w:ascii="Century Gothic" w:eastAsia="Calibri" w:hAnsi="Century Gothic" w:cs="Arial"/>
          <w:sz w:val="24"/>
          <w:szCs w:val="24"/>
        </w:rPr>
        <w:t>infractor</w:t>
      </w:r>
      <w:r w:rsidR="00106BA6">
        <w:rPr>
          <w:rFonts w:ascii="Century Gothic" w:eastAsia="Calibri" w:hAnsi="Century Gothic" w:cs="Arial"/>
          <w:sz w:val="24"/>
          <w:szCs w:val="24"/>
        </w:rPr>
        <w:t>a</w:t>
      </w:r>
      <w:r w:rsidR="004F5408" w:rsidRPr="0086631D">
        <w:rPr>
          <w:rFonts w:ascii="Century Gothic" w:eastAsia="Calibri" w:hAnsi="Century Gothic" w:cs="Arial"/>
          <w:bCs/>
          <w:sz w:val="24"/>
          <w:szCs w:val="24"/>
        </w:rPr>
        <w:t xml:space="preserve">, así como los artículos invocados por el recurrente elementos suficientes para cumplir con los requisitos de fundamentación y motivación previsto por el </w:t>
      </w:r>
      <w:r w:rsidR="008D4B95" w:rsidRPr="0086631D">
        <w:rPr>
          <w:rFonts w:ascii="Century Gothic" w:eastAsia="Calibri" w:hAnsi="Century Gothic" w:cs="Arial"/>
          <w:bCs/>
          <w:sz w:val="24"/>
          <w:szCs w:val="24"/>
        </w:rPr>
        <w:t>artículo 17</w:t>
      </w:r>
      <w:r w:rsidR="004F5408" w:rsidRPr="0086631D">
        <w:rPr>
          <w:rFonts w:ascii="Century Gothic" w:eastAsia="Calibri" w:hAnsi="Century Gothic" w:cs="Arial"/>
          <w:bCs/>
          <w:sz w:val="24"/>
          <w:szCs w:val="24"/>
        </w:rPr>
        <w:t>, fracción V</w:t>
      </w:r>
      <w:r w:rsidR="008D4B95" w:rsidRPr="0086631D">
        <w:rPr>
          <w:rFonts w:ascii="Century Gothic" w:eastAsia="Calibri" w:hAnsi="Century Gothic" w:cs="Arial"/>
          <w:bCs/>
          <w:sz w:val="24"/>
          <w:szCs w:val="24"/>
        </w:rPr>
        <w:t xml:space="preserve"> de la Ley de Procedimiento</w:t>
      </w:r>
      <w:r w:rsidR="004F5408" w:rsidRPr="0086631D">
        <w:rPr>
          <w:rFonts w:ascii="Century Gothic" w:eastAsia="Calibri" w:hAnsi="Century Gothic" w:cs="Arial"/>
          <w:bCs/>
          <w:sz w:val="24"/>
          <w:szCs w:val="24"/>
        </w:rPr>
        <w:t>; en ese tenor, es evidente que la sentencia que recurre fue di</w:t>
      </w:r>
      <w:r w:rsidR="006B0008" w:rsidRPr="0086631D">
        <w:rPr>
          <w:rFonts w:ascii="Century Gothic" w:eastAsia="Calibri" w:hAnsi="Century Gothic" w:cs="Arial"/>
          <w:bCs/>
          <w:sz w:val="24"/>
          <w:szCs w:val="24"/>
        </w:rPr>
        <w:t>cta</w:t>
      </w:r>
      <w:r w:rsidR="004F5408" w:rsidRPr="0086631D">
        <w:rPr>
          <w:rFonts w:ascii="Century Gothic" w:eastAsia="Calibri" w:hAnsi="Century Gothic" w:cs="Arial"/>
          <w:bCs/>
          <w:sz w:val="24"/>
          <w:szCs w:val="24"/>
        </w:rPr>
        <w:t>da en contravención al artículo 207, fracción II de la Ley de la materia.</w:t>
      </w:r>
    </w:p>
    <w:p w14:paraId="57FB390C" w14:textId="15E820B1" w:rsidR="00EE3279" w:rsidRPr="0086631D" w:rsidRDefault="00023FE9" w:rsidP="00A745A0">
      <w:pPr>
        <w:spacing w:before="240"/>
        <w:ind w:firstLine="708"/>
        <w:jc w:val="both"/>
        <w:rPr>
          <w:rFonts w:ascii="Century Gothic" w:hAnsi="Century Gothic" w:cs="Arial"/>
          <w:color w:val="FF0000"/>
          <w:sz w:val="24"/>
          <w:szCs w:val="24"/>
        </w:rPr>
      </w:pPr>
      <w:r>
        <w:rPr>
          <w:rFonts w:ascii="Century Gothic" w:hAnsi="Century Gothic" w:cs="Arial"/>
          <w:sz w:val="24"/>
          <w:szCs w:val="24"/>
        </w:rPr>
        <w:t xml:space="preserve">13. </w:t>
      </w:r>
      <w:r w:rsidR="00AB5502" w:rsidRPr="0086631D">
        <w:rPr>
          <w:rFonts w:ascii="Century Gothic" w:hAnsi="Century Gothic" w:cs="Arial"/>
          <w:sz w:val="24"/>
          <w:szCs w:val="24"/>
        </w:rPr>
        <w:t xml:space="preserve">Es </w:t>
      </w:r>
      <w:r w:rsidR="0099718D" w:rsidRPr="0086631D">
        <w:rPr>
          <w:rFonts w:ascii="Century Gothic" w:hAnsi="Century Gothic" w:cs="Arial"/>
          <w:b/>
          <w:bCs/>
          <w:sz w:val="24"/>
          <w:szCs w:val="24"/>
        </w:rPr>
        <w:t>INFUNDA</w:t>
      </w:r>
      <w:r w:rsidR="00DD3CA3" w:rsidRPr="0086631D">
        <w:rPr>
          <w:rFonts w:ascii="Century Gothic" w:hAnsi="Century Gothic" w:cs="Arial"/>
          <w:b/>
          <w:bCs/>
          <w:sz w:val="24"/>
          <w:szCs w:val="24"/>
        </w:rPr>
        <w:t>DO</w:t>
      </w:r>
      <w:r w:rsidR="00AB5502" w:rsidRPr="0086631D">
        <w:rPr>
          <w:rFonts w:ascii="Century Gothic" w:hAnsi="Century Gothic" w:cs="Arial"/>
          <w:sz w:val="24"/>
          <w:szCs w:val="24"/>
        </w:rPr>
        <w:t xml:space="preserve"> el agravio anterior</w:t>
      </w:r>
      <w:r w:rsidR="0099718D" w:rsidRPr="0086631D">
        <w:rPr>
          <w:rFonts w:ascii="Century Gothic" w:hAnsi="Century Gothic" w:cs="Arial"/>
          <w:sz w:val="24"/>
          <w:szCs w:val="24"/>
        </w:rPr>
        <w:t xml:space="preserve">, </w:t>
      </w:r>
      <w:r w:rsidR="00EE3279" w:rsidRPr="0086631D">
        <w:rPr>
          <w:rFonts w:ascii="Century Gothic" w:eastAsia="Calibri" w:hAnsi="Century Gothic" w:cs="Arial"/>
          <w:bCs/>
          <w:sz w:val="24"/>
          <w:szCs w:val="24"/>
        </w:rPr>
        <w:t xml:space="preserve">en razón del análisis de </w:t>
      </w:r>
      <w:r w:rsidR="00EE3279" w:rsidRPr="0086631D">
        <w:rPr>
          <w:rFonts w:ascii="Century Gothic" w:hAnsi="Century Gothic" w:cs="Arial"/>
          <w:sz w:val="24"/>
          <w:szCs w:val="24"/>
        </w:rPr>
        <w:t xml:space="preserve">las constancias de autos que fueron remitidas para la substanciación del presente asunto, con valor probatorio pleno conforme lo dispuesto por el artículo 203, fracción I, de la Ley de Procedimiento, por tratarse </w:t>
      </w:r>
      <w:r w:rsidR="002E1E05" w:rsidRPr="0086631D">
        <w:rPr>
          <w:rFonts w:ascii="Century Gothic" w:hAnsi="Century Gothic" w:cs="Arial"/>
          <w:sz w:val="24"/>
          <w:szCs w:val="24"/>
        </w:rPr>
        <w:t>de actuaciones judiciales; que de</w:t>
      </w:r>
      <w:r w:rsidR="00EE3279" w:rsidRPr="0086631D">
        <w:rPr>
          <w:rFonts w:ascii="Century Gothic" w:hAnsi="Century Gothic" w:cs="Arial"/>
          <w:sz w:val="24"/>
          <w:szCs w:val="24"/>
        </w:rPr>
        <w:t xml:space="preserve"> </w:t>
      </w:r>
      <w:r w:rsidR="00CF6459" w:rsidRPr="0086631D">
        <w:rPr>
          <w:rFonts w:ascii="Century Gothic" w:hAnsi="Century Gothic" w:cs="Arial"/>
          <w:sz w:val="24"/>
          <w:szCs w:val="24"/>
        </w:rPr>
        <w:t xml:space="preserve">las </w:t>
      </w:r>
      <w:r w:rsidR="00EE3279" w:rsidRPr="0086631D">
        <w:rPr>
          <w:rFonts w:ascii="Century Gothic" w:hAnsi="Century Gothic" w:cs="Arial"/>
          <w:sz w:val="24"/>
          <w:szCs w:val="24"/>
        </w:rPr>
        <w:t>fojas</w:t>
      </w:r>
      <w:r w:rsidR="007F2E3D" w:rsidRPr="0086631D">
        <w:rPr>
          <w:rFonts w:ascii="Century Gothic" w:hAnsi="Century Gothic" w:cs="Arial"/>
          <w:sz w:val="24"/>
          <w:szCs w:val="24"/>
        </w:rPr>
        <w:t xml:space="preserve"> </w:t>
      </w:r>
      <w:r w:rsidR="00CF6459" w:rsidRPr="0086631D">
        <w:rPr>
          <w:rFonts w:ascii="Century Gothic" w:hAnsi="Century Gothic" w:cs="Arial"/>
          <w:sz w:val="24"/>
          <w:szCs w:val="24"/>
        </w:rPr>
        <w:t>treinta y cinco a la foja treinta y ocho</w:t>
      </w:r>
      <w:r w:rsidR="002E1E05" w:rsidRPr="0086631D">
        <w:rPr>
          <w:rFonts w:ascii="Century Gothic" w:hAnsi="Century Gothic" w:cs="Arial"/>
          <w:sz w:val="24"/>
          <w:szCs w:val="24"/>
        </w:rPr>
        <w:t>, se</w:t>
      </w:r>
      <w:r w:rsidR="00AE598A" w:rsidRPr="0086631D">
        <w:rPr>
          <w:rFonts w:ascii="Century Gothic" w:hAnsi="Century Gothic" w:cs="Arial"/>
          <w:sz w:val="24"/>
          <w:szCs w:val="24"/>
        </w:rPr>
        <w:t xml:space="preserve"> advierte </w:t>
      </w:r>
      <w:r w:rsidR="00EE3279" w:rsidRPr="0086631D">
        <w:rPr>
          <w:rFonts w:ascii="Century Gothic" w:hAnsi="Century Gothic" w:cs="Arial"/>
          <w:sz w:val="24"/>
          <w:szCs w:val="24"/>
        </w:rPr>
        <w:t>la sentencia impugnada en cuy</w:t>
      </w:r>
      <w:r w:rsidR="008003EB" w:rsidRPr="0086631D">
        <w:rPr>
          <w:rFonts w:ascii="Century Gothic" w:hAnsi="Century Gothic" w:cs="Arial"/>
          <w:sz w:val="24"/>
          <w:szCs w:val="24"/>
        </w:rPr>
        <w:t xml:space="preserve">a parte que interesa del </w:t>
      </w:r>
      <w:r w:rsidR="00EE3279" w:rsidRPr="0086631D">
        <w:rPr>
          <w:rFonts w:ascii="Century Gothic" w:hAnsi="Century Gothic" w:cs="Arial"/>
          <w:sz w:val="24"/>
          <w:szCs w:val="24"/>
        </w:rPr>
        <w:t>considerando</w:t>
      </w:r>
      <w:r w:rsidR="00CF6459" w:rsidRPr="0086631D">
        <w:rPr>
          <w:rFonts w:ascii="Century Gothic" w:hAnsi="Century Gothic" w:cs="Arial"/>
          <w:sz w:val="24"/>
          <w:szCs w:val="24"/>
        </w:rPr>
        <w:t xml:space="preserve"> cuarto</w:t>
      </w:r>
      <w:r w:rsidR="002E1E05" w:rsidRPr="0086631D">
        <w:rPr>
          <w:rFonts w:ascii="Century Gothic" w:hAnsi="Century Gothic" w:cs="Arial"/>
          <w:sz w:val="24"/>
          <w:szCs w:val="24"/>
        </w:rPr>
        <w:t>,</w:t>
      </w:r>
      <w:r w:rsidR="00AB5502" w:rsidRPr="0086631D">
        <w:rPr>
          <w:rFonts w:ascii="Century Gothic" w:hAnsi="Century Gothic" w:cs="Arial"/>
          <w:sz w:val="24"/>
          <w:szCs w:val="24"/>
        </w:rPr>
        <w:t xml:space="preserve"> </w:t>
      </w:r>
      <w:r w:rsidR="000D12C5" w:rsidRPr="0086631D">
        <w:rPr>
          <w:rFonts w:ascii="Century Gothic" w:hAnsi="Century Gothic" w:cs="Arial"/>
          <w:sz w:val="24"/>
          <w:szCs w:val="24"/>
        </w:rPr>
        <w:t>el Magistrado</w:t>
      </w:r>
      <w:r w:rsidR="002E1E05" w:rsidRPr="0086631D">
        <w:rPr>
          <w:rFonts w:ascii="Century Gothic" w:hAnsi="Century Gothic" w:cs="Arial"/>
          <w:sz w:val="24"/>
          <w:szCs w:val="24"/>
        </w:rPr>
        <w:t xml:space="preserve"> de la </w:t>
      </w:r>
      <w:r w:rsidR="000D12C5" w:rsidRPr="0086631D">
        <w:rPr>
          <w:rFonts w:ascii="Century Gothic" w:hAnsi="Century Gothic" w:cs="Arial"/>
          <w:sz w:val="24"/>
          <w:szCs w:val="24"/>
        </w:rPr>
        <w:t xml:space="preserve">Segunda </w:t>
      </w:r>
      <w:r w:rsidR="00BA095C" w:rsidRPr="0086631D">
        <w:rPr>
          <w:rFonts w:ascii="Century Gothic" w:hAnsi="Century Gothic" w:cs="Arial"/>
          <w:sz w:val="24"/>
          <w:szCs w:val="24"/>
        </w:rPr>
        <w:t xml:space="preserve">Sala </w:t>
      </w:r>
      <w:r w:rsidR="00AE598A" w:rsidRPr="0086631D">
        <w:rPr>
          <w:rFonts w:ascii="Century Gothic" w:hAnsi="Century Gothic" w:cs="Arial"/>
          <w:sz w:val="24"/>
          <w:szCs w:val="24"/>
        </w:rPr>
        <w:t xml:space="preserve">Unitaria de Primera Instancia </w:t>
      </w:r>
      <w:r w:rsidR="00EE3279" w:rsidRPr="0086631D">
        <w:rPr>
          <w:rFonts w:ascii="Century Gothic" w:hAnsi="Century Gothic" w:cs="Arial"/>
          <w:sz w:val="24"/>
          <w:szCs w:val="24"/>
        </w:rPr>
        <w:t xml:space="preserve">determinó lo siguiente: </w:t>
      </w:r>
    </w:p>
    <w:p w14:paraId="1AFEF563" w14:textId="4C71D746" w:rsidR="002C0D09" w:rsidRPr="00A745A0" w:rsidRDefault="00EE3279" w:rsidP="00A745A0">
      <w:pPr>
        <w:ind w:left="567" w:right="616" w:firstLine="284"/>
        <w:jc w:val="both"/>
        <w:rPr>
          <w:rFonts w:ascii="Century Gothic" w:hAnsi="Century Gothic" w:cs="Arial"/>
          <w:b/>
          <w:i/>
          <w:iCs/>
        </w:rPr>
      </w:pPr>
      <w:r w:rsidRPr="00A745A0">
        <w:rPr>
          <w:rFonts w:ascii="Century Gothic" w:hAnsi="Century Gothic" w:cs="Arial"/>
          <w:i/>
          <w:iCs/>
        </w:rPr>
        <w:t>“</w:t>
      </w:r>
      <w:proofErr w:type="gramStart"/>
      <w:r w:rsidR="00E0468C" w:rsidRPr="00A745A0">
        <w:rPr>
          <w:rFonts w:ascii="Century Gothic" w:hAnsi="Century Gothic" w:cs="Arial"/>
          <w:b/>
          <w:i/>
          <w:iCs/>
        </w:rPr>
        <w:t>CUARTO</w:t>
      </w:r>
      <w:r w:rsidR="002C0D09" w:rsidRPr="00A745A0">
        <w:rPr>
          <w:rFonts w:ascii="Century Gothic" w:hAnsi="Century Gothic" w:cs="Arial"/>
          <w:b/>
          <w:i/>
          <w:iCs/>
        </w:rPr>
        <w:t>.-</w:t>
      </w:r>
      <w:proofErr w:type="gramEnd"/>
      <w:r w:rsidR="002C0D09" w:rsidRPr="00A745A0">
        <w:rPr>
          <w:rFonts w:ascii="Century Gothic" w:hAnsi="Century Gothic" w:cs="Arial"/>
          <w:b/>
          <w:i/>
          <w:iCs/>
        </w:rPr>
        <w:t xml:space="preserve"> </w:t>
      </w:r>
      <w:r w:rsidR="000D12C5" w:rsidRPr="00A745A0">
        <w:rPr>
          <w:rFonts w:ascii="Century Gothic" w:hAnsi="Century Gothic" w:cs="Arial"/>
          <w:i/>
          <w:iCs/>
        </w:rPr>
        <w:t>Se procede al estudio de los conceptos de impugnación hechos valer por la parte actora y al análisis del acta de infracción impugnada con número 5737 A, de fecha catorce de octubre de dos mil veinte (foja7), a la cual se le confiere pleno valor probatorio al haber sido expedida por funcionario público en ejercicio de sus funciones, en términos del artículo 203 fracción I, de la Ley que rige a este Tribunal.</w:t>
      </w:r>
    </w:p>
    <w:p w14:paraId="510A8E96" w14:textId="72580BC1" w:rsidR="000D12C5" w:rsidRPr="00A745A0" w:rsidRDefault="000D12C5" w:rsidP="00A745A0">
      <w:pPr>
        <w:spacing w:after="0"/>
        <w:ind w:left="567" w:right="616"/>
        <w:jc w:val="both"/>
        <w:rPr>
          <w:rFonts w:ascii="Century Gothic" w:hAnsi="Century Gothic" w:cs="Arial"/>
          <w:i/>
        </w:rPr>
      </w:pPr>
      <w:r w:rsidRPr="00A745A0">
        <w:rPr>
          <w:rFonts w:ascii="Century Gothic" w:hAnsi="Century Gothic" w:cs="Arial"/>
          <w:i/>
        </w:rPr>
        <w:t xml:space="preserve">Es por ello, que en términos del artículo 206 de la Ley de Procedimiento Justicia Administrativa para el Estado de Oaxaca, se advierte que resultan FUNDADOS los conceptos de impugnación hecho valer por la accionante, en el sentido de que el acta de infracción impugnada no satisface el requisito de fundamentación y </w:t>
      </w:r>
      <w:r w:rsidRPr="00A745A0">
        <w:rPr>
          <w:rFonts w:ascii="Century Gothic" w:hAnsi="Century Gothic" w:cs="Arial"/>
          <w:i/>
        </w:rPr>
        <w:lastRenderedPageBreak/>
        <w:t>motivación exigible en la fracción V, del artículo 17 de la Ley de Procedimiento y Justicia Administrativa para el Estado de Oaxaca, toda vez, que</w:t>
      </w:r>
      <w:r w:rsidR="00E44A2E" w:rsidRPr="00A745A0">
        <w:rPr>
          <w:rFonts w:ascii="Century Gothic" w:hAnsi="Century Gothic" w:cs="Arial"/>
          <w:i/>
        </w:rPr>
        <w:t xml:space="preserve"> </w:t>
      </w:r>
      <w:r w:rsidRPr="00A745A0">
        <w:rPr>
          <w:rFonts w:ascii="Century Gothic" w:hAnsi="Century Gothic" w:cs="Arial"/>
          <w:i/>
        </w:rPr>
        <w:t>en dicho acto se señala que es levantada con fundamento en el Reglamento de</w:t>
      </w:r>
      <w:r w:rsidR="00E44A2E" w:rsidRPr="00A745A0">
        <w:rPr>
          <w:rFonts w:ascii="Century Gothic" w:hAnsi="Century Gothic" w:cs="Arial"/>
          <w:i/>
        </w:rPr>
        <w:t xml:space="preserve"> </w:t>
      </w:r>
      <w:r w:rsidRPr="00A745A0">
        <w:rPr>
          <w:rFonts w:ascii="Century Gothic" w:hAnsi="Century Gothic" w:cs="Arial"/>
          <w:i/>
        </w:rPr>
        <w:t>Vialidad para el Municipio de Oaxaca de Juárez, pero no hace una descripción</w:t>
      </w:r>
      <w:r w:rsidR="00E44A2E" w:rsidRPr="00A745A0">
        <w:rPr>
          <w:rFonts w:ascii="Century Gothic" w:hAnsi="Century Gothic" w:cs="Arial"/>
          <w:i/>
        </w:rPr>
        <w:t xml:space="preserve"> </w:t>
      </w:r>
      <w:r w:rsidRPr="00A745A0">
        <w:rPr>
          <w:rFonts w:ascii="Century Gothic" w:hAnsi="Century Gothic" w:cs="Arial"/>
          <w:i/>
        </w:rPr>
        <w:t>clara, precisa y completa de la conducta de la administrada para encuadrarla en la</w:t>
      </w:r>
      <w:r w:rsidR="00E44A2E" w:rsidRPr="00A745A0">
        <w:rPr>
          <w:rFonts w:ascii="Century Gothic" w:hAnsi="Century Gothic" w:cs="Arial"/>
          <w:i/>
        </w:rPr>
        <w:t xml:space="preserve"> </w:t>
      </w:r>
      <w:r w:rsidRPr="00A745A0">
        <w:rPr>
          <w:rFonts w:ascii="Century Gothic" w:hAnsi="Century Gothic" w:cs="Arial"/>
          <w:i/>
        </w:rPr>
        <w:t>hipótesis legal infringida, ya que no señala las razones particulares, causas</w:t>
      </w:r>
      <w:r w:rsidR="00E44A2E" w:rsidRPr="00A745A0">
        <w:rPr>
          <w:rFonts w:ascii="Century Gothic" w:hAnsi="Century Gothic" w:cs="Arial"/>
          <w:i/>
        </w:rPr>
        <w:t xml:space="preserve"> </w:t>
      </w:r>
      <w:r w:rsidRPr="00A745A0">
        <w:rPr>
          <w:rFonts w:ascii="Century Gothic" w:hAnsi="Century Gothic" w:cs="Arial"/>
          <w:i/>
        </w:rPr>
        <w:t>inmediatas y circunstancias especiales de la forma en que la autoridad demandada</w:t>
      </w:r>
      <w:r w:rsidR="00E44A2E" w:rsidRPr="00A745A0">
        <w:rPr>
          <w:rFonts w:ascii="Century Gothic" w:hAnsi="Century Gothic" w:cs="Arial"/>
          <w:i/>
        </w:rPr>
        <w:t xml:space="preserve"> </w:t>
      </w:r>
      <w:r w:rsidRPr="00A745A0">
        <w:rPr>
          <w:rFonts w:ascii="Century Gothic" w:hAnsi="Century Gothic" w:cs="Arial"/>
          <w:i/>
        </w:rPr>
        <w:t>arribó a la determinación de que la accionante, cometió la falta administrativa</w:t>
      </w:r>
      <w:r w:rsidR="00E44A2E" w:rsidRPr="00A745A0">
        <w:rPr>
          <w:rFonts w:ascii="Century Gothic" w:hAnsi="Century Gothic" w:cs="Arial"/>
          <w:i/>
        </w:rPr>
        <w:t xml:space="preserve"> </w:t>
      </w:r>
      <w:r w:rsidRPr="00A745A0">
        <w:rPr>
          <w:rFonts w:ascii="Century Gothic" w:hAnsi="Century Gothic" w:cs="Arial"/>
          <w:i/>
        </w:rPr>
        <w:t>consistente en pasarse la luz roja o ámbar del semáforo, tipificado en el artículo 59</w:t>
      </w:r>
      <w:r w:rsidR="00E44A2E" w:rsidRPr="00A745A0">
        <w:rPr>
          <w:rFonts w:ascii="Century Gothic" w:hAnsi="Century Gothic" w:cs="Arial"/>
          <w:i/>
        </w:rPr>
        <w:t xml:space="preserve"> </w:t>
      </w:r>
      <w:r w:rsidRPr="00A745A0">
        <w:rPr>
          <w:rFonts w:ascii="Century Gothic" w:hAnsi="Century Gothic" w:cs="Arial"/>
          <w:i/>
        </w:rPr>
        <w:t>fracción l incisos c) y d) del Reglamento de Vialidad para el Municipio de Oaxaca</w:t>
      </w:r>
      <w:r w:rsidR="00E44A2E" w:rsidRPr="00A745A0">
        <w:rPr>
          <w:rFonts w:ascii="Century Gothic" w:hAnsi="Century Gothic" w:cs="Arial"/>
          <w:i/>
        </w:rPr>
        <w:t xml:space="preserve"> </w:t>
      </w:r>
      <w:r w:rsidRPr="00A745A0">
        <w:rPr>
          <w:rFonts w:ascii="Century Gothic" w:hAnsi="Century Gothic" w:cs="Arial"/>
          <w:i/>
        </w:rPr>
        <w:t>de Juárez, mismo que constituye a ser el hecho generador de la infracción.</w:t>
      </w:r>
    </w:p>
    <w:p w14:paraId="36C7CEFE" w14:textId="77777777" w:rsidR="00E44A2E" w:rsidRPr="00A745A0" w:rsidRDefault="00E44A2E" w:rsidP="00A745A0">
      <w:pPr>
        <w:spacing w:after="0"/>
        <w:ind w:left="567" w:right="616"/>
        <w:jc w:val="both"/>
        <w:rPr>
          <w:rFonts w:ascii="Century Gothic" w:hAnsi="Century Gothic" w:cs="Arial"/>
          <w:i/>
        </w:rPr>
      </w:pPr>
    </w:p>
    <w:p w14:paraId="2C951544" w14:textId="6789F8B1" w:rsidR="000D12C5" w:rsidRPr="00A745A0" w:rsidRDefault="000D12C5" w:rsidP="00A745A0">
      <w:pPr>
        <w:spacing w:after="0"/>
        <w:ind w:left="567" w:right="616"/>
        <w:jc w:val="both"/>
        <w:rPr>
          <w:rFonts w:ascii="Century Gothic" w:hAnsi="Century Gothic" w:cs="Arial"/>
          <w:i/>
        </w:rPr>
      </w:pPr>
      <w:r w:rsidRPr="00A745A0">
        <w:rPr>
          <w:rFonts w:ascii="Century Gothic" w:hAnsi="Century Gothic" w:cs="Arial"/>
          <w:i/>
        </w:rPr>
        <w:t xml:space="preserve">Por lo </w:t>
      </w:r>
      <w:r w:rsidR="00E44A2E" w:rsidRPr="00A745A0">
        <w:rPr>
          <w:rFonts w:ascii="Century Gothic" w:hAnsi="Century Gothic" w:cs="Arial"/>
          <w:i/>
        </w:rPr>
        <w:t>que,</w:t>
      </w:r>
      <w:r w:rsidRPr="00A745A0">
        <w:rPr>
          <w:rFonts w:ascii="Century Gothic" w:hAnsi="Century Gothic" w:cs="Arial"/>
          <w:i/>
        </w:rPr>
        <w:t xml:space="preserve"> al no señalar las circunstancias de modo, tiempo y lugar, en que</w:t>
      </w:r>
      <w:r w:rsidR="00E44A2E" w:rsidRPr="00A745A0">
        <w:rPr>
          <w:rFonts w:ascii="Century Gothic" w:hAnsi="Century Gothic" w:cs="Arial"/>
          <w:i/>
        </w:rPr>
        <w:t xml:space="preserve"> </w:t>
      </w:r>
      <w:r w:rsidRPr="00A745A0">
        <w:rPr>
          <w:rFonts w:ascii="Century Gothic" w:hAnsi="Century Gothic" w:cs="Arial"/>
          <w:i/>
        </w:rPr>
        <w:t>acontecieron los hechos, dicha acta resulta viciada, ya que la autoridad demandada</w:t>
      </w:r>
      <w:r w:rsidR="00A15589" w:rsidRPr="00A745A0">
        <w:rPr>
          <w:rFonts w:ascii="Century Gothic" w:hAnsi="Century Gothic" w:cs="Arial"/>
          <w:i/>
        </w:rPr>
        <w:t xml:space="preserve"> </w:t>
      </w:r>
      <w:r w:rsidRPr="00A745A0">
        <w:rPr>
          <w:rFonts w:ascii="Century Gothic" w:hAnsi="Century Gothic" w:cs="Arial"/>
          <w:i/>
        </w:rPr>
        <w:t>únicamente se limitó a invocar el fundamento de su actuar dentro del apartado de</w:t>
      </w:r>
      <w:r w:rsidR="00E44A2E" w:rsidRPr="00A745A0">
        <w:rPr>
          <w:rFonts w:ascii="Century Gothic" w:hAnsi="Century Gothic" w:cs="Arial"/>
          <w:i/>
        </w:rPr>
        <w:t xml:space="preserve"> </w:t>
      </w:r>
      <w:r w:rsidRPr="00A745A0">
        <w:rPr>
          <w:rFonts w:ascii="Century Gothic" w:hAnsi="Century Gothic" w:cs="Arial"/>
          <w:i/>
        </w:rPr>
        <w:t>faltas administrativas en el formato de multa, dejando a la parte actora en estado</w:t>
      </w:r>
      <w:r w:rsidR="00E44A2E" w:rsidRPr="00A745A0">
        <w:rPr>
          <w:rFonts w:ascii="Century Gothic" w:hAnsi="Century Gothic" w:cs="Arial"/>
          <w:i/>
        </w:rPr>
        <w:t xml:space="preserve"> </w:t>
      </w:r>
      <w:r w:rsidRPr="00A745A0">
        <w:rPr>
          <w:rFonts w:ascii="Century Gothic" w:hAnsi="Century Gothic" w:cs="Arial"/>
          <w:i/>
        </w:rPr>
        <w:t>de indefensión al incumplir la obligación de fundar y motivar que le impone el</w:t>
      </w:r>
      <w:r w:rsidR="00E44A2E" w:rsidRPr="00A745A0">
        <w:rPr>
          <w:rFonts w:ascii="Century Gothic" w:hAnsi="Century Gothic" w:cs="Arial"/>
          <w:i/>
        </w:rPr>
        <w:t xml:space="preserve"> </w:t>
      </w:r>
      <w:r w:rsidRPr="00A745A0">
        <w:rPr>
          <w:rFonts w:ascii="Century Gothic" w:hAnsi="Century Gothic" w:cs="Arial"/>
          <w:i/>
        </w:rPr>
        <w:t>artículo 17, fracción V, de la Ley de Procedimiento y Justicia Administrativa para el</w:t>
      </w:r>
      <w:r w:rsidR="00E44A2E" w:rsidRPr="00A745A0">
        <w:rPr>
          <w:rFonts w:ascii="Century Gothic" w:hAnsi="Century Gothic" w:cs="Arial"/>
          <w:i/>
        </w:rPr>
        <w:t xml:space="preserve"> </w:t>
      </w:r>
      <w:r w:rsidRPr="00A745A0">
        <w:rPr>
          <w:rFonts w:ascii="Century Gothic" w:hAnsi="Century Gothic" w:cs="Arial"/>
          <w:i/>
        </w:rPr>
        <w:t>Estado de Oaxaca.</w:t>
      </w:r>
    </w:p>
    <w:p w14:paraId="18785965" w14:textId="77777777" w:rsidR="00E44A2E" w:rsidRPr="00A745A0" w:rsidRDefault="00E44A2E" w:rsidP="00A745A0">
      <w:pPr>
        <w:spacing w:after="0"/>
        <w:ind w:left="567" w:right="616"/>
        <w:jc w:val="both"/>
        <w:rPr>
          <w:rFonts w:ascii="Century Gothic" w:hAnsi="Century Gothic" w:cs="Arial"/>
          <w:i/>
        </w:rPr>
      </w:pPr>
    </w:p>
    <w:p w14:paraId="19205228" w14:textId="4CD84DBE" w:rsidR="000D12C5" w:rsidRPr="00A745A0" w:rsidRDefault="000D12C5" w:rsidP="00A745A0">
      <w:pPr>
        <w:spacing w:after="0"/>
        <w:ind w:left="567" w:right="616"/>
        <w:jc w:val="both"/>
        <w:rPr>
          <w:rFonts w:ascii="Century Gothic" w:hAnsi="Century Gothic" w:cs="Arial"/>
          <w:i/>
        </w:rPr>
      </w:pPr>
      <w:r w:rsidRPr="00A745A0">
        <w:rPr>
          <w:rFonts w:ascii="Century Gothic" w:hAnsi="Century Gothic" w:cs="Arial"/>
          <w:i/>
        </w:rPr>
        <w:t>Así del acta de infracción se advierte que la autoridad demandada en la parte</w:t>
      </w:r>
      <w:r w:rsidR="00E44A2E" w:rsidRPr="00A745A0">
        <w:rPr>
          <w:rFonts w:ascii="Century Gothic" w:hAnsi="Century Gothic" w:cs="Arial"/>
          <w:i/>
        </w:rPr>
        <w:t xml:space="preserve"> </w:t>
      </w:r>
      <w:r w:rsidRPr="00A745A0">
        <w:rPr>
          <w:rFonts w:ascii="Century Gothic" w:hAnsi="Century Gothic" w:cs="Arial"/>
          <w:i/>
        </w:rPr>
        <w:t>relativa a MOTIVACIÓN asentó: "Se sancionó a dicha conductora al observar</w:t>
      </w:r>
      <w:r w:rsidR="00E44A2E" w:rsidRPr="00A745A0">
        <w:rPr>
          <w:rFonts w:ascii="Century Gothic" w:hAnsi="Century Gothic" w:cs="Arial"/>
          <w:i/>
        </w:rPr>
        <w:t xml:space="preserve"> </w:t>
      </w:r>
      <w:r w:rsidRPr="00A745A0">
        <w:rPr>
          <w:rFonts w:ascii="Century Gothic" w:hAnsi="Century Gothic" w:cs="Arial"/>
          <w:i/>
        </w:rPr>
        <w:t>pasarse la luz amarilla o roja del semáforo", en cuanto a FUNDAMENTACIÓN</w:t>
      </w:r>
      <w:r w:rsidR="00E44A2E" w:rsidRPr="00A745A0">
        <w:rPr>
          <w:rFonts w:ascii="Century Gothic" w:hAnsi="Century Gothic" w:cs="Arial"/>
          <w:i/>
        </w:rPr>
        <w:t xml:space="preserve"> </w:t>
      </w:r>
      <w:r w:rsidRPr="00A745A0">
        <w:rPr>
          <w:rFonts w:ascii="Century Gothic" w:hAnsi="Century Gothic" w:cs="Arial"/>
          <w:i/>
        </w:rPr>
        <w:t xml:space="preserve">asentó: "no asentó texto alguno, dejó el texto </w:t>
      </w:r>
      <w:proofErr w:type="spellStart"/>
      <w:r w:rsidRPr="00A745A0">
        <w:rPr>
          <w:rFonts w:ascii="Century Gothic" w:hAnsi="Century Gothic" w:cs="Arial"/>
          <w:i/>
        </w:rPr>
        <w:t>pre-impreso</w:t>
      </w:r>
      <w:proofErr w:type="spellEnd"/>
      <w:r w:rsidRPr="00A745A0">
        <w:rPr>
          <w:rFonts w:ascii="Century Gothic" w:hAnsi="Century Gothic" w:cs="Arial"/>
          <w:i/>
        </w:rPr>
        <w:t xml:space="preserve"> del formato del acta de</w:t>
      </w:r>
      <w:r w:rsidR="00E44A2E" w:rsidRPr="00A745A0">
        <w:rPr>
          <w:rFonts w:ascii="Century Gothic" w:hAnsi="Century Gothic" w:cs="Arial"/>
          <w:i/>
        </w:rPr>
        <w:t xml:space="preserve"> </w:t>
      </w:r>
      <w:r w:rsidRPr="00A745A0">
        <w:rPr>
          <w:rFonts w:ascii="Century Gothic" w:hAnsi="Century Gothic" w:cs="Arial"/>
          <w:i/>
        </w:rPr>
        <w:t>infracción", en OBSERVACIONES: "no asentó texto alguno", quedando de</w:t>
      </w:r>
      <w:r w:rsidR="00E44A2E" w:rsidRPr="00A745A0">
        <w:rPr>
          <w:rFonts w:ascii="Century Gothic" w:hAnsi="Century Gothic" w:cs="Arial"/>
          <w:i/>
        </w:rPr>
        <w:t xml:space="preserve"> </w:t>
      </w:r>
      <w:r w:rsidRPr="00A745A0">
        <w:rPr>
          <w:rFonts w:ascii="Century Gothic" w:hAnsi="Century Gothic" w:cs="Arial"/>
          <w:i/>
        </w:rPr>
        <w:t>manifiesto que el acta de infracción carece de debida motivación y fundamentación</w:t>
      </w:r>
      <w:r w:rsidR="00E44A2E" w:rsidRPr="00A745A0">
        <w:rPr>
          <w:rFonts w:ascii="Century Gothic" w:hAnsi="Century Gothic" w:cs="Arial"/>
          <w:i/>
        </w:rPr>
        <w:t xml:space="preserve"> </w:t>
      </w:r>
      <w:r w:rsidRPr="00A745A0">
        <w:rPr>
          <w:rFonts w:ascii="Century Gothic" w:hAnsi="Century Gothic" w:cs="Arial"/>
          <w:i/>
        </w:rPr>
        <w:t>para que la administrada esté en aptitud de hacer valer recurso alguno para la</w:t>
      </w:r>
      <w:r w:rsidR="00E44A2E" w:rsidRPr="00A745A0">
        <w:rPr>
          <w:rFonts w:ascii="Century Gothic" w:hAnsi="Century Gothic" w:cs="Arial"/>
          <w:i/>
        </w:rPr>
        <w:t xml:space="preserve"> </w:t>
      </w:r>
      <w:r w:rsidRPr="00A745A0">
        <w:rPr>
          <w:rFonts w:ascii="Century Gothic" w:hAnsi="Century Gothic" w:cs="Arial"/>
          <w:i/>
        </w:rPr>
        <w:t>defensa de sus derechos, ya que el razonamiento hecho por la autoridad emisora</w:t>
      </w:r>
      <w:r w:rsidR="00E44A2E" w:rsidRPr="00A745A0">
        <w:rPr>
          <w:rFonts w:ascii="Century Gothic" w:hAnsi="Century Gothic" w:cs="Arial"/>
          <w:i/>
        </w:rPr>
        <w:t xml:space="preserve"> </w:t>
      </w:r>
      <w:r w:rsidRPr="00A745A0">
        <w:rPr>
          <w:rFonts w:ascii="Century Gothic" w:hAnsi="Century Gothic" w:cs="Arial"/>
          <w:i/>
        </w:rPr>
        <w:t>debe ser claro, preciso, y detallando de forma comprensible del por qué está</w:t>
      </w:r>
      <w:r w:rsidR="00E44A2E" w:rsidRPr="00A745A0">
        <w:rPr>
          <w:rFonts w:ascii="Century Gothic" w:hAnsi="Century Gothic" w:cs="Arial"/>
          <w:i/>
        </w:rPr>
        <w:t xml:space="preserve"> </w:t>
      </w:r>
      <w:r w:rsidRPr="00A745A0">
        <w:rPr>
          <w:rFonts w:ascii="Century Gothic" w:hAnsi="Century Gothic" w:cs="Arial"/>
          <w:i/>
        </w:rPr>
        <w:t>interfiriendo en su esfera jurídica de la infractora, que sería la conducta antijurídica</w:t>
      </w:r>
      <w:r w:rsidR="00E44A2E" w:rsidRPr="00A745A0">
        <w:rPr>
          <w:rFonts w:ascii="Century Gothic" w:hAnsi="Century Gothic" w:cs="Arial"/>
          <w:i/>
        </w:rPr>
        <w:t xml:space="preserve"> </w:t>
      </w:r>
      <w:r w:rsidRPr="00A745A0">
        <w:rPr>
          <w:rFonts w:ascii="Century Gothic" w:hAnsi="Century Gothic" w:cs="Arial"/>
          <w:i/>
        </w:rPr>
        <w:t>realizada por ésta y qué norma le resulta aplicable, lo que en el presente caso no</w:t>
      </w:r>
      <w:r w:rsidR="00E44A2E" w:rsidRPr="00A745A0">
        <w:rPr>
          <w:rFonts w:ascii="Century Gothic" w:hAnsi="Century Gothic" w:cs="Arial"/>
          <w:i/>
        </w:rPr>
        <w:t xml:space="preserve"> </w:t>
      </w:r>
      <w:r w:rsidRPr="00A745A0">
        <w:rPr>
          <w:rFonts w:ascii="Century Gothic" w:hAnsi="Century Gothic" w:cs="Arial"/>
          <w:i/>
        </w:rPr>
        <w:t>acontece, ya que si bien dentro del apartado de motivación asentó la conducta</w:t>
      </w:r>
      <w:r w:rsidR="00E44A2E" w:rsidRPr="00A745A0">
        <w:rPr>
          <w:rFonts w:ascii="Century Gothic" w:hAnsi="Century Gothic" w:cs="Arial"/>
          <w:i/>
        </w:rPr>
        <w:t xml:space="preserve"> </w:t>
      </w:r>
      <w:r w:rsidRPr="00A745A0">
        <w:rPr>
          <w:rFonts w:ascii="Century Gothic" w:hAnsi="Century Gothic" w:cs="Arial"/>
          <w:i/>
        </w:rPr>
        <w:t>tipificada como falta administrativa, y en el apartado de fundamentación, no citó el</w:t>
      </w:r>
      <w:r w:rsidR="00E44A2E" w:rsidRPr="00A745A0">
        <w:rPr>
          <w:rFonts w:ascii="Century Gothic" w:hAnsi="Century Gothic" w:cs="Arial"/>
          <w:i/>
        </w:rPr>
        <w:t xml:space="preserve"> </w:t>
      </w:r>
      <w:r w:rsidRPr="00A745A0">
        <w:rPr>
          <w:rFonts w:ascii="Century Gothic" w:hAnsi="Century Gothic" w:cs="Arial"/>
          <w:i/>
        </w:rPr>
        <w:t>fundamento legal donde se encuentra tipificada la falta administrativa.</w:t>
      </w:r>
    </w:p>
    <w:p w14:paraId="212B4A71" w14:textId="77777777" w:rsidR="00E44A2E" w:rsidRPr="00A745A0" w:rsidRDefault="00E44A2E" w:rsidP="00A745A0">
      <w:pPr>
        <w:spacing w:after="0"/>
        <w:ind w:left="567" w:right="616"/>
        <w:jc w:val="both"/>
        <w:rPr>
          <w:rFonts w:ascii="Century Gothic" w:hAnsi="Century Gothic" w:cs="Arial"/>
          <w:i/>
        </w:rPr>
      </w:pPr>
    </w:p>
    <w:p w14:paraId="10BC5735" w14:textId="57E00E81" w:rsidR="00E44A2E" w:rsidRPr="00A745A0" w:rsidRDefault="000D12C5" w:rsidP="00A745A0">
      <w:pPr>
        <w:spacing w:after="0"/>
        <w:ind w:left="567" w:right="616"/>
        <w:jc w:val="both"/>
        <w:rPr>
          <w:rFonts w:ascii="Century Gothic" w:hAnsi="Century Gothic" w:cs="Arial"/>
          <w:i/>
        </w:rPr>
      </w:pPr>
      <w:r w:rsidRPr="00A745A0">
        <w:rPr>
          <w:rFonts w:ascii="Century Gothic" w:hAnsi="Century Gothic" w:cs="Arial"/>
          <w:i/>
        </w:rPr>
        <w:t>No obstante, lo que aquí nos ocupa, es que la autoridad demandada haya sido</w:t>
      </w:r>
      <w:r w:rsidR="00E44A2E" w:rsidRPr="00A745A0">
        <w:rPr>
          <w:rFonts w:ascii="Century Gothic" w:hAnsi="Century Gothic" w:cs="Arial"/>
          <w:i/>
        </w:rPr>
        <w:t xml:space="preserve"> </w:t>
      </w:r>
      <w:r w:rsidRPr="00A745A0">
        <w:rPr>
          <w:rFonts w:ascii="Century Gothic" w:hAnsi="Century Gothic" w:cs="Arial"/>
          <w:i/>
        </w:rPr>
        <w:t>omisa en detallar la motivación que debe estipularse al tomar una decisión en todo</w:t>
      </w:r>
      <w:r w:rsidR="00E44A2E" w:rsidRPr="00A745A0">
        <w:rPr>
          <w:rFonts w:ascii="Century Gothic" w:hAnsi="Century Gothic" w:cs="Arial"/>
          <w:i/>
        </w:rPr>
        <w:t xml:space="preserve"> </w:t>
      </w:r>
      <w:r w:rsidRPr="00A745A0">
        <w:rPr>
          <w:rFonts w:ascii="Century Gothic" w:hAnsi="Century Gothic" w:cs="Arial"/>
          <w:i/>
        </w:rPr>
        <w:t>acto administrativo, toda vez que dentro del apartado de motivación, deben</w:t>
      </w:r>
      <w:r w:rsidR="00E44A2E" w:rsidRPr="00A745A0">
        <w:rPr>
          <w:rFonts w:ascii="Century Gothic" w:hAnsi="Century Gothic" w:cs="Arial"/>
          <w:i/>
        </w:rPr>
        <w:t xml:space="preserve"> </w:t>
      </w:r>
      <w:r w:rsidRPr="00A745A0">
        <w:rPr>
          <w:rFonts w:ascii="Century Gothic" w:hAnsi="Century Gothic" w:cs="Arial"/>
          <w:i/>
        </w:rPr>
        <w:t>plasmarse los argumentos lógico-jurídicos y las circunstancias de modo, tiempo y</w:t>
      </w:r>
      <w:r w:rsidR="00E44A2E" w:rsidRPr="00A745A0">
        <w:rPr>
          <w:rFonts w:ascii="Century Gothic" w:hAnsi="Century Gothic" w:cs="Arial"/>
          <w:i/>
        </w:rPr>
        <w:t xml:space="preserve"> </w:t>
      </w:r>
      <w:r w:rsidRPr="00A745A0">
        <w:rPr>
          <w:rFonts w:ascii="Century Gothic" w:hAnsi="Century Gothic" w:cs="Arial"/>
          <w:i/>
        </w:rPr>
        <w:t>lugar aplicables que generen certidumbre de la forma en que el policía vial pudo</w:t>
      </w:r>
      <w:r w:rsidR="00E44A2E" w:rsidRPr="00A745A0">
        <w:rPr>
          <w:rFonts w:ascii="Century Gothic" w:hAnsi="Century Gothic" w:cs="Arial"/>
          <w:i/>
        </w:rPr>
        <w:t xml:space="preserve"> </w:t>
      </w:r>
      <w:r w:rsidRPr="00A745A0">
        <w:rPr>
          <w:rFonts w:ascii="Century Gothic" w:hAnsi="Century Gothic" w:cs="Arial"/>
          <w:i/>
        </w:rPr>
        <w:t>apreciar a través de sus sentidos la comisión de dicha falta, no así el motivo o falta</w:t>
      </w:r>
      <w:r w:rsidR="00E44A2E" w:rsidRPr="00A745A0">
        <w:rPr>
          <w:rFonts w:ascii="Century Gothic" w:hAnsi="Century Gothic" w:cs="Arial"/>
          <w:i/>
        </w:rPr>
        <w:t xml:space="preserve"> </w:t>
      </w:r>
      <w:r w:rsidRPr="00A745A0">
        <w:rPr>
          <w:rFonts w:ascii="Century Gothic" w:hAnsi="Century Gothic" w:cs="Arial"/>
          <w:i/>
        </w:rPr>
        <w:t>per se, luego entonces al no haber una correcta motivación, se vulneró los derecho</w:t>
      </w:r>
      <w:r w:rsidR="00E44A2E" w:rsidRPr="00A745A0">
        <w:rPr>
          <w:rFonts w:ascii="Century Gothic" w:hAnsi="Century Gothic" w:cs="Arial"/>
          <w:i/>
        </w:rPr>
        <w:t xml:space="preserve">s de la hoy actora, </w:t>
      </w:r>
      <w:r w:rsidR="00E44A2E" w:rsidRPr="00A745A0">
        <w:rPr>
          <w:rFonts w:ascii="Century Gothic" w:hAnsi="Century Gothic" w:cs="Arial"/>
          <w:i/>
        </w:rPr>
        <w:lastRenderedPageBreak/>
        <w:t>por lo que en ese tenor, dicho acto de autoridad carece de una adecuada motivación y fundamentación.</w:t>
      </w:r>
    </w:p>
    <w:p w14:paraId="49995CC2" w14:textId="77777777" w:rsidR="00A15589" w:rsidRPr="00A745A0" w:rsidRDefault="00A15589" w:rsidP="00A745A0">
      <w:pPr>
        <w:spacing w:after="0"/>
        <w:ind w:left="567" w:right="616"/>
        <w:jc w:val="both"/>
        <w:rPr>
          <w:rFonts w:ascii="Century Gothic" w:hAnsi="Century Gothic" w:cs="Arial"/>
          <w:i/>
        </w:rPr>
      </w:pPr>
    </w:p>
    <w:p w14:paraId="246A5037" w14:textId="401FA4A5" w:rsidR="00E44A2E" w:rsidRPr="00A745A0" w:rsidRDefault="00E44A2E" w:rsidP="00A745A0">
      <w:pPr>
        <w:spacing w:after="0"/>
        <w:ind w:left="567" w:right="616"/>
        <w:jc w:val="both"/>
        <w:rPr>
          <w:rFonts w:ascii="Century Gothic" w:hAnsi="Century Gothic" w:cs="Arial"/>
          <w:i/>
        </w:rPr>
      </w:pPr>
      <w:r w:rsidRPr="00A745A0">
        <w:rPr>
          <w:rFonts w:ascii="Century Gothic" w:hAnsi="Century Gothic" w:cs="Arial"/>
          <w:i/>
        </w:rPr>
        <w:t>Sirve de apoyo sustancial la tesis1, bajo los rubros y textos siguientes:</w:t>
      </w:r>
    </w:p>
    <w:p w14:paraId="18FC1460" w14:textId="77777777" w:rsidR="00E44A2E" w:rsidRPr="00A745A0" w:rsidRDefault="00E44A2E" w:rsidP="00A745A0">
      <w:pPr>
        <w:spacing w:after="0"/>
        <w:ind w:left="567" w:right="616"/>
        <w:jc w:val="both"/>
        <w:rPr>
          <w:rFonts w:ascii="Century Gothic" w:hAnsi="Century Gothic" w:cs="Arial"/>
          <w:i/>
        </w:rPr>
      </w:pPr>
    </w:p>
    <w:p w14:paraId="45B37514" w14:textId="567D88BF" w:rsidR="000D12C5" w:rsidRPr="00A745A0" w:rsidRDefault="00E44A2E" w:rsidP="00A745A0">
      <w:pPr>
        <w:spacing w:after="0"/>
        <w:ind w:left="567" w:right="616"/>
        <w:jc w:val="both"/>
        <w:rPr>
          <w:rFonts w:ascii="Century Gothic" w:hAnsi="Century Gothic" w:cs="Arial"/>
          <w:b/>
          <w:i/>
        </w:rPr>
      </w:pPr>
      <w:r w:rsidRPr="00A745A0">
        <w:rPr>
          <w:rFonts w:ascii="Century Gothic" w:hAnsi="Century Gothic" w:cs="Arial"/>
          <w:b/>
          <w:i/>
        </w:rPr>
        <w:t xml:space="preserve">"FUNDAMENTACION Y MOTIVACION, CONCEPTO DE. (…) </w:t>
      </w:r>
    </w:p>
    <w:p w14:paraId="28F3E4C0" w14:textId="77777777" w:rsidR="008D29C9" w:rsidRPr="00A745A0" w:rsidRDefault="008D29C9" w:rsidP="00A745A0">
      <w:pPr>
        <w:spacing w:after="0"/>
        <w:ind w:left="567" w:right="616"/>
        <w:jc w:val="both"/>
        <w:rPr>
          <w:rFonts w:ascii="Century Gothic" w:hAnsi="Century Gothic" w:cs="Arial"/>
          <w:b/>
          <w:i/>
        </w:rPr>
      </w:pPr>
    </w:p>
    <w:p w14:paraId="63AC33E4" w14:textId="134449A6" w:rsidR="00E44A2E" w:rsidRPr="00A745A0" w:rsidRDefault="00E44A2E" w:rsidP="00A745A0">
      <w:pPr>
        <w:spacing w:after="0"/>
        <w:ind w:left="567" w:right="616"/>
        <w:jc w:val="both"/>
        <w:rPr>
          <w:rFonts w:ascii="Century Gothic" w:hAnsi="Century Gothic" w:cs="Arial"/>
          <w:b/>
          <w:i/>
        </w:rPr>
      </w:pPr>
      <w:r w:rsidRPr="00A745A0">
        <w:rPr>
          <w:rFonts w:ascii="Century Gothic" w:hAnsi="Century Gothic" w:cs="Arial"/>
          <w:b/>
          <w:i/>
        </w:rPr>
        <w:t>"FUNDAMENTACIÓN Y MOTIVACIÓN DE LOS ACTOS</w:t>
      </w:r>
      <w:r w:rsidR="008D29C9" w:rsidRPr="00A745A0">
        <w:rPr>
          <w:rFonts w:ascii="Century Gothic" w:hAnsi="Century Gothic" w:cs="Arial"/>
          <w:b/>
          <w:i/>
        </w:rPr>
        <w:t xml:space="preserve"> ADMINISTRATIVOS” (…)</w:t>
      </w:r>
    </w:p>
    <w:p w14:paraId="3DCA2093" w14:textId="77777777" w:rsidR="008D29C9" w:rsidRPr="00A745A0" w:rsidRDefault="008D29C9" w:rsidP="00A745A0">
      <w:pPr>
        <w:spacing w:after="0"/>
        <w:ind w:left="567" w:right="616"/>
        <w:jc w:val="both"/>
        <w:rPr>
          <w:rFonts w:ascii="Century Gothic" w:hAnsi="Century Gothic" w:cs="Arial"/>
          <w:i/>
        </w:rPr>
      </w:pPr>
    </w:p>
    <w:p w14:paraId="16CB0C94" w14:textId="3EFD1173" w:rsidR="008D29C9" w:rsidRPr="00A745A0" w:rsidRDefault="00E44A2E" w:rsidP="00A745A0">
      <w:pPr>
        <w:spacing w:after="0"/>
        <w:ind w:left="567" w:right="616"/>
        <w:jc w:val="both"/>
        <w:rPr>
          <w:rFonts w:ascii="Century Gothic" w:hAnsi="Century Gothic" w:cs="Arial"/>
          <w:i/>
        </w:rPr>
      </w:pPr>
      <w:r w:rsidRPr="00A745A0">
        <w:rPr>
          <w:rFonts w:ascii="Century Gothic" w:hAnsi="Century Gothic" w:cs="Arial"/>
          <w:i/>
        </w:rPr>
        <w:t xml:space="preserve">Luego </w:t>
      </w:r>
      <w:r w:rsidR="00961517" w:rsidRPr="00A745A0">
        <w:rPr>
          <w:rFonts w:ascii="Century Gothic" w:hAnsi="Century Gothic" w:cs="Arial"/>
          <w:i/>
        </w:rPr>
        <w:t>entonc</w:t>
      </w:r>
      <w:r w:rsidR="00961517">
        <w:rPr>
          <w:rFonts w:ascii="Century Gothic" w:hAnsi="Century Gothic" w:cs="Arial"/>
          <w:i/>
        </w:rPr>
        <w:t>e</w:t>
      </w:r>
      <w:r w:rsidR="00961517" w:rsidRPr="00A745A0">
        <w:rPr>
          <w:rFonts w:ascii="Century Gothic" w:hAnsi="Century Gothic" w:cs="Arial"/>
          <w:i/>
        </w:rPr>
        <w:t>s</w:t>
      </w:r>
      <w:r w:rsidRPr="00A745A0">
        <w:rPr>
          <w:rFonts w:ascii="Century Gothic" w:hAnsi="Century Gothic" w:cs="Arial"/>
          <w:i/>
        </w:rPr>
        <w:t>, al no contener una correcta motivación y fundamentación</w:t>
      </w:r>
      <w:r w:rsidR="008D29C9" w:rsidRPr="00A745A0">
        <w:rPr>
          <w:rFonts w:ascii="Century Gothic" w:hAnsi="Century Gothic" w:cs="Arial"/>
          <w:i/>
        </w:rPr>
        <w:t xml:space="preserve"> </w:t>
      </w:r>
      <w:r w:rsidRPr="00A745A0">
        <w:rPr>
          <w:rFonts w:ascii="Century Gothic" w:hAnsi="Century Gothic" w:cs="Arial"/>
          <w:i/>
        </w:rPr>
        <w:t>dicho acto administrativo carece de validez alguna, ya que contraviene a los</w:t>
      </w:r>
      <w:r w:rsidR="008D29C9" w:rsidRPr="00A745A0">
        <w:rPr>
          <w:rFonts w:ascii="Century Gothic" w:hAnsi="Century Gothic" w:cs="Arial"/>
          <w:i/>
        </w:rPr>
        <w:t xml:space="preserve"> </w:t>
      </w:r>
      <w:r w:rsidRPr="00A745A0">
        <w:rPr>
          <w:rFonts w:ascii="Century Gothic" w:hAnsi="Century Gothic" w:cs="Arial"/>
          <w:i/>
        </w:rPr>
        <w:t>requisitos fundamentales de</w:t>
      </w:r>
      <w:r w:rsidR="008D29C9" w:rsidRPr="00A745A0">
        <w:rPr>
          <w:rFonts w:ascii="Century Gothic" w:hAnsi="Century Gothic" w:cs="Arial"/>
          <w:i/>
        </w:rPr>
        <w:t xml:space="preserve"> </w:t>
      </w:r>
      <w:r w:rsidRPr="00A745A0">
        <w:rPr>
          <w:rFonts w:ascii="Century Gothic" w:hAnsi="Century Gothic" w:cs="Arial"/>
          <w:i/>
        </w:rPr>
        <w:t>todo acto administrativo contemplado en el artículo 17</w:t>
      </w:r>
      <w:r w:rsidR="008D29C9" w:rsidRPr="00A745A0">
        <w:rPr>
          <w:rFonts w:ascii="Century Gothic" w:hAnsi="Century Gothic" w:cs="Arial"/>
          <w:i/>
        </w:rPr>
        <w:t xml:space="preserve"> </w:t>
      </w:r>
      <w:r w:rsidRPr="00A745A0">
        <w:rPr>
          <w:rFonts w:ascii="Century Gothic" w:hAnsi="Century Gothic" w:cs="Arial"/>
          <w:i/>
        </w:rPr>
        <w:t>fracción V de la Ley de Procedimiento y Justicia Administrativa para el Estado de</w:t>
      </w:r>
      <w:r w:rsidR="008D29C9" w:rsidRPr="00A745A0">
        <w:rPr>
          <w:rFonts w:ascii="Century Gothic" w:hAnsi="Century Gothic" w:cs="Arial"/>
          <w:i/>
        </w:rPr>
        <w:t xml:space="preserve"> Oaxaca, derivado de </w:t>
      </w:r>
      <w:r w:rsidR="00961517">
        <w:rPr>
          <w:rFonts w:ascii="Century Gothic" w:hAnsi="Century Gothic" w:cs="Arial"/>
          <w:i/>
        </w:rPr>
        <w:t>eso</w:t>
      </w:r>
      <w:r w:rsidR="008D29C9" w:rsidRPr="00A745A0">
        <w:rPr>
          <w:rFonts w:ascii="Century Gothic" w:hAnsi="Century Gothic" w:cs="Arial"/>
          <w:i/>
        </w:rPr>
        <w:t>, para que en el presente caso tuviera validez el acto administrativo, se requiere la descripción clara y completa de la conducta que encuadra en la hipótesis normativa, o que no se aprecia en el presente caso, pues la autoridad en un primer término no indica la forma en que advirtió que la infractora</w:t>
      </w:r>
    </w:p>
    <w:p w14:paraId="3D68CE01" w14:textId="755381AD" w:rsidR="008D29C9" w:rsidRPr="00A745A0" w:rsidRDefault="008D29C9" w:rsidP="00A745A0">
      <w:pPr>
        <w:spacing w:after="0"/>
        <w:ind w:left="567" w:right="616"/>
        <w:jc w:val="both"/>
        <w:rPr>
          <w:rFonts w:ascii="Century Gothic" w:hAnsi="Century Gothic" w:cs="Arial"/>
          <w:i/>
        </w:rPr>
      </w:pPr>
      <w:r w:rsidRPr="00A745A0">
        <w:rPr>
          <w:rFonts w:ascii="Century Gothic" w:hAnsi="Century Gothic" w:cs="Arial"/>
          <w:i/>
        </w:rPr>
        <w:t>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w:t>
      </w:r>
    </w:p>
    <w:p w14:paraId="270210FF" w14:textId="146E719A" w:rsidR="008D29C9" w:rsidRPr="00A745A0" w:rsidRDefault="008D29C9" w:rsidP="00A745A0">
      <w:pPr>
        <w:spacing w:after="0"/>
        <w:ind w:left="567" w:right="616"/>
        <w:jc w:val="both"/>
        <w:rPr>
          <w:rFonts w:ascii="Century Gothic" w:hAnsi="Century Gothic" w:cs="Arial"/>
          <w:i/>
        </w:rPr>
      </w:pPr>
    </w:p>
    <w:p w14:paraId="6070BEC0" w14:textId="5973F8DB" w:rsidR="008D29C9" w:rsidRPr="00A745A0" w:rsidRDefault="008D29C9" w:rsidP="00A745A0">
      <w:pPr>
        <w:spacing w:after="0"/>
        <w:ind w:left="567" w:right="616"/>
        <w:jc w:val="both"/>
        <w:rPr>
          <w:rFonts w:ascii="Century Gothic" w:hAnsi="Century Gothic" w:cs="Arial"/>
          <w:i/>
        </w:rPr>
      </w:pPr>
      <w:r w:rsidRPr="00A745A0">
        <w:rPr>
          <w:rFonts w:ascii="Century Gothic" w:hAnsi="Century Gothic" w:cs="Arial"/>
          <w:i/>
        </w:rPr>
        <w:t>Sirva al caso la tesis bajo el rubro y texto siguiente:</w:t>
      </w:r>
    </w:p>
    <w:p w14:paraId="511ED5E7" w14:textId="77777777" w:rsidR="008D29C9" w:rsidRPr="00A745A0" w:rsidRDefault="008D29C9" w:rsidP="00A745A0">
      <w:pPr>
        <w:spacing w:after="0"/>
        <w:ind w:left="567" w:right="616"/>
        <w:jc w:val="both"/>
        <w:rPr>
          <w:rFonts w:ascii="Century Gothic" w:hAnsi="Century Gothic" w:cs="Arial"/>
          <w:i/>
        </w:rPr>
      </w:pPr>
    </w:p>
    <w:p w14:paraId="6D9F0FDB" w14:textId="433283B0" w:rsidR="008D29C9" w:rsidRPr="00A745A0" w:rsidRDefault="008D29C9" w:rsidP="00A745A0">
      <w:pPr>
        <w:spacing w:after="0"/>
        <w:ind w:left="567" w:right="616"/>
        <w:jc w:val="both"/>
        <w:rPr>
          <w:rFonts w:ascii="Century Gothic" w:hAnsi="Century Gothic" w:cs="Arial"/>
          <w:i/>
        </w:rPr>
      </w:pPr>
      <w:r w:rsidRPr="00A745A0">
        <w:rPr>
          <w:rFonts w:ascii="Century Gothic" w:hAnsi="Century Gothic" w:cs="Arial"/>
          <w:b/>
          <w:i/>
        </w:rPr>
        <w:t>"TRANSITO, MULTAS DE.”</w:t>
      </w:r>
    </w:p>
    <w:p w14:paraId="03F2D414" w14:textId="77777777" w:rsidR="008D29C9" w:rsidRPr="00A745A0" w:rsidRDefault="008D29C9" w:rsidP="00A745A0">
      <w:pPr>
        <w:spacing w:after="0"/>
        <w:ind w:left="567" w:right="616"/>
        <w:jc w:val="both"/>
        <w:rPr>
          <w:rFonts w:ascii="Century Gothic" w:hAnsi="Century Gothic" w:cs="Arial"/>
          <w:i/>
        </w:rPr>
      </w:pPr>
    </w:p>
    <w:p w14:paraId="75FEFEDC" w14:textId="60B2C678" w:rsidR="008D29C9" w:rsidRPr="00A745A0" w:rsidRDefault="008D29C9" w:rsidP="00A745A0">
      <w:pPr>
        <w:spacing w:after="0"/>
        <w:ind w:left="567" w:right="616"/>
        <w:jc w:val="both"/>
        <w:rPr>
          <w:rFonts w:ascii="Century Gothic" w:hAnsi="Century Gothic" w:cs="Arial"/>
          <w:i/>
        </w:rPr>
      </w:pPr>
      <w:r w:rsidRPr="00A745A0">
        <w:rPr>
          <w:rFonts w:ascii="Century Gothic" w:hAnsi="Century Gothic" w:cs="Arial"/>
          <w:i/>
        </w:rPr>
        <w:t>Sirve al caso por analogía jurídica sustancial la tesis4 de rubro y texto siguiente:</w:t>
      </w:r>
    </w:p>
    <w:p w14:paraId="4574C8C1" w14:textId="77777777" w:rsidR="008D29C9" w:rsidRPr="00A745A0" w:rsidRDefault="008D29C9" w:rsidP="00A745A0">
      <w:pPr>
        <w:spacing w:after="0"/>
        <w:ind w:left="567" w:right="616"/>
        <w:jc w:val="both"/>
        <w:rPr>
          <w:rFonts w:ascii="Century Gothic" w:hAnsi="Century Gothic" w:cs="Arial"/>
          <w:i/>
        </w:rPr>
      </w:pPr>
    </w:p>
    <w:p w14:paraId="528441F2" w14:textId="77777777" w:rsidR="008D29C9" w:rsidRPr="00A745A0" w:rsidRDefault="008D29C9" w:rsidP="00A745A0">
      <w:pPr>
        <w:spacing w:after="0"/>
        <w:ind w:left="567" w:right="616"/>
        <w:jc w:val="both"/>
        <w:rPr>
          <w:rFonts w:ascii="Century Gothic" w:hAnsi="Century Gothic" w:cs="Arial"/>
          <w:b/>
          <w:i/>
        </w:rPr>
      </w:pPr>
      <w:r w:rsidRPr="00A745A0">
        <w:rPr>
          <w:rFonts w:ascii="Century Gothic" w:hAnsi="Century Gothic" w:cs="Arial"/>
          <w:b/>
          <w:i/>
        </w:rPr>
        <w:t>"PRUEBA PRESUNCIONAL LEGAL Y HUMANA, CASO EN QUE SU</w:t>
      </w:r>
    </w:p>
    <w:p w14:paraId="325321DF" w14:textId="3E5F73D8" w:rsidR="00E44A2E" w:rsidRPr="00A745A0" w:rsidRDefault="008D29C9" w:rsidP="00A745A0">
      <w:pPr>
        <w:spacing w:after="0"/>
        <w:ind w:left="567" w:right="616"/>
        <w:jc w:val="both"/>
        <w:rPr>
          <w:rFonts w:ascii="Century Gothic" w:hAnsi="Century Gothic" w:cs="Arial"/>
          <w:b/>
          <w:i/>
        </w:rPr>
      </w:pPr>
      <w:r w:rsidRPr="00A745A0">
        <w:rPr>
          <w:rFonts w:ascii="Century Gothic" w:hAnsi="Century Gothic" w:cs="Arial"/>
          <w:b/>
          <w:i/>
        </w:rPr>
        <w:t>ESTUDIO RESULTA INNECESARIO.”</w:t>
      </w:r>
    </w:p>
    <w:p w14:paraId="1C991906" w14:textId="704BF673" w:rsidR="008D29C9" w:rsidRPr="0086631D" w:rsidRDefault="008D29C9" w:rsidP="00A745A0">
      <w:pPr>
        <w:spacing w:after="0"/>
        <w:ind w:left="567" w:right="616"/>
        <w:jc w:val="both"/>
        <w:rPr>
          <w:rFonts w:ascii="Century Gothic" w:hAnsi="Century Gothic" w:cs="Arial"/>
          <w:i/>
          <w:sz w:val="24"/>
          <w:szCs w:val="24"/>
        </w:rPr>
      </w:pPr>
    </w:p>
    <w:p w14:paraId="54E99787" w14:textId="04CFC3F0" w:rsidR="000D12C5" w:rsidRPr="0086631D" w:rsidRDefault="00E44A2E" w:rsidP="00A745A0">
      <w:pPr>
        <w:spacing w:after="0"/>
        <w:ind w:left="567" w:right="616"/>
        <w:jc w:val="both"/>
        <w:rPr>
          <w:rFonts w:ascii="Century Gothic" w:hAnsi="Century Gothic" w:cs="Arial"/>
          <w:sz w:val="24"/>
          <w:szCs w:val="24"/>
        </w:rPr>
      </w:pPr>
      <w:r w:rsidRPr="0086631D">
        <w:rPr>
          <w:rFonts w:ascii="Century Gothic" w:hAnsi="Century Gothic" w:cs="Arial"/>
          <w:sz w:val="24"/>
          <w:szCs w:val="24"/>
        </w:rPr>
        <w:t xml:space="preserve"> </w:t>
      </w:r>
    </w:p>
    <w:p w14:paraId="32F38206" w14:textId="147C8994" w:rsidR="003922BF" w:rsidRPr="0086631D" w:rsidRDefault="00023FE9" w:rsidP="00A745A0">
      <w:pPr>
        <w:ind w:firstLine="708"/>
        <w:jc w:val="both"/>
        <w:rPr>
          <w:rFonts w:ascii="Century Gothic" w:hAnsi="Century Gothic" w:cs="Arial"/>
          <w:sz w:val="24"/>
          <w:szCs w:val="24"/>
        </w:rPr>
      </w:pPr>
      <w:r>
        <w:rPr>
          <w:rFonts w:ascii="Century Gothic" w:hAnsi="Century Gothic" w:cs="Arial"/>
          <w:sz w:val="24"/>
          <w:szCs w:val="24"/>
        </w:rPr>
        <w:t xml:space="preserve">14. </w:t>
      </w:r>
      <w:r w:rsidR="003638B9" w:rsidRPr="0086631D">
        <w:rPr>
          <w:rFonts w:ascii="Century Gothic" w:hAnsi="Century Gothic" w:cs="Arial"/>
          <w:sz w:val="24"/>
          <w:szCs w:val="24"/>
        </w:rPr>
        <w:t xml:space="preserve">De la transcripción anterior, se advierte </w:t>
      </w:r>
      <w:r w:rsidR="00221E9A" w:rsidRPr="0086631D">
        <w:rPr>
          <w:rFonts w:ascii="Century Gothic" w:hAnsi="Century Gothic" w:cs="Arial"/>
          <w:bCs/>
          <w:sz w:val="24"/>
          <w:szCs w:val="24"/>
        </w:rPr>
        <w:t>que</w:t>
      </w:r>
      <w:r w:rsidR="008D105A" w:rsidRPr="0086631D">
        <w:rPr>
          <w:rFonts w:ascii="Century Gothic" w:hAnsi="Century Gothic" w:cs="Arial"/>
          <w:bCs/>
          <w:sz w:val="24"/>
          <w:szCs w:val="24"/>
        </w:rPr>
        <w:t xml:space="preserve"> </w:t>
      </w:r>
      <w:r w:rsidR="003922BF" w:rsidRPr="0086631D">
        <w:rPr>
          <w:rFonts w:ascii="Century Gothic" w:hAnsi="Century Gothic" w:cs="Arial"/>
          <w:bCs/>
          <w:color w:val="000000"/>
          <w:sz w:val="24"/>
          <w:szCs w:val="24"/>
        </w:rPr>
        <w:t>contrario a lo que alega</w:t>
      </w:r>
      <w:r w:rsidR="00105C87" w:rsidRPr="0086631D">
        <w:rPr>
          <w:rFonts w:ascii="Century Gothic" w:hAnsi="Century Gothic" w:cs="Arial"/>
          <w:bCs/>
          <w:color w:val="000000"/>
          <w:sz w:val="24"/>
          <w:szCs w:val="24"/>
        </w:rPr>
        <w:t xml:space="preserve"> la autoridad recurrente</w:t>
      </w:r>
      <w:r w:rsidR="003922BF" w:rsidRPr="0086631D">
        <w:rPr>
          <w:rFonts w:ascii="Century Gothic" w:hAnsi="Century Gothic" w:cs="Arial"/>
          <w:bCs/>
          <w:color w:val="000000"/>
          <w:sz w:val="24"/>
          <w:szCs w:val="24"/>
        </w:rPr>
        <w:t xml:space="preserve">, la </w:t>
      </w:r>
      <w:r w:rsidR="00961517">
        <w:rPr>
          <w:rFonts w:ascii="Century Gothic" w:hAnsi="Century Gothic" w:cs="Arial"/>
          <w:bCs/>
          <w:color w:val="000000"/>
          <w:sz w:val="24"/>
          <w:szCs w:val="24"/>
        </w:rPr>
        <w:t>S</w:t>
      </w:r>
      <w:r w:rsidR="003922BF" w:rsidRPr="0086631D">
        <w:rPr>
          <w:rFonts w:ascii="Century Gothic" w:hAnsi="Century Gothic" w:cs="Arial"/>
          <w:bCs/>
          <w:color w:val="000000"/>
          <w:sz w:val="24"/>
          <w:szCs w:val="24"/>
        </w:rPr>
        <w:t xml:space="preserve">ala </w:t>
      </w:r>
      <w:r w:rsidR="00313BD1" w:rsidRPr="0086631D">
        <w:rPr>
          <w:rFonts w:ascii="Century Gothic" w:hAnsi="Century Gothic" w:cs="Arial"/>
          <w:bCs/>
          <w:color w:val="000000"/>
          <w:sz w:val="24"/>
          <w:szCs w:val="24"/>
        </w:rPr>
        <w:t>d</w:t>
      </w:r>
      <w:r w:rsidR="00221E9A" w:rsidRPr="0086631D">
        <w:rPr>
          <w:rFonts w:ascii="Century Gothic" w:hAnsi="Century Gothic" w:cs="Arial"/>
          <w:bCs/>
          <w:color w:val="000000"/>
          <w:sz w:val="24"/>
          <w:szCs w:val="24"/>
        </w:rPr>
        <w:t xml:space="preserve">e </w:t>
      </w:r>
      <w:r w:rsidR="00961517">
        <w:rPr>
          <w:rFonts w:ascii="Century Gothic" w:hAnsi="Century Gothic" w:cs="Arial"/>
          <w:bCs/>
          <w:color w:val="000000"/>
          <w:sz w:val="24"/>
          <w:szCs w:val="24"/>
        </w:rPr>
        <w:t>P</w:t>
      </w:r>
      <w:r w:rsidR="00221E9A" w:rsidRPr="0086631D">
        <w:rPr>
          <w:rFonts w:ascii="Century Gothic" w:hAnsi="Century Gothic" w:cs="Arial"/>
          <w:bCs/>
          <w:color w:val="000000"/>
          <w:sz w:val="24"/>
          <w:szCs w:val="24"/>
        </w:rPr>
        <w:t xml:space="preserve">rimera </w:t>
      </w:r>
      <w:r w:rsidR="00961517">
        <w:rPr>
          <w:rFonts w:ascii="Century Gothic" w:hAnsi="Century Gothic" w:cs="Arial"/>
          <w:bCs/>
          <w:color w:val="000000"/>
          <w:sz w:val="24"/>
          <w:szCs w:val="24"/>
        </w:rPr>
        <w:t>I</w:t>
      </w:r>
      <w:r w:rsidR="00221E9A" w:rsidRPr="0086631D">
        <w:rPr>
          <w:rFonts w:ascii="Century Gothic" w:hAnsi="Century Gothic" w:cs="Arial"/>
          <w:bCs/>
          <w:color w:val="000000"/>
          <w:sz w:val="24"/>
          <w:szCs w:val="24"/>
        </w:rPr>
        <w:t>nstancia se</w:t>
      </w:r>
      <w:r w:rsidR="00105C87" w:rsidRPr="0086631D">
        <w:rPr>
          <w:rFonts w:ascii="Century Gothic" w:hAnsi="Century Gothic" w:cs="Arial"/>
          <w:bCs/>
          <w:color w:val="000000"/>
          <w:sz w:val="24"/>
          <w:szCs w:val="24"/>
        </w:rPr>
        <w:t xml:space="preserve"> ab</w:t>
      </w:r>
      <w:r w:rsidR="003922BF" w:rsidRPr="0086631D">
        <w:rPr>
          <w:rFonts w:ascii="Century Gothic" w:hAnsi="Century Gothic" w:cs="Arial"/>
          <w:bCs/>
          <w:color w:val="000000"/>
          <w:sz w:val="24"/>
          <w:szCs w:val="24"/>
        </w:rPr>
        <w:t>ocó a analizar el act</w:t>
      </w:r>
      <w:r w:rsidR="003638B9" w:rsidRPr="0086631D">
        <w:rPr>
          <w:rFonts w:ascii="Century Gothic" w:hAnsi="Century Gothic" w:cs="Arial"/>
          <w:bCs/>
          <w:color w:val="000000"/>
          <w:sz w:val="24"/>
          <w:szCs w:val="24"/>
        </w:rPr>
        <w:t>o administrativo impugnado</w:t>
      </w:r>
      <w:r w:rsidR="00105C87" w:rsidRPr="0086631D">
        <w:rPr>
          <w:rFonts w:ascii="Century Gothic" w:hAnsi="Century Gothic" w:cs="Arial"/>
          <w:sz w:val="24"/>
          <w:szCs w:val="24"/>
        </w:rPr>
        <w:t xml:space="preserve">, </w:t>
      </w:r>
      <w:r w:rsidR="003922BF" w:rsidRPr="0086631D">
        <w:rPr>
          <w:rFonts w:ascii="Century Gothic" w:hAnsi="Century Gothic" w:cs="Arial"/>
          <w:bCs/>
          <w:sz w:val="24"/>
          <w:szCs w:val="24"/>
        </w:rPr>
        <w:t>para verter las consideraciones sustentadas en ra</w:t>
      </w:r>
      <w:r w:rsidR="003922BF" w:rsidRPr="0086631D">
        <w:rPr>
          <w:rFonts w:ascii="Century Gothic" w:hAnsi="Century Gothic" w:cs="Arial"/>
          <w:sz w:val="24"/>
          <w:szCs w:val="24"/>
        </w:rPr>
        <w:t xml:space="preserve">zonamientos debidamente fundados y motivados, que </w:t>
      </w:r>
      <w:r w:rsidR="00221E9A" w:rsidRPr="0086631D">
        <w:rPr>
          <w:rFonts w:ascii="Century Gothic" w:hAnsi="Century Gothic" w:cs="Arial"/>
          <w:sz w:val="24"/>
          <w:szCs w:val="24"/>
        </w:rPr>
        <w:t xml:space="preserve">la </w:t>
      </w:r>
      <w:r w:rsidR="003922BF" w:rsidRPr="0086631D">
        <w:rPr>
          <w:rFonts w:ascii="Century Gothic" w:hAnsi="Century Gothic" w:cs="Arial"/>
          <w:sz w:val="24"/>
          <w:szCs w:val="24"/>
        </w:rPr>
        <w:t xml:space="preserve">llevaron </w:t>
      </w:r>
      <w:r w:rsidR="00221E9A" w:rsidRPr="0086631D">
        <w:rPr>
          <w:rFonts w:ascii="Century Gothic" w:hAnsi="Century Gothic" w:cs="Arial"/>
          <w:sz w:val="24"/>
          <w:szCs w:val="24"/>
        </w:rPr>
        <w:t>a</w:t>
      </w:r>
      <w:r w:rsidR="003922BF" w:rsidRPr="0086631D">
        <w:rPr>
          <w:rFonts w:ascii="Century Gothic" w:hAnsi="Century Gothic" w:cs="Arial"/>
          <w:sz w:val="24"/>
          <w:szCs w:val="24"/>
        </w:rPr>
        <w:t xml:space="preserve"> determinar la nulidad lisa y llana del acto de autoridad. </w:t>
      </w:r>
    </w:p>
    <w:p w14:paraId="6F9336E9" w14:textId="31D6B3BC" w:rsidR="00952794" w:rsidRPr="0086631D" w:rsidRDefault="00023FE9" w:rsidP="00A745A0">
      <w:pPr>
        <w:ind w:firstLine="708"/>
        <w:jc w:val="both"/>
        <w:rPr>
          <w:rFonts w:ascii="Century Gothic" w:hAnsi="Century Gothic" w:cs="Arial"/>
          <w:sz w:val="24"/>
          <w:szCs w:val="24"/>
        </w:rPr>
      </w:pPr>
      <w:r>
        <w:rPr>
          <w:rFonts w:ascii="Century Gothic" w:hAnsi="Century Gothic" w:cs="Arial"/>
          <w:sz w:val="24"/>
          <w:szCs w:val="24"/>
        </w:rPr>
        <w:t xml:space="preserve">15. </w:t>
      </w:r>
      <w:r w:rsidR="00313BD1" w:rsidRPr="0086631D">
        <w:rPr>
          <w:rFonts w:ascii="Century Gothic" w:hAnsi="Century Gothic" w:cs="Arial"/>
          <w:sz w:val="24"/>
          <w:szCs w:val="24"/>
        </w:rPr>
        <w:t>Se dice lo anterior</w:t>
      </w:r>
      <w:r w:rsidR="00221E9A" w:rsidRPr="0086631D">
        <w:rPr>
          <w:rFonts w:ascii="Century Gothic" w:hAnsi="Century Gothic" w:cs="Arial"/>
          <w:sz w:val="24"/>
          <w:szCs w:val="24"/>
        </w:rPr>
        <w:t>,</w:t>
      </w:r>
      <w:r w:rsidR="003922BF" w:rsidRPr="0086631D">
        <w:rPr>
          <w:rFonts w:ascii="Century Gothic" w:hAnsi="Century Gothic" w:cs="Arial"/>
          <w:sz w:val="24"/>
          <w:szCs w:val="24"/>
        </w:rPr>
        <w:t xml:space="preserve"> porque </w:t>
      </w:r>
      <w:r w:rsidR="00D14D31">
        <w:rPr>
          <w:rFonts w:ascii="Century Gothic" w:hAnsi="Century Gothic" w:cs="Arial"/>
          <w:sz w:val="24"/>
          <w:szCs w:val="24"/>
        </w:rPr>
        <w:t>en l</w:t>
      </w:r>
      <w:r w:rsidR="003922BF" w:rsidRPr="0086631D">
        <w:rPr>
          <w:rFonts w:ascii="Century Gothic" w:hAnsi="Century Gothic" w:cs="Arial"/>
          <w:sz w:val="24"/>
          <w:szCs w:val="24"/>
        </w:rPr>
        <w:t>a foja</w:t>
      </w:r>
      <w:r w:rsidR="00A8339C" w:rsidRPr="0086631D">
        <w:rPr>
          <w:rFonts w:ascii="Century Gothic" w:hAnsi="Century Gothic" w:cs="Arial"/>
          <w:sz w:val="24"/>
          <w:szCs w:val="24"/>
        </w:rPr>
        <w:t xml:space="preserve"> </w:t>
      </w:r>
      <w:r w:rsidR="00C2345B" w:rsidRPr="0086631D">
        <w:rPr>
          <w:rFonts w:ascii="Century Gothic" w:hAnsi="Century Gothic" w:cs="Arial"/>
          <w:sz w:val="24"/>
          <w:szCs w:val="24"/>
        </w:rPr>
        <w:t>siete</w:t>
      </w:r>
      <w:r w:rsidR="002C0D09" w:rsidRPr="0086631D">
        <w:rPr>
          <w:rFonts w:ascii="Century Gothic" w:hAnsi="Century Gothic" w:cs="Arial"/>
          <w:sz w:val="24"/>
          <w:szCs w:val="24"/>
        </w:rPr>
        <w:t xml:space="preserve"> </w:t>
      </w:r>
      <w:r w:rsidR="00952794" w:rsidRPr="0086631D">
        <w:rPr>
          <w:rFonts w:ascii="Century Gothic" w:hAnsi="Century Gothic" w:cs="Arial"/>
          <w:sz w:val="24"/>
          <w:szCs w:val="24"/>
        </w:rPr>
        <w:t xml:space="preserve">de </w:t>
      </w:r>
      <w:r w:rsidR="003922BF" w:rsidRPr="0086631D">
        <w:rPr>
          <w:rFonts w:ascii="Century Gothic" w:hAnsi="Century Gothic" w:cs="Arial"/>
          <w:sz w:val="24"/>
          <w:szCs w:val="24"/>
        </w:rPr>
        <w:t>los autos, obra glosada el acta de infracción de folio</w:t>
      </w:r>
      <w:r w:rsidR="00A8339C" w:rsidRPr="0086631D">
        <w:rPr>
          <w:rFonts w:ascii="Century Gothic" w:hAnsi="Century Gothic" w:cs="Arial"/>
          <w:sz w:val="24"/>
          <w:szCs w:val="24"/>
        </w:rPr>
        <w:t xml:space="preserve"> </w:t>
      </w:r>
      <w:r w:rsidR="00C2345B" w:rsidRPr="0086631D">
        <w:rPr>
          <w:rFonts w:ascii="Century Gothic" w:hAnsi="Century Gothic" w:cs="Arial"/>
          <w:sz w:val="24"/>
          <w:szCs w:val="24"/>
        </w:rPr>
        <w:t>5737</w:t>
      </w:r>
      <w:r w:rsidR="00A8339C" w:rsidRPr="0086631D">
        <w:rPr>
          <w:rFonts w:ascii="Century Gothic" w:hAnsi="Century Gothic" w:cs="Arial"/>
          <w:sz w:val="24"/>
          <w:szCs w:val="24"/>
        </w:rPr>
        <w:t xml:space="preserve"> A de fecha </w:t>
      </w:r>
      <w:r w:rsidR="00C2345B" w:rsidRPr="0086631D">
        <w:rPr>
          <w:rFonts w:ascii="Century Gothic" w:hAnsi="Century Gothic" w:cs="Arial"/>
          <w:sz w:val="24"/>
          <w:szCs w:val="24"/>
        </w:rPr>
        <w:t>catorce de octubre</w:t>
      </w:r>
      <w:r w:rsidR="00A8339C" w:rsidRPr="0086631D">
        <w:rPr>
          <w:rFonts w:ascii="Century Gothic" w:hAnsi="Century Gothic" w:cs="Arial"/>
          <w:sz w:val="24"/>
          <w:szCs w:val="24"/>
        </w:rPr>
        <w:t xml:space="preserve"> del año</w:t>
      </w:r>
      <w:r w:rsidR="00D11379" w:rsidRPr="0086631D">
        <w:rPr>
          <w:rFonts w:ascii="Century Gothic" w:hAnsi="Century Gothic" w:cs="Arial"/>
          <w:sz w:val="24"/>
          <w:szCs w:val="24"/>
        </w:rPr>
        <w:t xml:space="preserve"> dos mil veint</w:t>
      </w:r>
      <w:r w:rsidR="00C2345B" w:rsidRPr="0086631D">
        <w:rPr>
          <w:rFonts w:ascii="Century Gothic" w:hAnsi="Century Gothic" w:cs="Arial"/>
          <w:sz w:val="24"/>
          <w:szCs w:val="24"/>
        </w:rPr>
        <w:t>e</w:t>
      </w:r>
      <w:r w:rsidR="005549D7" w:rsidRPr="0086631D">
        <w:rPr>
          <w:rFonts w:ascii="Century Gothic" w:hAnsi="Century Gothic" w:cs="Arial"/>
          <w:sz w:val="24"/>
          <w:szCs w:val="24"/>
        </w:rPr>
        <w:t>,</w:t>
      </w:r>
      <w:r w:rsidR="003638B9" w:rsidRPr="0086631D">
        <w:rPr>
          <w:rFonts w:ascii="Century Gothic" w:hAnsi="Century Gothic" w:cs="Arial"/>
          <w:sz w:val="24"/>
          <w:szCs w:val="24"/>
        </w:rPr>
        <w:t xml:space="preserve"> </w:t>
      </w:r>
      <w:r w:rsidR="003922BF" w:rsidRPr="0086631D">
        <w:rPr>
          <w:rFonts w:ascii="Century Gothic" w:hAnsi="Century Gothic" w:cs="Arial"/>
          <w:sz w:val="24"/>
          <w:szCs w:val="24"/>
        </w:rPr>
        <w:t xml:space="preserve">emitida por </w:t>
      </w:r>
      <w:r w:rsidR="00952794" w:rsidRPr="0086631D">
        <w:rPr>
          <w:rFonts w:ascii="Century Gothic" w:hAnsi="Century Gothic" w:cs="Arial"/>
          <w:sz w:val="24"/>
          <w:szCs w:val="24"/>
        </w:rPr>
        <w:t>la P</w:t>
      </w:r>
      <w:r w:rsidR="003922BF" w:rsidRPr="0086631D">
        <w:rPr>
          <w:rFonts w:ascii="Century Gothic" w:hAnsi="Century Gothic" w:cs="Arial"/>
          <w:sz w:val="24"/>
          <w:szCs w:val="24"/>
        </w:rPr>
        <w:t xml:space="preserve">olicía </w:t>
      </w:r>
      <w:r w:rsidR="00952794" w:rsidRPr="0086631D">
        <w:rPr>
          <w:rFonts w:ascii="Century Gothic" w:hAnsi="Century Gothic" w:cs="Arial"/>
          <w:sz w:val="24"/>
          <w:szCs w:val="24"/>
        </w:rPr>
        <w:t>V</w:t>
      </w:r>
      <w:r w:rsidR="003922BF" w:rsidRPr="0086631D">
        <w:rPr>
          <w:rFonts w:ascii="Century Gothic" w:hAnsi="Century Gothic" w:cs="Arial"/>
          <w:sz w:val="24"/>
          <w:szCs w:val="24"/>
        </w:rPr>
        <w:t xml:space="preserve">ial recurrente, de cuyo texto se advierte que en el apartado relativo a todos los supuestos </w:t>
      </w:r>
      <w:r w:rsidR="003922BF" w:rsidRPr="0086631D">
        <w:rPr>
          <w:rFonts w:ascii="Century Gothic" w:hAnsi="Century Gothic" w:cs="Arial"/>
          <w:sz w:val="24"/>
          <w:szCs w:val="24"/>
        </w:rPr>
        <w:lastRenderedPageBreak/>
        <w:t xml:space="preserve">descritos como “Faltas Administrativas </w:t>
      </w:r>
      <w:r w:rsidR="00973F60" w:rsidRPr="0086631D">
        <w:rPr>
          <w:rFonts w:ascii="Century Gothic" w:hAnsi="Century Gothic" w:cs="Arial"/>
          <w:sz w:val="24"/>
          <w:szCs w:val="24"/>
        </w:rPr>
        <w:t>contempladas en el Re</w:t>
      </w:r>
      <w:r w:rsidR="003922BF" w:rsidRPr="0086631D">
        <w:rPr>
          <w:rFonts w:ascii="Century Gothic" w:hAnsi="Century Gothic" w:cs="Arial"/>
          <w:sz w:val="24"/>
          <w:szCs w:val="24"/>
        </w:rPr>
        <w:t>glamento</w:t>
      </w:r>
      <w:r w:rsidR="007C1CCF" w:rsidRPr="0086631D">
        <w:rPr>
          <w:rFonts w:ascii="Century Gothic" w:hAnsi="Century Gothic" w:cs="Arial"/>
          <w:sz w:val="24"/>
          <w:szCs w:val="24"/>
        </w:rPr>
        <w:t xml:space="preserve">”, </w:t>
      </w:r>
      <w:r w:rsidR="00952794" w:rsidRPr="0086631D">
        <w:rPr>
          <w:rFonts w:ascii="Century Gothic" w:hAnsi="Century Gothic" w:cs="Arial"/>
          <w:sz w:val="24"/>
          <w:szCs w:val="24"/>
        </w:rPr>
        <w:t>remarcó la hipótesis que señala:</w:t>
      </w:r>
    </w:p>
    <w:p w14:paraId="6BB077AB" w14:textId="1B1EE755" w:rsidR="00952794" w:rsidRPr="003108AC" w:rsidRDefault="00952794" w:rsidP="00A745A0">
      <w:pPr>
        <w:ind w:firstLine="708"/>
        <w:jc w:val="both"/>
        <w:rPr>
          <w:rFonts w:ascii="Century Gothic" w:hAnsi="Century Gothic" w:cstheme="minorHAnsi"/>
          <w:b/>
          <w:sz w:val="24"/>
          <w:szCs w:val="24"/>
        </w:rPr>
      </w:pPr>
      <w:r w:rsidRPr="003108AC">
        <w:rPr>
          <w:rFonts w:ascii="Century Gothic" w:hAnsi="Century Gothic" w:cstheme="minorHAnsi"/>
          <w:b/>
          <w:sz w:val="24"/>
          <w:szCs w:val="24"/>
        </w:rPr>
        <w:t>“</w:t>
      </w:r>
      <w:r w:rsidR="00B501F4" w:rsidRPr="003108AC">
        <w:rPr>
          <w:rFonts w:ascii="Century Gothic" w:hAnsi="Century Gothic" w:cstheme="minorHAnsi"/>
          <w:b/>
          <w:sz w:val="24"/>
          <w:szCs w:val="24"/>
        </w:rPr>
        <w:t>PASARSE LA LUZ ROJA O ÁMBAR DEL SEMÁFORO. ARTÍCULO 59 FRACCIÓN I, INCISO C Y D”</w:t>
      </w:r>
    </w:p>
    <w:p w14:paraId="68F792C9" w14:textId="61EAAB1B" w:rsidR="00AC66DE" w:rsidRPr="0086631D" w:rsidRDefault="00023FE9" w:rsidP="00A745A0">
      <w:pPr>
        <w:ind w:firstLine="708"/>
        <w:jc w:val="both"/>
        <w:rPr>
          <w:rFonts w:ascii="Century Gothic" w:hAnsi="Century Gothic" w:cs="Arial"/>
          <w:sz w:val="24"/>
          <w:szCs w:val="24"/>
        </w:rPr>
      </w:pPr>
      <w:r>
        <w:rPr>
          <w:rFonts w:ascii="Century Gothic" w:hAnsi="Century Gothic" w:cs="Arial"/>
          <w:sz w:val="24"/>
          <w:szCs w:val="24"/>
        </w:rPr>
        <w:t xml:space="preserve">16. </w:t>
      </w:r>
      <w:r w:rsidR="00BB51D8" w:rsidRPr="0086631D">
        <w:rPr>
          <w:rFonts w:ascii="Century Gothic" w:hAnsi="Century Gothic" w:cs="Arial"/>
          <w:sz w:val="24"/>
          <w:szCs w:val="24"/>
        </w:rPr>
        <w:t>E</w:t>
      </w:r>
      <w:r w:rsidR="00193904" w:rsidRPr="0086631D">
        <w:rPr>
          <w:rFonts w:ascii="Century Gothic" w:hAnsi="Century Gothic" w:cs="Arial"/>
          <w:sz w:val="24"/>
          <w:szCs w:val="24"/>
        </w:rPr>
        <w:t xml:space="preserve">n el espacio </w:t>
      </w:r>
      <w:r w:rsidR="00555536" w:rsidRPr="0086631D">
        <w:rPr>
          <w:rFonts w:ascii="Century Gothic" w:hAnsi="Century Gothic" w:cs="Arial"/>
          <w:sz w:val="24"/>
          <w:szCs w:val="24"/>
        </w:rPr>
        <w:t xml:space="preserve">reservado para la </w:t>
      </w:r>
      <w:r w:rsidR="00BB51D8" w:rsidRPr="0086631D">
        <w:rPr>
          <w:rFonts w:ascii="Century Gothic" w:hAnsi="Century Gothic" w:cs="Arial"/>
          <w:sz w:val="24"/>
          <w:szCs w:val="24"/>
        </w:rPr>
        <w:t>“MOTIVACIÓN”</w:t>
      </w:r>
      <w:r w:rsidR="00555536" w:rsidRPr="0086631D">
        <w:rPr>
          <w:rFonts w:ascii="Century Gothic" w:hAnsi="Century Gothic" w:cs="Arial"/>
          <w:sz w:val="24"/>
          <w:szCs w:val="24"/>
        </w:rPr>
        <w:t xml:space="preserve"> del acta de inf</w:t>
      </w:r>
      <w:r w:rsidR="00BB51D8" w:rsidRPr="0086631D">
        <w:rPr>
          <w:rFonts w:ascii="Century Gothic" w:hAnsi="Century Gothic" w:cs="Arial"/>
          <w:sz w:val="24"/>
          <w:szCs w:val="24"/>
        </w:rPr>
        <w:t xml:space="preserve">racción </w:t>
      </w:r>
      <w:r w:rsidR="00AC66DE" w:rsidRPr="0086631D">
        <w:rPr>
          <w:rFonts w:ascii="Century Gothic" w:hAnsi="Century Gothic" w:cs="Arial"/>
          <w:sz w:val="24"/>
          <w:szCs w:val="24"/>
        </w:rPr>
        <w:t>plasmó:</w:t>
      </w:r>
    </w:p>
    <w:p w14:paraId="43AF80DB" w14:textId="0E66E75C" w:rsidR="00AC66DE" w:rsidRPr="003108AC" w:rsidRDefault="00AC66DE" w:rsidP="00A745A0">
      <w:pPr>
        <w:spacing w:after="0"/>
        <w:ind w:left="851" w:right="616"/>
        <w:jc w:val="both"/>
        <w:rPr>
          <w:rFonts w:ascii="Century Gothic" w:hAnsi="Century Gothic" w:cstheme="minorHAnsi"/>
          <w:b/>
          <w:sz w:val="24"/>
          <w:szCs w:val="24"/>
        </w:rPr>
      </w:pPr>
      <w:r w:rsidRPr="003108AC">
        <w:rPr>
          <w:rFonts w:ascii="Century Gothic" w:hAnsi="Century Gothic" w:cstheme="minorHAnsi"/>
          <w:b/>
          <w:sz w:val="24"/>
          <w:szCs w:val="24"/>
        </w:rPr>
        <w:t>“</w:t>
      </w:r>
      <w:r w:rsidR="00B501F4" w:rsidRPr="003108AC">
        <w:rPr>
          <w:rFonts w:ascii="Century Gothic" w:hAnsi="Century Gothic" w:cstheme="minorHAnsi"/>
          <w:b/>
          <w:sz w:val="24"/>
          <w:szCs w:val="24"/>
        </w:rPr>
        <w:t>SE SANCIONA A DICHA CONDUCTORA AL OBSERVAR PASARSE LA LUZ AMARILLA O ROJA DEL SEMÁFORO”</w:t>
      </w:r>
    </w:p>
    <w:p w14:paraId="1CC675B0" w14:textId="77777777" w:rsidR="00D14D31" w:rsidRPr="0086631D" w:rsidRDefault="00D14D31" w:rsidP="00A745A0">
      <w:pPr>
        <w:spacing w:after="0"/>
        <w:ind w:left="851" w:right="616"/>
        <w:jc w:val="both"/>
        <w:rPr>
          <w:rFonts w:ascii="Century Gothic" w:hAnsi="Century Gothic" w:cstheme="minorHAnsi"/>
          <w:sz w:val="24"/>
          <w:szCs w:val="24"/>
        </w:rPr>
      </w:pPr>
    </w:p>
    <w:p w14:paraId="06DFCACA" w14:textId="2704A547" w:rsidR="006A1037" w:rsidRPr="0086631D" w:rsidRDefault="00023FE9" w:rsidP="00A745A0">
      <w:pPr>
        <w:ind w:firstLine="708"/>
        <w:jc w:val="both"/>
        <w:rPr>
          <w:rFonts w:ascii="Century Gothic" w:hAnsi="Century Gothic" w:cs="Arial"/>
          <w:sz w:val="24"/>
          <w:szCs w:val="24"/>
        </w:rPr>
      </w:pPr>
      <w:r>
        <w:rPr>
          <w:rFonts w:ascii="Century Gothic" w:hAnsi="Century Gothic" w:cs="Arial"/>
          <w:sz w:val="24"/>
          <w:szCs w:val="24"/>
        </w:rPr>
        <w:t xml:space="preserve">17. </w:t>
      </w:r>
      <w:r w:rsidR="00426717" w:rsidRPr="0086631D">
        <w:rPr>
          <w:rFonts w:ascii="Century Gothic" w:hAnsi="Century Gothic" w:cs="Arial"/>
          <w:sz w:val="24"/>
          <w:szCs w:val="24"/>
        </w:rPr>
        <w:t xml:space="preserve">En el recuadro relativo a la “Fundamentación”, se advierte el texto preestablecido en el formato del acta de infracción </w:t>
      </w:r>
      <w:r w:rsidR="006A1037" w:rsidRPr="0086631D">
        <w:rPr>
          <w:rFonts w:ascii="Century Gothic" w:hAnsi="Century Gothic" w:cs="Arial"/>
          <w:sz w:val="24"/>
          <w:szCs w:val="24"/>
        </w:rPr>
        <w:t xml:space="preserve">y en OBSERVACIONES: </w:t>
      </w:r>
    </w:p>
    <w:p w14:paraId="529183FE" w14:textId="14C28E75" w:rsidR="006A1037" w:rsidRPr="003108AC" w:rsidRDefault="006A1037" w:rsidP="00A745A0">
      <w:pPr>
        <w:ind w:firstLine="708"/>
        <w:jc w:val="both"/>
        <w:rPr>
          <w:rFonts w:ascii="Century Gothic" w:hAnsi="Century Gothic" w:cs="Arial"/>
          <w:b/>
          <w:sz w:val="24"/>
          <w:szCs w:val="24"/>
        </w:rPr>
      </w:pPr>
      <w:r w:rsidRPr="003108AC">
        <w:rPr>
          <w:rFonts w:ascii="Century Gothic" w:hAnsi="Century Gothic" w:cs="Arial"/>
          <w:b/>
          <w:sz w:val="24"/>
          <w:szCs w:val="24"/>
        </w:rPr>
        <w:t>“no asentó texto alguno”</w:t>
      </w:r>
    </w:p>
    <w:p w14:paraId="702DFD1C" w14:textId="0BF6A642" w:rsidR="00ED638C" w:rsidRPr="0086631D" w:rsidRDefault="00023FE9" w:rsidP="00A745A0">
      <w:pPr>
        <w:spacing w:before="240"/>
        <w:ind w:firstLine="708"/>
        <w:jc w:val="both"/>
        <w:rPr>
          <w:rFonts w:ascii="Century Gothic" w:hAnsi="Century Gothic" w:cs="Arial"/>
          <w:sz w:val="24"/>
          <w:szCs w:val="24"/>
          <w:highlight w:val="yellow"/>
        </w:rPr>
      </w:pPr>
      <w:r>
        <w:rPr>
          <w:rFonts w:ascii="Century Gothic" w:hAnsi="Century Gothic" w:cs="Arial"/>
          <w:sz w:val="24"/>
          <w:szCs w:val="24"/>
        </w:rPr>
        <w:t xml:space="preserve">18. </w:t>
      </w:r>
      <w:r w:rsidR="00B65087" w:rsidRPr="0086631D">
        <w:rPr>
          <w:rFonts w:ascii="Century Gothic" w:hAnsi="Century Gothic" w:cs="Arial"/>
          <w:sz w:val="24"/>
          <w:szCs w:val="24"/>
        </w:rPr>
        <w:t xml:space="preserve">De lo anterior se </w:t>
      </w:r>
      <w:r w:rsidR="00426717" w:rsidRPr="0086631D">
        <w:rPr>
          <w:rFonts w:ascii="Century Gothic" w:hAnsi="Century Gothic" w:cs="Arial"/>
          <w:sz w:val="24"/>
          <w:szCs w:val="24"/>
        </w:rPr>
        <w:t>advierte que la falta administrativa señalada en el acta motivo del juicio de nulidad</w:t>
      </w:r>
      <w:r w:rsidR="00A36CB0" w:rsidRPr="0086631D">
        <w:rPr>
          <w:rFonts w:ascii="Century Gothic" w:hAnsi="Century Gothic" w:cs="Arial"/>
          <w:sz w:val="24"/>
          <w:szCs w:val="24"/>
        </w:rPr>
        <w:t>,</w:t>
      </w:r>
      <w:r w:rsidR="005C6D2A" w:rsidRPr="0086631D">
        <w:rPr>
          <w:rFonts w:ascii="Century Gothic" w:hAnsi="Century Gothic" w:cs="Arial"/>
          <w:sz w:val="24"/>
          <w:szCs w:val="24"/>
        </w:rPr>
        <w:t xml:space="preserve"> no se encuentra debidamente </w:t>
      </w:r>
      <w:r w:rsidR="00426717" w:rsidRPr="0086631D">
        <w:rPr>
          <w:rFonts w:ascii="Century Gothic" w:hAnsi="Century Gothic" w:cs="Arial"/>
          <w:sz w:val="24"/>
          <w:szCs w:val="24"/>
        </w:rPr>
        <w:t>sustentada</w:t>
      </w:r>
      <w:r w:rsidR="00A36CB0" w:rsidRPr="0086631D">
        <w:rPr>
          <w:rFonts w:ascii="Century Gothic" w:hAnsi="Century Gothic" w:cs="Arial"/>
          <w:sz w:val="24"/>
          <w:szCs w:val="24"/>
        </w:rPr>
        <w:t xml:space="preserve">, </w:t>
      </w:r>
      <w:r w:rsidR="00682AEE" w:rsidRPr="0086631D">
        <w:rPr>
          <w:rFonts w:ascii="Century Gothic" w:hAnsi="Century Gothic" w:cs="Arial"/>
          <w:sz w:val="24"/>
          <w:szCs w:val="24"/>
        </w:rPr>
        <w:t xml:space="preserve">pues </w:t>
      </w:r>
      <w:r w:rsidR="00426717" w:rsidRPr="0086631D">
        <w:rPr>
          <w:rFonts w:ascii="Century Gothic" w:hAnsi="Century Gothic" w:cs="Arial"/>
          <w:sz w:val="24"/>
          <w:szCs w:val="24"/>
        </w:rPr>
        <w:t>en el apartado de motivación del acta de infracción</w:t>
      </w:r>
      <w:r w:rsidR="00523746" w:rsidRPr="0086631D">
        <w:rPr>
          <w:rFonts w:ascii="Century Gothic" w:hAnsi="Century Gothic" w:cs="Arial"/>
          <w:sz w:val="24"/>
          <w:szCs w:val="24"/>
        </w:rPr>
        <w:t>,</w:t>
      </w:r>
      <w:r w:rsidR="00426717" w:rsidRPr="0086631D">
        <w:rPr>
          <w:rFonts w:ascii="Century Gothic" w:hAnsi="Century Gothic" w:cs="Arial"/>
          <w:sz w:val="24"/>
          <w:szCs w:val="24"/>
        </w:rPr>
        <w:t xml:space="preserve"> la autoridad vial se limitó a indicar </w:t>
      </w:r>
      <w:r w:rsidR="005C6D2A" w:rsidRPr="0086631D">
        <w:rPr>
          <w:rFonts w:ascii="Century Gothic" w:hAnsi="Century Gothic" w:cstheme="minorHAnsi"/>
          <w:sz w:val="24"/>
          <w:szCs w:val="24"/>
        </w:rPr>
        <w:t>“SE SANCIONA A DICHA CONDUCTORA AL OBSERVAR PASARSE LA LUZ AMARILLA O ROJA DEL SEMÁFORO</w:t>
      </w:r>
      <w:r w:rsidR="00A8339C" w:rsidRPr="0086631D">
        <w:rPr>
          <w:rFonts w:ascii="Century Gothic" w:hAnsi="Century Gothic" w:cs="Arial"/>
          <w:sz w:val="24"/>
          <w:szCs w:val="24"/>
        </w:rPr>
        <w:t>”</w:t>
      </w:r>
      <w:r w:rsidR="00D11379" w:rsidRPr="0086631D">
        <w:rPr>
          <w:rFonts w:ascii="Century Gothic" w:hAnsi="Century Gothic" w:cs="Arial"/>
          <w:sz w:val="24"/>
          <w:szCs w:val="24"/>
        </w:rPr>
        <w:t xml:space="preserve">, </w:t>
      </w:r>
      <w:r w:rsidR="00426717" w:rsidRPr="0086631D">
        <w:rPr>
          <w:rFonts w:ascii="Century Gothic" w:hAnsi="Century Gothic" w:cs="Arial"/>
          <w:sz w:val="24"/>
          <w:szCs w:val="24"/>
        </w:rPr>
        <w:t xml:space="preserve">sin haber precisado las circunstancias de tiempo, modo y lugar, así como las razones particulares, causas inmediatas, motivos o circunstancias especiales que se ajustaron </w:t>
      </w:r>
      <w:r w:rsidR="005B67CC" w:rsidRPr="0086631D">
        <w:rPr>
          <w:rFonts w:ascii="Century Gothic" w:hAnsi="Century Gothic" w:cs="Arial"/>
          <w:sz w:val="24"/>
          <w:szCs w:val="24"/>
        </w:rPr>
        <w:t>a</w:t>
      </w:r>
      <w:r w:rsidR="005C6D2A" w:rsidRPr="0086631D">
        <w:rPr>
          <w:rFonts w:ascii="Century Gothic" w:hAnsi="Century Gothic" w:cs="Arial"/>
          <w:sz w:val="24"/>
          <w:szCs w:val="24"/>
        </w:rPr>
        <w:t>l artículo</w:t>
      </w:r>
      <w:r w:rsidR="005C6D2A" w:rsidRPr="0086631D">
        <w:rPr>
          <w:rFonts w:ascii="Century Gothic" w:hAnsi="Century Gothic" w:cstheme="minorHAnsi"/>
          <w:sz w:val="24"/>
          <w:szCs w:val="24"/>
        </w:rPr>
        <w:t xml:space="preserve"> 59 fracción I, incisos c y d</w:t>
      </w:r>
      <w:r w:rsidR="005C6D2A" w:rsidRPr="0086631D">
        <w:rPr>
          <w:rStyle w:val="Refdenotaalpie"/>
          <w:rFonts w:ascii="Century Gothic" w:hAnsi="Century Gothic" w:cstheme="minorHAnsi"/>
          <w:sz w:val="24"/>
          <w:szCs w:val="24"/>
        </w:rPr>
        <w:footnoteReference w:id="5"/>
      </w:r>
      <w:r w:rsidR="00075A94" w:rsidRPr="0086631D">
        <w:rPr>
          <w:rFonts w:ascii="Century Gothic" w:hAnsi="Century Gothic" w:cs="Arial"/>
          <w:sz w:val="24"/>
          <w:szCs w:val="24"/>
        </w:rPr>
        <w:t>,</w:t>
      </w:r>
      <w:r w:rsidR="00F353FC">
        <w:rPr>
          <w:rFonts w:ascii="Century Gothic" w:hAnsi="Century Gothic" w:cs="Arial"/>
          <w:sz w:val="24"/>
          <w:szCs w:val="24"/>
        </w:rPr>
        <w:t xml:space="preserve"> del Reglamento</w:t>
      </w:r>
      <w:r w:rsidR="0003052C" w:rsidRPr="0086631D">
        <w:rPr>
          <w:rFonts w:ascii="Century Gothic" w:hAnsi="Century Gothic" w:cs="Arial"/>
          <w:sz w:val="24"/>
          <w:szCs w:val="24"/>
        </w:rPr>
        <w:t>, señalado</w:t>
      </w:r>
      <w:r w:rsidR="00426717" w:rsidRPr="0086631D">
        <w:rPr>
          <w:rFonts w:ascii="Century Gothic" w:hAnsi="Century Gothic" w:cs="Arial"/>
          <w:sz w:val="24"/>
          <w:szCs w:val="24"/>
        </w:rPr>
        <w:t xml:space="preserve"> en el apartado de la </w:t>
      </w:r>
      <w:r w:rsidR="005C6D2A" w:rsidRPr="0086631D">
        <w:rPr>
          <w:rFonts w:ascii="Century Gothic" w:hAnsi="Century Gothic" w:cs="Arial"/>
          <w:sz w:val="24"/>
          <w:szCs w:val="24"/>
        </w:rPr>
        <w:t xml:space="preserve">faltas administrativas </w:t>
      </w:r>
      <w:r w:rsidR="00426717" w:rsidRPr="0086631D">
        <w:rPr>
          <w:rFonts w:ascii="Century Gothic" w:hAnsi="Century Gothic" w:cs="Arial"/>
          <w:sz w:val="24"/>
          <w:szCs w:val="24"/>
        </w:rPr>
        <w:t xml:space="preserve">en </w:t>
      </w:r>
      <w:r w:rsidR="00075A94" w:rsidRPr="0086631D">
        <w:rPr>
          <w:rFonts w:ascii="Century Gothic" w:hAnsi="Century Gothic" w:cs="Arial"/>
          <w:sz w:val="24"/>
          <w:szCs w:val="24"/>
        </w:rPr>
        <w:t xml:space="preserve">el </w:t>
      </w:r>
      <w:r w:rsidR="00426717" w:rsidRPr="0086631D">
        <w:rPr>
          <w:rFonts w:ascii="Century Gothic" w:hAnsi="Century Gothic" w:cs="Arial"/>
          <w:sz w:val="24"/>
          <w:szCs w:val="24"/>
        </w:rPr>
        <w:t xml:space="preserve">que se basa la falta administrativa </w:t>
      </w:r>
      <w:r w:rsidR="00523746" w:rsidRPr="0086631D">
        <w:rPr>
          <w:rFonts w:ascii="Century Gothic" w:hAnsi="Century Gothic" w:cs="Arial"/>
          <w:sz w:val="24"/>
          <w:szCs w:val="24"/>
        </w:rPr>
        <w:t xml:space="preserve">motivo </w:t>
      </w:r>
      <w:r w:rsidR="00A36CB0" w:rsidRPr="0086631D">
        <w:rPr>
          <w:rFonts w:ascii="Century Gothic" w:hAnsi="Century Gothic" w:cs="Arial"/>
          <w:sz w:val="24"/>
          <w:szCs w:val="24"/>
        </w:rPr>
        <w:t xml:space="preserve">del </w:t>
      </w:r>
      <w:r w:rsidR="00426717" w:rsidRPr="0086631D">
        <w:rPr>
          <w:rFonts w:ascii="Century Gothic" w:hAnsi="Century Gothic" w:cs="Arial"/>
          <w:sz w:val="24"/>
          <w:szCs w:val="24"/>
        </w:rPr>
        <w:t xml:space="preserve">acta de infracción; </w:t>
      </w:r>
      <w:r w:rsidR="00292978" w:rsidRPr="0086631D">
        <w:rPr>
          <w:rFonts w:ascii="Century Gothic" w:hAnsi="Century Gothic" w:cs="Arial"/>
          <w:sz w:val="24"/>
          <w:szCs w:val="24"/>
        </w:rPr>
        <w:t xml:space="preserve">ya que, </w:t>
      </w:r>
      <w:r w:rsidR="00523746" w:rsidRPr="0086631D">
        <w:rPr>
          <w:rFonts w:ascii="Century Gothic" w:hAnsi="Century Gothic" w:cs="Arial"/>
          <w:sz w:val="24"/>
          <w:szCs w:val="24"/>
        </w:rPr>
        <w:t xml:space="preserve">en el </w:t>
      </w:r>
      <w:r w:rsidR="00426717" w:rsidRPr="0086631D">
        <w:rPr>
          <w:rFonts w:ascii="Century Gothic" w:hAnsi="Century Gothic" w:cs="Arial"/>
          <w:sz w:val="24"/>
          <w:szCs w:val="24"/>
        </w:rPr>
        <w:t xml:space="preserve">apartado </w:t>
      </w:r>
      <w:r w:rsidR="003C6C6E" w:rsidRPr="0086631D">
        <w:rPr>
          <w:rFonts w:ascii="Century Gothic" w:hAnsi="Century Gothic" w:cs="Arial"/>
          <w:sz w:val="24"/>
          <w:szCs w:val="24"/>
        </w:rPr>
        <w:t xml:space="preserve">de motivación </w:t>
      </w:r>
      <w:r w:rsidR="00426717" w:rsidRPr="0086631D">
        <w:rPr>
          <w:rFonts w:ascii="Century Gothic" w:hAnsi="Century Gothic" w:cs="Arial"/>
          <w:sz w:val="24"/>
          <w:szCs w:val="24"/>
        </w:rPr>
        <w:t>debió explicar</w:t>
      </w:r>
      <w:r w:rsidR="005C6D2A" w:rsidRPr="0086631D">
        <w:rPr>
          <w:rFonts w:ascii="Century Gothic" w:hAnsi="Century Gothic" w:cs="Arial"/>
          <w:sz w:val="24"/>
          <w:szCs w:val="24"/>
        </w:rPr>
        <w:t xml:space="preserve"> con exactitud si la conductora se había pasado la luz </w:t>
      </w:r>
      <w:r w:rsidR="0003052C" w:rsidRPr="0086631D">
        <w:rPr>
          <w:rFonts w:ascii="Century Gothic" w:hAnsi="Century Gothic" w:cs="Arial"/>
          <w:sz w:val="24"/>
          <w:szCs w:val="24"/>
        </w:rPr>
        <w:t>amarilla</w:t>
      </w:r>
      <w:r w:rsidR="005C6D2A" w:rsidRPr="0086631D">
        <w:rPr>
          <w:rFonts w:ascii="Century Gothic" w:hAnsi="Century Gothic" w:cs="Arial"/>
          <w:sz w:val="24"/>
          <w:szCs w:val="24"/>
        </w:rPr>
        <w:t xml:space="preserve"> o la luz roja, además </w:t>
      </w:r>
      <w:r w:rsidR="0003052C" w:rsidRPr="0086631D">
        <w:rPr>
          <w:rFonts w:ascii="Century Gothic" w:hAnsi="Century Gothic" w:cs="Arial"/>
          <w:sz w:val="24"/>
          <w:szCs w:val="24"/>
        </w:rPr>
        <w:t xml:space="preserve">de asentar </w:t>
      </w:r>
      <w:r w:rsidR="00426717" w:rsidRPr="0086631D">
        <w:rPr>
          <w:rFonts w:ascii="Century Gothic" w:hAnsi="Century Gothic" w:cs="Arial"/>
          <w:sz w:val="24"/>
          <w:szCs w:val="24"/>
        </w:rPr>
        <w:t xml:space="preserve">la forma como se percató de que </w:t>
      </w:r>
      <w:r w:rsidR="0003052C" w:rsidRPr="0086631D">
        <w:rPr>
          <w:rFonts w:ascii="Century Gothic" w:hAnsi="Century Gothic" w:cs="Arial"/>
          <w:sz w:val="24"/>
          <w:szCs w:val="24"/>
        </w:rPr>
        <w:t xml:space="preserve">la actora se pasó la luz roja o </w:t>
      </w:r>
      <w:r w:rsidR="00D14D31">
        <w:rPr>
          <w:rFonts w:ascii="Century Gothic" w:hAnsi="Century Gothic" w:cs="Arial"/>
          <w:sz w:val="24"/>
          <w:szCs w:val="24"/>
        </w:rPr>
        <w:t>amarilla</w:t>
      </w:r>
      <w:r w:rsidR="0003052C" w:rsidRPr="0086631D">
        <w:rPr>
          <w:rFonts w:ascii="Century Gothic" w:hAnsi="Century Gothic" w:cs="Arial"/>
          <w:sz w:val="24"/>
          <w:szCs w:val="24"/>
        </w:rPr>
        <w:t xml:space="preserve">, ya que suponiendo sin conceder que la conductora hubiese pasado cuando el semáforo </w:t>
      </w:r>
      <w:r w:rsidR="00426717" w:rsidRPr="0086631D">
        <w:rPr>
          <w:rFonts w:ascii="Century Gothic" w:hAnsi="Century Gothic" w:cs="Arial"/>
          <w:sz w:val="24"/>
          <w:szCs w:val="24"/>
        </w:rPr>
        <w:t xml:space="preserve"> </w:t>
      </w:r>
      <w:r w:rsidR="0003052C" w:rsidRPr="0086631D">
        <w:rPr>
          <w:rFonts w:ascii="Century Gothic" w:hAnsi="Century Gothic" w:cs="Arial"/>
          <w:sz w:val="24"/>
          <w:szCs w:val="24"/>
        </w:rPr>
        <w:t xml:space="preserve">estaba indicando la luz amarilla debió de exponer las circunstancias de los hechos </w:t>
      </w:r>
      <w:r w:rsidR="00DD71CD" w:rsidRPr="0086631D">
        <w:rPr>
          <w:rFonts w:ascii="Century Gothic" w:hAnsi="Century Gothic" w:cs="Arial"/>
          <w:sz w:val="24"/>
          <w:szCs w:val="24"/>
        </w:rPr>
        <w:t xml:space="preserve">o si en dicho caso aplicaba </w:t>
      </w:r>
      <w:r w:rsidR="0003052C" w:rsidRPr="0086631D">
        <w:rPr>
          <w:rFonts w:ascii="Century Gothic" w:hAnsi="Century Gothic" w:cs="Arial"/>
          <w:sz w:val="24"/>
          <w:szCs w:val="24"/>
        </w:rPr>
        <w:t xml:space="preserve">la excepción </w:t>
      </w:r>
      <w:r w:rsidR="00DD71CD" w:rsidRPr="0086631D">
        <w:rPr>
          <w:rFonts w:ascii="Century Gothic" w:hAnsi="Century Gothic" w:cs="Arial"/>
          <w:sz w:val="24"/>
          <w:szCs w:val="24"/>
        </w:rPr>
        <w:t>citada en la fracción I, inciso c, del artículo en comento</w:t>
      </w:r>
      <w:r w:rsidR="00D14D31">
        <w:rPr>
          <w:rFonts w:ascii="Century Gothic" w:hAnsi="Century Gothic" w:cs="Arial"/>
          <w:sz w:val="24"/>
          <w:szCs w:val="24"/>
        </w:rPr>
        <w:t>,</w:t>
      </w:r>
      <w:r w:rsidR="00DD71CD" w:rsidRPr="0086631D">
        <w:rPr>
          <w:rFonts w:ascii="Century Gothic" w:hAnsi="Century Gothic" w:cs="Arial"/>
          <w:sz w:val="24"/>
          <w:szCs w:val="24"/>
        </w:rPr>
        <w:t xml:space="preserve"> relativo </w:t>
      </w:r>
      <w:r w:rsidR="0003052C" w:rsidRPr="0086631D">
        <w:rPr>
          <w:rFonts w:ascii="Century Gothic" w:hAnsi="Century Gothic" w:cs="Arial"/>
          <w:sz w:val="24"/>
          <w:szCs w:val="24"/>
        </w:rPr>
        <w:t xml:space="preserve">de </w:t>
      </w:r>
      <w:r w:rsidR="0003052C" w:rsidRPr="0086631D">
        <w:rPr>
          <w:rFonts w:ascii="Century Gothic" w:hAnsi="Century Gothic"/>
          <w:sz w:val="24"/>
          <w:szCs w:val="24"/>
        </w:rPr>
        <w:t xml:space="preserve">que </w:t>
      </w:r>
      <w:r w:rsidR="00D14D31">
        <w:rPr>
          <w:rFonts w:ascii="Century Gothic" w:hAnsi="Century Gothic"/>
          <w:sz w:val="24"/>
          <w:szCs w:val="24"/>
        </w:rPr>
        <w:t>“</w:t>
      </w:r>
      <w:r w:rsidR="0003052C" w:rsidRPr="00D14D31">
        <w:rPr>
          <w:rFonts w:ascii="Century Gothic" w:hAnsi="Century Gothic"/>
          <w:i/>
          <w:sz w:val="24"/>
          <w:szCs w:val="24"/>
        </w:rPr>
        <w:t>cuando el vehículo se encuentre en la intersección  o el detenerlo signifique por su velocidad, peligro a terceros y obstrucción al tránsito, en estos casos el conductor completará el cruce con las precauciones debidas</w:t>
      </w:r>
      <w:r w:rsidR="00D14D31">
        <w:rPr>
          <w:rFonts w:ascii="Century Gothic" w:hAnsi="Century Gothic"/>
          <w:i/>
          <w:sz w:val="24"/>
          <w:szCs w:val="24"/>
        </w:rPr>
        <w:t>”</w:t>
      </w:r>
      <w:r w:rsidR="0003052C" w:rsidRPr="0086631D">
        <w:rPr>
          <w:rFonts w:ascii="Century Gothic" w:hAnsi="Century Gothic" w:cs="Arial"/>
          <w:sz w:val="24"/>
          <w:szCs w:val="24"/>
        </w:rPr>
        <w:t xml:space="preserve">; </w:t>
      </w:r>
      <w:r w:rsidR="00DD71CD" w:rsidRPr="0086631D">
        <w:rPr>
          <w:rFonts w:ascii="Century Gothic" w:hAnsi="Century Gothic" w:cs="Arial"/>
          <w:sz w:val="24"/>
          <w:szCs w:val="24"/>
        </w:rPr>
        <w:t xml:space="preserve">lo que el  presente caso que nos ocupa no ocurrió pues además de no motivar y fundamentar correctamente, tampoco fue claro y preciso en cuanto a detallar del por qué la C. </w:t>
      </w:r>
      <w:r w:rsidR="00C21C4E">
        <w:rPr>
          <w:rFonts w:ascii="Century Gothic" w:hAnsi="Century Gothic" w:cs="Arial"/>
          <w:sz w:val="24"/>
          <w:szCs w:val="24"/>
        </w:rPr>
        <w:lastRenderedPageBreak/>
        <w:t>**********</w:t>
      </w:r>
      <w:r w:rsidR="00DD71CD" w:rsidRPr="0086631D">
        <w:rPr>
          <w:rFonts w:ascii="Century Gothic" w:hAnsi="Century Gothic" w:cs="Arial"/>
          <w:sz w:val="24"/>
          <w:szCs w:val="24"/>
        </w:rPr>
        <w:t xml:space="preserve"> </w:t>
      </w:r>
      <w:r w:rsidR="00DD71CD" w:rsidRPr="00D14D31">
        <w:rPr>
          <w:rFonts w:ascii="Century Gothic" w:hAnsi="Century Gothic" w:cs="Arial"/>
          <w:sz w:val="24"/>
          <w:szCs w:val="24"/>
        </w:rPr>
        <w:t xml:space="preserve"> cometió la</w:t>
      </w:r>
      <w:r w:rsidR="003C5B3B" w:rsidRPr="00D14D31">
        <w:rPr>
          <w:rFonts w:ascii="Century Gothic" w:hAnsi="Century Gothic" w:cs="Arial"/>
          <w:sz w:val="24"/>
          <w:szCs w:val="24"/>
        </w:rPr>
        <w:t xml:space="preserve"> </w:t>
      </w:r>
      <w:r w:rsidR="00DD71CD" w:rsidRPr="00D14D31">
        <w:rPr>
          <w:rFonts w:ascii="Century Gothic" w:hAnsi="Century Gothic" w:cs="Arial"/>
          <w:sz w:val="24"/>
          <w:szCs w:val="24"/>
        </w:rPr>
        <w:t xml:space="preserve"> conducta </w:t>
      </w:r>
      <w:r w:rsidR="004836E4" w:rsidRPr="00D14D31">
        <w:rPr>
          <w:rFonts w:ascii="Century Gothic" w:hAnsi="Century Gothic" w:cs="Arial"/>
          <w:sz w:val="24"/>
          <w:szCs w:val="24"/>
        </w:rPr>
        <w:t>que</w:t>
      </w:r>
      <w:r w:rsidR="00ED0EFF" w:rsidRPr="00D14D31">
        <w:rPr>
          <w:rFonts w:ascii="Century Gothic" w:hAnsi="Century Gothic" w:cs="Arial"/>
          <w:sz w:val="24"/>
          <w:szCs w:val="24"/>
        </w:rPr>
        <w:t xml:space="preserve"> dio origen al acta de infracció</w:t>
      </w:r>
      <w:r w:rsidR="004836E4" w:rsidRPr="00D14D31">
        <w:rPr>
          <w:rFonts w:ascii="Century Gothic" w:hAnsi="Century Gothic" w:cs="Arial"/>
          <w:sz w:val="24"/>
          <w:szCs w:val="24"/>
        </w:rPr>
        <w:t>n</w:t>
      </w:r>
      <w:r w:rsidR="00D81DB6" w:rsidRPr="00D14D31">
        <w:rPr>
          <w:rFonts w:ascii="Century Gothic" w:hAnsi="Century Gothic" w:cs="Arial"/>
          <w:sz w:val="24"/>
          <w:szCs w:val="24"/>
        </w:rPr>
        <w:t xml:space="preserve">, y si la conductora se había pasado el </w:t>
      </w:r>
      <w:r w:rsidR="0086631D" w:rsidRPr="00D14D31">
        <w:rPr>
          <w:rFonts w:ascii="Century Gothic" w:hAnsi="Century Gothic" w:cs="Arial"/>
          <w:sz w:val="24"/>
          <w:szCs w:val="24"/>
        </w:rPr>
        <w:t>semáforo</w:t>
      </w:r>
      <w:r w:rsidR="00D81DB6" w:rsidRPr="00D14D31">
        <w:rPr>
          <w:rFonts w:ascii="Century Gothic" w:hAnsi="Century Gothic" w:cs="Arial"/>
          <w:sz w:val="24"/>
          <w:szCs w:val="24"/>
        </w:rPr>
        <w:t xml:space="preserve"> en luz amarill</w:t>
      </w:r>
      <w:r w:rsidR="0086631D" w:rsidRPr="00D14D31">
        <w:rPr>
          <w:rFonts w:ascii="Century Gothic" w:hAnsi="Century Gothic" w:cs="Arial"/>
          <w:sz w:val="24"/>
          <w:szCs w:val="24"/>
        </w:rPr>
        <w:t>a</w:t>
      </w:r>
      <w:r w:rsidR="00D81DB6" w:rsidRPr="00D14D31">
        <w:rPr>
          <w:rFonts w:ascii="Century Gothic" w:hAnsi="Century Gothic" w:cs="Arial"/>
          <w:sz w:val="24"/>
          <w:szCs w:val="24"/>
        </w:rPr>
        <w:t xml:space="preserve">  o en luz roja</w:t>
      </w:r>
      <w:r w:rsidR="0077100C" w:rsidRPr="00D14D31">
        <w:rPr>
          <w:rFonts w:ascii="Century Gothic" w:hAnsi="Century Gothic" w:cs="Arial"/>
          <w:sz w:val="24"/>
          <w:szCs w:val="24"/>
        </w:rPr>
        <w:t>;</w:t>
      </w:r>
      <w:r w:rsidR="0077100C" w:rsidRPr="0086631D">
        <w:rPr>
          <w:rFonts w:ascii="Century Gothic" w:hAnsi="Century Gothic" w:cs="Arial"/>
          <w:sz w:val="24"/>
          <w:szCs w:val="24"/>
        </w:rPr>
        <w:t xml:space="preserve"> d</w:t>
      </w:r>
      <w:r w:rsidR="00FE6556" w:rsidRPr="0086631D">
        <w:rPr>
          <w:rFonts w:ascii="Century Gothic" w:hAnsi="Century Gothic" w:cs="Arial"/>
          <w:sz w:val="24"/>
          <w:szCs w:val="24"/>
        </w:rPr>
        <w:t xml:space="preserve">e lo que </w:t>
      </w:r>
      <w:r w:rsidR="00FD4CFD" w:rsidRPr="0086631D">
        <w:rPr>
          <w:rFonts w:ascii="Century Gothic" w:hAnsi="Century Gothic" w:cs="Arial"/>
          <w:sz w:val="24"/>
          <w:szCs w:val="24"/>
        </w:rPr>
        <w:t xml:space="preserve">se colige que el acta de infracción con número de folio </w:t>
      </w:r>
      <w:r w:rsidR="0086631D">
        <w:rPr>
          <w:rFonts w:ascii="Century Gothic" w:hAnsi="Century Gothic" w:cs="Arial"/>
          <w:sz w:val="24"/>
          <w:szCs w:val="24"/>
        </w:rPr>
        <w:t>5737</w:t>
      </w:r>
      <w:r w:rsidR="005B67CC" w:rsidRPr="0086631D">
        <w:rPr>
          <w:rFonts w:ascii="Century Gothic" w:hAnsi="Century Gothic" w:cs="Arial"/>
          <w:sz w:val="24"/>
          <w:szCs w:val="24"/>
        </w:rPr>
        <w:t xml:space="preserve"> A de fecha </w:t>
      </w:r>
      <w:r w:rsidR="00315C7D">
        <w:rPr>
          <w:rFonts w:ascii="Century Gothic" w:hAnsi="Century Gothic" w:cs="Arial"/>
          <w:sz w:val="24"/>
          <w:szCs w:val="24"/>
        </w:rPr>
        <w:t>catorce de octubre</w:t>
      </w:r>
      <w:r w:rsidR="005B67CC" w:rsidRPr="0086631D">
        <w:rPr>
          <w:rFonts w:ascii="Century Gothic" w:hAnsi="Century Gothic" w:cs="Arial"/>
          <w:sz w:val="24"/>
          <w:szCs w:val="24"/>
        </w:rPr>
        <w:t xml:space="preserve"> de</w:t>
      </w:r>
      <w:r w:rsidR="00C21D0A">
        <w:rPr>
          <w:rFonts w:ascii="Century Gothic" w:hAnsi="Century Gothic" w:cs="Arial"/>
          <w:sz w:val="24"/>
          <w:szCs w:val="24"/>
        </w:rPr>
        <w:t xml:space="preserve"> </w:t>
      </w:r>
      <w:r w:rsidR="005B67CC" w:rsidRPr="0086631D">
        <w:rPr>
          <w:rFonts w:ascii="Century Gothic" w:hAnsi="Century Gothic" w:cs="Arial"/>
          <w:sz w:val="24"/>
          <w:szCs w:val="24"/>
        </w:rPr>
        <w:t>dos</w:t>
      </w:r>
      <w:r w:rsidR="0077100C" w:rsidRPr="0086631D">
        <w:rPr>
          <w:rFonts w:ascii="Century Gothic" w:hAnsi="Century Gothic" w:cs="Arial"/>
          <w:sz w:val="24"/>
          <w:szCs w:val="24"/>
        </w:rPr>
        <w:t xml:space="preserve"> mil veintidós, emitida por </w:t>
      </w:r>
      <w:r w:rsidR="005B67CC" w:rsidRPr="0086631D">
        <w:rPr>
          <w:rFonts w:ascii="Century Gothic" w:hAnsi="Century Gothic" w:cs="Arial"/>
          <w:sz w:val="24"/>
          <w:szCs w:val="24"/>
        </w:rPr>
        <w:t xml:space="preserve">el policía vial de nombre </w:t>
      </w:r>
      <w:r w:rsidR="0086631D">
        <w:rPr>
          <w:rFonts w:ascii="Century Gothic" w:hAnsi="Century Gothic" w:cs="Arial"/>
          <w:sz w:val="24"/>
          <w:szCs w:val="24"/>
        </w:rPr>
        <w:t xml:space="preserve">José Rubén Hernández  Márquez </w:t>
      </w:r>
      <w:r w:rsidR="00FD4CFD" w:rsidRPr="0086631D">
        <w:rPr>
          <w:rFonts w:ascii="Century Gothic" w:hAnsi="Century Gothic" w:cs="Arial"/>
          <w:sz w:val="24"/>
          <w:szCs w:val="24"/>
        </w:rPr>
        <w:t>con número estadístico PV-</w:t>
      </w:r>
      <w:r w:rsidR="0086631D">
        <w:rPr>
          <w:rFonts w:ascii="Century Gothic" w:hAnsi="Century Gothic" w:cs="Arial"/>
          <w:sz w:val="24"/>
          <w:szCs w:val="24"/>
        </w:rPr>
        <w:t>131,</w:t>
      </w:r>
      <w:r w:rsidR="00FD4CFD" w:rsidRPr="0086631D">
        <w:rPr>
          <w:rFonts w:ascii="Century Gothic" w:hAnsi="Century Gothic" w:cs="Arial"/>
          <w:sz w:val="24"/>
          <w:szCs w:val="24"/>
        </w:rPr>
        <w:t xml:space="preserve"> </w:t>
      </w:r>
      <w:r w:rsidR="005B67CC" w:rsidRPr="0086631D">
        <w:rPr>
          <w:rFonts w:ascii="Century Gothic" w:hAnsi="Century Gothic" w:cs="Arial"/>
          <w:sz w:val="24"/>
          <w:szCs w:val="24"/>
        </w:rPr>
        <w:t xml:space="preserve">adscrito a la </w:t>
      </w:r>
      <w:r w:rsidR="0086631D">
        <w:rPr>
          <w:rFonts w:ascii="Century Gothic" w:hAnsi="Century Gothic" w:cs="Arial"/>
          <w:sz w:val="24"/>
          <w:szCs w:val="24"/>
        </w:rPr>
        <w:t xml:space="preserve">Subdirección de </w:t>
      </w:r>
      <w:proofErr w:type="spellStart"/>
      <w:r w:rsidR="0086631D">
        <w:rPr>
          <w:rFonts w:ascii="Century Gothic" w:hAnsi="Century Gothic" w:cs="Arial"/>
          <w:sz w:val="24"/>
          <w:szCs w:val="24"/>
        </w:rPr>
        <w:t>Transito</w:t>
      </w:r>
      <w:proofErr w:type="spellEnd"/>
      <w:r w:rsidR="0086631D">
        <w:rPr>
          <w:rFonts w:ascii="Century Gothic" w:hAnsi="Century Gothic" w:cs="Arial"/>
          <w:sz w:val="24"/>
          <w:szCs w:val="24"/>
        </w:rPr>
        <w:t xml:space="preserve"> y Movilidad de la </w:t>
      </w:r>
      <w:r w:rsidR="005B67CC" w:rsidRPr="0086631D">
        <w:rPr>
          <w:rFonts w:ascii="Century Gothic" w:hAnsi="Century Gothic" w:cs="Arial"/>
          <w:sz w:val="24"/>
          <w:szCs w:val="24"/>
        </w:rPr>
        <w:t xml:space="preserve">Dirección de Seguridad </w:t>
      </w:r>
      <w:r w:rsidR="0086631D">
        <w:rPr>
          <w:rFonts w:ascii="Century Gothic" w:hAnsi="Century Gothic" w:cs="Arial"/>
          <w:sz w:val="24"/>
          <w:szCs w:val="24"/>
        </w:rPr>
        <w:t xml:space="preserve">Publica, Vialidad y Protección Ciudadana </w:t>
      </w:r>
      <w:r w:rsidR="005B67CC" w:rsidRPr="0086631D">
        <w:rPr>
          <w:rFonts w:ascii="Century Gothic" w:hAnsi="Century Gothic" w:cs="Arial"/>
          <w:sz w:val="24"/>
          <w:szCs w:val="24"/>
        </w:rPr>
        <w:t>del Municipio de Oaxaca de Juárez, Oaxaca</w:t>
      </w:r>
      <w:r w:rsidR="00FD4CFD" w:rsidRPr="0086631D">
        <w:rPr>
          <w:rFonts w:ascii="Century Gothic" w:hAnsi="Century Gothic" w:cs="Arial"/>
          <w:sz w:val="24"/>
          <w:szCs w:val="24"/>
        </w:rPr>
        <w:t xml:space="preserve">, contiene deficiente </w:t>
      </w:r>
      <w:r w:rsidR="0086631D">
        <w:rPr>
          <w:rFonts w:ascii="Century Gothic" w:hAnsi="Century Gothic" w:cs="Arial"/>
          <w:sz w:val="24"/>
          <w:szCs w:val="24"/>
        </w:rPr>
        <w:t xml:space="preserve">fundamentación e inexacta </w:t>
      </w:r>
      <w:r w:rsidR="0077100C" w:rsidRPr="0086631D">
        <w:rPr>
          <w:rFonts w:ascii="Century Gothic" w:hAnsi="Century Gothic" w:cs="Arial"/>
          <w:sz w:val="24"/>
          <w:szCs w:val="24"/>
        </w:rPr>
        <w:t xml:space="preserve"> </w:t>
      </w:r>
      <w:r w:rsidR="00FD4CFD" w:rsidRPr="0086631D">
        <w:rPr>
          <w:rFonts w:ascii="Century Gothic" w:hAnsi="Century Gothic" w:cs="Arial"/>
          <w:sz w:val="24"/>
          <w:szCs w:val="24"/>
        </w:rPr>
        <w:t xml:space="preserve">motivación </w:t>
      </w:r>
      <w:r w:rsidR="00FD4CFD" w:rsidRPr="0086631D">
        <w:rPr>
          <w:rFonts w:ascii="Century Gothic" w:hAnsi="Century Gothic" w:cs="Arial"/>
          <w:color w:val="000000"/>
          <w:sz w:val="24"/>
          <w:szCs w:val="24"/>
        </w:rPr>
        <w:t xml:space="preserve">al no </w:t>
      </w:r>
      <w:r w:rsidR="0086631D">
        <w:rPr>
          <w:rFonts w:ascii="Century Gothic" w:hAnsi="Century Gothic" w:cs="Arial"/>
          <w:color w:val="000000"/>
          <w:sz w:val="24"/>
          <w:szCs w:val="24"/>
        </w:rPr>
        <w:t xml:space="preserve">constar de manera exhaustiva, </w:t>
      </w:r>
      <w:r w:rsidR="00FD4CFD" w:rsidRPr="0086631D">
        <w:rPr>
          <w:rFonts w:ascii="Century Gothic" w:hAnsi="Century Gothic" w:cs="Arial"/>
          <w:color w:val="000000"/>
          <w:sz w:val="24"/>
          <w:szCs w:val="24"/>
        </w:rPr>
        <w:t>completa</w:t>
      </w:r>
      <w:r w:rsidR="00ED638C" w:rsidRPr="0086631D">
        <w:rPr>
          <w:rFonts w:ascii="Century Gothic" w:hAnsi="Century Gothic" w:cs="Arial"/>
          <w:color w:val="000000"/>
          <w:sz w:val="24"/>
          <w:szCs w:val="24"/>
        </w:rPr>
        <w:t>,</w:t>
      </w:r>
      <w:r w:rsidR="0086631D">
        <w:rPr>
          <w:rFonts w:ascii="Century Gothic" w:hAnsi="Century Gothic" w:cs="Arial"/>
          <w:color w:val="000000"/>
          <w:sz w:val="24"/>
          <w:szCs w:val="24"/>
        </w:rPr>
        <w:t xml:space="preserve"> y exacta</w:t>
      </w:r>
      <w:r w:rsidR="00ED638C" w:rsidRPr="0086631D">
        <w:rPr>
          <w:rFonts w:ascii="Century Gothic" w:hAnsi="Century Gothic" w:cs="Arial"/>
          <w:color w:val="000000"/>
          <w:sz w:val="24"/>
          <w:szCs w:val="24"/>
        </w:rPr>
        <w:t xml:space="preserve"> las razones que permitan conocer el criterio utilizado </w:t>
      </w:r>
      <w:r w:rsidR="0077100C" w:rsidRPr="0086631D">
        <w:rPr>
          <w:rFonts w:ascii="Century Gothic" w:hAnsi="Century Gothic" w:cs="Arial"/>
          <w:color w:val="000000"/>
          <w:sz w:val="24"/>
          <w:szCs w:val="24"/>
        </w:rPr>
        <w:t xml:space="preserve">por la autoridad demandada para considerar infringido </w:t>
      </w:r>
      <w:r w:rsidR="003309B9" w:rsidRPr="0086631D">
        <w:rPr>
          <w:rFonts w:ascii="Century Gothic" w:hAnsi="Century Gothic" w:cs="Arial"/>
          <w:color w:val="000000"/>
          <w:sz w:val="24"/>
          <w:szCs w:val="24"/>
        </w:rPr>
        <w:t xml:space="preserve">el artículo </w:t>
      </w:r>
      <w:r w:rsidR="002D32F5" w:rsidRPr="0086631D">
        <w:rPr>
          <w:rFonts w:ascii="Century Gothic" w:hAnsi="Century Gothic" w:cstheme="minorHAnsi"/>
          <w:sz w:val="24"/>
          <w:szCs w:val="24"/>
        </w:rPr>
        <w:t>59 fracción I, incisos c y d</w:t>
      </w:r>
      <w:r w:rsidR="002D32F5" w:rsidRPr="0086631D">
        <w:rPr>
          <w:rFonts w:ascii="Century Gothic" w:hAnsi="Century Gothic" w:cs="Arial"/>
          <w:sz w:val="24"/>
          <w:szCs w:val="24"/>
        </w:rPr>
        <w:t>, del Reglamento</w:t>
      </w:r>
      <w:r w:rsidR="005B67CC" w:rsidRPr="0086631D">
        <w:rPr>
          <w:rFonts w:ascii="Century Gothic" w:hAnsi="Century Gothic" w:cs="Arial"/>
          <w:color w:val="000000"/>
          <w:sz w:val="24"/>
          <w:szCs w:val="24"/>
        </w:rPr>
        <w:t xml:space="preserve">, aunado a que </w:t>
      </w:r>
      <w:r w:rsidR="00F00F0F" w:rsidRPr="0086631D">
        <w:rPr>
          <w:rFonts w:ascii="Century Gothic" w:hAnsi="Century Gothic" w:cs="Arial"/>
          <w:color w:val="000000"/>
          <w:sz w:val="24"/>
          <w:szCs w:val="24"/>
        </w:rPr>
        <w:t xml:space="preserve">tampoco señala </w:t>
      </w:r>
      <w:r w:rsidR="0077100C" w:rsidRPr="0086631D">
        <w:rPr>
          <w:rFonts w:ascii="Century Gothic" w:hAnsi="Century Gothic" w:cs="Arial"/>
          <w:sz w:val="24"/>
          <w:szCs w:val="24"/>
        </w:rPr>
        <w:t xml:space="preserve"> que</w:t>
      </w:r>
      <w:r w:rsidR="00F00F0F" w:rsidRPr="0086631D">
        <w:rPr>
          <w:rFonts w:ascii="Century Gothic" w:hAnsi="Century Gothic" w:cs="Arial"/>
          <w:sz w:val="24"/>
          <w:szCs w:val="24"/>
        </w:rPr>
        <w:t xml:space="preserve"> lo </w:t>
      </w:r>
      <w:r w:rsidR="0077100C" w:rsidRPr="0086631D">
        <w:rPr>
          <w:rFonts w:ascii="Century Gothic" w:hAnsi="Century Gothic" w:cs="Arial"/>
          <w:sz w:val="24"/>
          <w:szCs w:val="24"/>
        </w:rPr>
        <w:t xml:space="preserve">llevó a </w:t>
      </w:r>
      <w:r w:rsidR="00ED638C" w:rsidRPr="0086631D">
        <w:rPr>
          <w:rFonts w:ascii="Century Gothic" w:hAnsi="Century Gothic" w:cs="Arial"/>
          <w:color w:val="000000"/>
          <w:sz w:val="24"/>
          <w:szCs w:val="24"/>
        </w:rPr>
        <w:t>elaborar el acta de infracción en contra de</w:t>
      </w:r>
      <w:r w:rsidR="002D32F5">
        <w:rPr>
          <w:rFonts w:ascii="Century Gothic" w:hAnsi="Century Gothic" w:cs="Arial"/>
          <w:color w:val="000000"/>
          <w:sz w:val="24"/>
          <w:szCs w:val="24"/>
        </w:rPr>
        <w:t xml:space="preserve"> la actora</w:t>
      </w:r>
      <w:r w:rsidR="00ED638C" w:rsidRPr="0086631D">
        <w:rPr>
          <w:rFonts w:ascii="Century Gothic" w:hAnsi="Century Gothic" w:cs="Arial"/>
          <w:color w:val="000000"/>
          <w:sz w:val="24"/>
          <w:szCs w:val="24"/>
        </w:rPr>
        <w:t xml:space="preserve">, </w:t>
      </w:r>
      <w:r w:rsidR="0077100C" w:rsidRPr="0086631D">
        <w:rPr>
          <w:rFonts w:ascii="Century Gothic" w:hAnsi="Century Gothic" w:cs="Arial"/>
          <w:color w:val="000000"/>
          <w:sz w:val="24"/>
          <w:szCs w:val="24"/>
        </w:rPr>
        <w:t xml:space="preserve">lo que </w:t>
      </w:r>
      <w:r w:rsidR="00ED638C" w:rsidRPr="0086631D">
        <w:rPr>
          <w:rFonts w:ascii="Century Gothic" w:hAnsi="Century Gothic" w:cs="Arial"/>
          <w:color w:val="000000"/>
          <w:sz w:val="24"/>
          <w:szCs w:val="24"/>
        </w:rPr>
        <w:t xml:space="preserve">da lugar a interpretar que los hechos fueron apreciados por la autoridad vial de manera </w:t>
      </w:r>
      <w:r w:rsidR="002D32F5">
        <w:rPr>
          <w:rFonts w:ascii="Century Gothic" w:hAnsi="Century Gothic" w:cs="Arial"/>
          <w:color w:val="000000"/>
          <w:sz w:val="24"/>
          <w:szCs w:val="24"/>
        </w:rPr>
        <w:t xml:space="preserve">inexacta y </w:t>
      </w:r>
      <w:r w:rsidR="00ED638C" w:rsidRPr="0086631D">
        <w:rPr>
          <w:rFonts w:ascii="Century Gothic" w:hAnsi="Century Gothic" w:cs="Arial"/>
          <w:color w:val="000000"/>
          <w:sz w:val="24"/>
          <w:szCs w:val="24"/>
        </w:rPr>
        <w:t>equivocada.</w:t>
      </w:r>
    </w:p>
    <w:p w14:paraId="04DC070B" w14:textId="4D997235" w:rsidR="00E14DC7" w:rsidRPr="0086631D" w:rsidRDefault="00023FE9" w:rsidP="00A745A0">
      <w:pPr>
        <w:spacing w:before="240" w:after="0"/>
        <w:ind w:firstLine="567"/>
        <w:jc w:val="both"/>
        <w:rPr>
          <w:rFonts w:ascii="Century Gothic" w:hAnsi="Century Gothic" w:cs="Arial"/>
          <w:sz w:val="24"/>
          <w:szCs w:val="24"/>
        </w:rPr>
      </w:pPr>
      <w:r>
        <w:rPr>
          <w:rFonts w:ascii="Century Gothic" w:hAnsi="Century Gothic" w:cs="Arial"/>
          <w:sz w:val="24"/>
          <w:szCs w:val="24"/>
        </w:rPr>
        <w:t xml:space="preserve">19. </w:t>
      </w:r>
      <w:r w:rsidR="003108AC">
        <w:rPr>
          <w:rFonts w:ascii="Century Gothic" w:hAnsi="Century Gothic" w:cs="Arial"/>
          <w:sz w:val="24"/>
          <w:szCs w:val="24"/>
        </w:rPr>
        <w:t>Ahora bien, t</w:t>
      </w:r>
      <w:r w:rsidR="00E14DC7" w:rsidRPr="0086631D">
        <w:rPr>
          <w:rFonts w:ascii="Century Gothic" w:hAnsi="Century Gothic" w:cs="Arial"/>
          <w:sz w:val="24"/>
          <w:szCs w:val="24"/>
        </w:rPr>
        <w:t>omando en consideración que</w:t>
      </w:r>
      <w:r w:rsidR="002D32F5" w:rsidRPr="0086631D">
        <w:rPr>
          <w:rFonts w:ascii="Century Gothic" w:hAnsi="Century Gothic" w:cs="Arial"/>
          <w:sz w:val="24"/>
          <w:szCs w:val="24"/>
        </w:rPr>
        <w:t xml:space="preserve"> </w:t>
      </w:r>
      <w:r w:rsidR="00E52D23">
        <w:rPr>
          <w:rFonts w:ascii="Century Gothic" w:hAnsi="Century Gothic" w:cs="Arial"/>
          <w:sz w:val="24"/>
          <w:szCs w:val="24"/>
        </w:rPr>
        <w:t xml:space="preserve">recurrente quien ostenta el nombramiento de Policía Vial, </w:t>
      </w:r>
      <w:r w:rsidR="002A0D21" w:rsidRPr="0086631D">
        <w:rPr>
          <w:rFonts w:ascii="Century Gothic" w:hAnsi="Century Gothic" w:cs="Arial"/>
          <w:sz w:val="24"/>
          <w:szCs w:val="24"/>
        </w:rPr>
        <w:t>se encuentra investido</w:t>
      </w:r>
      <w:r w:rsidR="00E14DC7" w:rsidRPr="0086631D">
        <w:rPr>
          <w:rFonts w:ascii="Century Gothic" w:hAnsi="Century Gothic" w:cs="Arial"/>
          <w:sz w:val="24"/>
          <w:szCs w:val="24"/>
        </w:rPr>
        <w:t xml:space="preserve"> con el carácter de autoridad, </w:t>
      </w:r>
      <w:r w:rsidR="00E52D23">
        <w:rPr>
          <w:rFonts w:ascii="Century Gothic" w:hAnsi="Century Gothic" w:cs="Arial"/>
          <w:sz w:val="24"/>
          <w:szCs w:val="24"/>
        </w:rPr>
        <w:t xml:space="preserve">por lo que </w:t>
      </w:r>
      <w:r w:rsidR="00E14DC7" w:rsidRPr="0086631D">
        <w:rPr>
          <w:rFonts w:ascii="Century Gothic" w:hAnsi="Century Gothic" w:cs="Arial"/>
          <w:sz w:val="24"/>
          <w:szCs w:val="24"/>
        </w:rPr>
        <w:t xml:space="preserve">tiene la obligación de emitir actos debidamente fundados y motivados para legitimar su actuación; esto es, que debe precisar los numerales de la legislación aplicable al caso (fundamentación); y especificar </w:t>
      </w:r>
      <w:bookmarkStart w:id="2" w:name="_Hlk97816464"/>
      <w:r w:rsidR="00E14DC7" w:rsidRPr="0086631D">
        <w:rPr>
          <w:rFonts w:ascii="Century Gothic" w:hAnsi="Century Gothic" w:cs="Arial"/>
          <w:sz w:val="24"/>
          <w:szCs w:val="24"/>
        </w:rPr>
        <w:t xml:space="preserve">las circunstancias de tiempo, modo y lugar, así como las razones particulares, causas inmediatas, motivos o circunstancias especiales, que justifiquen la aplicación </w:t>
      </w:r>
      <w:bookmarkEnd w:id="2"/>
      <w:r w:rsidR="00E14DC7" w:rsidRPr="0086631D">
        <w:rPr>
          <w:rFonts w:ascii="Century Gothic" w:hAnsi="Century Gothic" w:cs="Arial"/>
          <w:sz w:val="24"/>
          <w:szCs w:val="24"/>
        </w:rPr>
        <w:t xml:space="preserve">de los artículos al acto de molestia (motivación), para  salvaguardar el principio de legalidad contenido del artículo 16 de la Constitución </w:t>
      </w:r>
      <w:r w:rsidR="00F353FC">
        <w:rPr>
          <w:rFonts w:ascii="Century Gothic" w:hAnsi="Century Gothic" w:cs="Arial"/>
          <w:sz w:val="24"/>
          <w:szCs w:val="24"/>
        </w:rPr>
        <w:t>Federal</w:t>
      </w:r>
      <w:r w:rsidR="00E14DC7" w:rsidRPr="0086631D">
        <w:rPr>
          <w:rFonts w:ascii="Century Gothic" w:hAnsi="Century Gothic" w:cs="Arial"/>
          <w:sz w:val="24"/>
          <w:szCs w:val="24"/>
        </w:rPr>
        <w:t xml:space="preserve">; de lo contrario, es decir, de emitir actos indebidamente fundados y motivados en contra de los administrados, los colocará en estado de indefensión por impedirles conocer los motivos y fundamentos ejercidos en contra de ellos. </w:t>
      </w:r>
    </w:p>
    <w:p w14:paraId="1BF6C1F0" w14:textId="2517F818" w:rsidR="00E90506" w:rsidRPr="0086631D" w:rsidRDefault="00023FE9" w:rsidP="003108AC">
      <w:pPr>
        <w:tabs>
          <w:tab w:val="left" w:pos="0"/>
          <w:tab w:val="left" w:pos="5670"/>
        </w:tabs>
        <w:spacing w:before="240"/>
        <w:ind w:right="51" w:firstLine="709"/>
        <w:jc w:val="both"/>
        <w:rPr>
          <w:rFonts w:ascii="Century Gothic" w:hAnsi="Century Gothic" w:cs="Arial"/>
          <w:sz w:val="24"/>
          <w:szCs w:val="24"/>
        </w:rPr>
      </w:pPr>
      <w:r>
        <w:rPr>
          <w:rFonts w:ascii="Century Gothic" w:hAnsi="Century Gothic" w:cs="Arial"/>
          <w:sz w:val="24"/>
          <w:szCs w:val="24"/>
        </w:rPr>
        <w:t xml:space="preserve">20. </w:t>
      </w:r>
      <w:r w:rsidR="00E65099" w:rsidRPr="0086631D">
        <w:rPr>
          <w:rFonts w:ascii="Century Gothic" w:hAnsi="Century Gothic" w:cs="Arial"/>
          <w:sz w:val="24"/>
          <w:szCs w:val="24"/>
        </w:rPr>
        <w:t xml:space="preserve">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w:t>
      </w:r>
    </w:p>
    <w:p w14:paraId="65AFCDE2" w14:textId="0516B54D" w:rsidR="00ED638C" w:rsidRPr="0086631D" w:rsidRDefault="00023FE9" w:rsidP="00A745A0">
      <w:pPr>
        <w:tabs>
          <w:tab w:val="left" w:pos="0"/>
          <w:tab w:val="left" w:pos="5670"/>
        </w:tabs>
        <w:spacing w:before="240"/>
        <w:ind w:right="51" w:firstLine="709"/>
        <w:jc w:val="both"/>
        <w:rPr>
          <w:rFonts w:ascii="Century Gothic" w:hAnsi="Century Gothic" w:cs="Arial"/>
          <w:sz w:val="24"/>
          <w:szCs w:val="24"/>
        </w:rPr>
      </w:pPr>
      <w:r>
        <w:rPr>
          <w:rFonts w:ascii="Century Gothic" w:hAnsi="Century Gothic" w:cs="Arial"/>
          <w:sz w:val="24"/>
          <w:szCs w:val="24"/>
        </w:rPr>
        <w:t xml:space="preserve">21. </w:t>
      </w:r>
      <w:r w:rsidR="00ED638C" w:rsidRPr="0086631D">
        <w:rPr>
          <w:rFonts w:ascii="Century Gothic" w:hAnsi="Century Gothic" w:cs="Arial"/>
          <w:sz w:val="24"/>
          <w:szCs w:val="24"/>
        </w:rPr>
        <w:t xml:space="preserve">Ahora, la debida fundamentación y motivación exige, además, que las razones otorgadas se adecuen a los fundamentos legales, porque de esta manera se asegura que dicho acto está apegado a derecho y, por tanto, se satisfacen los principios de certeza y seguridad jurídica, cumpliendo la autoridad con su obligación constitucional de garantizar que el acto emitido cumpla con los requisitos previstos en la ley. </w:t>
      </w:r>
    </w:p>
    <w:p w14:paraId="48D8F2C8" w14:textId="36087384" w:rsidR="00D90CED" w:rsidRPr="0086631D" w:rsidRDefault="00023FE9" w:rsidP="00A745A0">
      <w:pPr>
        <w:tabs>
          <w:tab w:val="left" w:pos="0"/>
          <w:tab w:val="left" w:pos="5670"/>
        </w:tabs>
        <w:spacing w:before="240"/>
        <w:ind w:right="51" w:firstLine="709"/>
        <w:jc w:val="both"/>
        <w:rPr>
          <w:rFonts w:ascii="Century Gothic" w:eastAsia="Times New Roman" w:hAnsi="Century Gothic" w:cs="Arial"/>
          <w:sz w:val="24"/>
          <w:szCs w:val="24"/>
        </w:rPr>
      </w:pPr>
      <w:r>
        <w:rPr>
          <w:rFonts w:ascii="Century Gothic" w:hAnsi="Century Gothic" w:cs="Arial"/>
          <w:sz w:val="24"/>
          <w:szCs w:val="24"/>
        </w:rPr>
        <w:t xml:space="preserve">22. </w:t>
      </w:r>
      <w:r w:rsidR="00ED638C" w:rsidRPr="0086631D">
        <w:rPr>
          <w:rFonts w:ascii="Century Gothic" w:hAnsi="Century Gothic" w:cs="Arial"/>
          <w:sz w:val="24"/>
          <w:szCs w:val="24"/>
        </w:rPr>
        <w:t>En tal</w:t>
      </w:r>
      <w:r w:rsidR="00ED638C" w:rsidRPr="0086631D">
        <w:rPr>
          <w:rFonts w:ascii="Century Gothic" w:hAnsi="Century Gothic" w:cs="Arial"/>
          <w:b/>
          <w:sz w:val="24"/>
          <w:szCs w:val="24"/>
        </w:rPr>
        <w:t xml:space="preserve"> </w:t>
      </w:r>
      <w:r w:rsidR="00ED638C" w:rsidRPr="0086631D">
        <w:rPr>
          <w:rFonts w:ascii="Century Gothic" w:hAnsi="Century Gothic" w:cs="Arial"/>
          <w:sz w:val="24"/>
          <w:szCs w:val="24"/>
        </w:rPr>
        <w:t>consideración,</w:t>
      </w:r>
      <w:r w:rsidR="00ED638C" w:rsidRPr="0086631D">
        <w:rPr>
          <w:rFonts w:ascii="Century Gothic" w:hAnsi="Century Gothic" w:cs="Arial"/>
          <w:b/>
          <w:sz w:val="24"/>
          <w:szCs w:val="24"/>
        </w:rPr>
        <w:t xml:space="preserve"> </w:t>
      </w:r>
      <w:r w:rsidR="00ED638C" w:rsidRPr="0086631D">
        <w:rPr>
          <w:rFonts w:ascii="Century Gothic" w:hAnsi="Century Gothic" w:cs="Arial"/>
          <w:sz w:val="24"/>
          <w:szCs w:val="24"/>
        </w:rPr>
        <w:t xml:space="preserve">la emisión de un acto por una autoridad en el ejercicio de sus atribuciones, que incumpla con la debida fundamentación y motivación, es ilegal, porque transgrede los principios </w:t>
      </w:r>
      <w:r w:rsidR="00ED638C" w:rsidRPr="0086631D">
        <w:rPr>
          <w:rFonts w:ascii="Century Gothic" w:hAnsi="Century Gothic" w:cs="Arial"/>
          <w:sz w:val="24"/>
          <w:szCs w:val="24"/>
        </w:rPr>
        <w:lastRenderedPageBreak/>
        <w:t>de legalidad y seguridad jurídica contenidos en el artículo 16 de la Constitución Federal, al colocar a</w:t>
      </w:r>
      <w:r w:rsidR="00E52D23">
        <w:rPr>
          <w:rFonts w:ascii="Century Gothic" w:hAnsi="Century Gothic" w:cs="Arial"/>
          <w:sz w:val="24"/>
          <w:szCs w:val="24"/>
        </w:rPr>
        <w:t xml:space="preserve"> </w:t>
      </w:r>
      <w:r w:rsidR="00ED638C" w:rsidRPr="0086631D">
        <w:rPr>
          <w:rFonts w:ascii="Century Gothic" w:hAnsi="Century Gothic" w:cs="Arial"/>
          <w:sz w:val="24"/>
          <w:szCs w:val="24"/>
        </w:rPr>
        <w:t>l</w:t>
      </w:r>
      <w:r w:rsidR="00E52D23">
        <w:rPr>
          <w:rFonts w:ascii="Century Gothic" w:hAnsi="Century Gothic" w:cs="Arial"/>
          <w:sz w:val="24"/>
          <w:szCs w:val="24"/>
        </w:rPr>
        <w:t>a afectada</w:t>
      </w:r>
      <w:r w:rsidR="00ED638C" w:rsidRPr="0086631D">
        <w:rPr>
          <w:rFonts w:ascii="Century Gothic" w:hAnsi="Century Gothic" w:cs="Arial"/>
          <w:sz w:val="24"/>
          <w:szCs w:val="24"/>
        </w:rPr>
        <w:t xml:space="preserve"> en estado de indefensión, ya que si los fundamentos legales y las razones otorgadas para la emisión del acto administrativo no están en concordancia, la defensa que se pretenda realizar en su contra será deficiente, además que el acto estará apartado de la obligación que tienen las autoridades de actuar en el estricto margen de la legalidad, atendiendo las disposiciones jurídicas al caso en concreto. </w:t>
      </w:r>
      <w:r w:rsidR="00D90CED" w:rsidRPr="0086631D">
        <w:rPr>
          <w:rFonts w:ascii="Century Gothic" w:hAnsi="Century Gothic" w:cs="Arial"/>
          <w:sz w:val="24"/>
          <w:szCs w:val="24"/>
        </w:rPr>
        <w:t xml:space="preserve">Al caso resulta </w:t>
      </w:r>
      <w:r w:rsidR="003309B9" w:rsidRPr="0086631D">
        <w:rPr>
          <w:rFonts w:ascii="Century Gothic" w:hAnsi="Century Gothic" w:cs="Arial"/>
          <w:sz w:val="24"/>
          <w:szCs w:val="24"/>
        </w:rPr>
        <w:t>a</w:t>
      </w:r>
      <w:r w:rsidR="00D90CED" w:rsidRPr="0086631D">
        <w:rPr>
          <w:rFonts w:ascii="Century Gothic" w:hAnsi="Century Gothic" w:cs="Arial"/>
          <w:sz w:val="24"/>
          <w:szCs w:val="24"/>
        </w:rPr>
        <w:t>plicable por analogía la Jurisprudencia en materia Administrativa, tesis:</w:t>
      </w:r>
      <w:r w:rsidR="00D90CED" w:rsidRPr="0086631D">
        <w:rPr>
          <w:rFonts w:ascii="Century Gothic" w:eastAsia="Times New Roman" w:hAnsi="Century Gothic" w:cs="Arial"/>
          <w:i/>
          <w:sz w:val="24"/>
          <w:szCs w:val="24"/>
        </w:rPr>
        <w:t xml:space="preserve"> 2a./J. 57/2001</w:t>
      </w:r>
      <w:r w:rsidR="00D90CED" w:rsidRPr="0086631D">
        <w:rPr>
          <w:rFonts w:ascii="Century Gothic" w:hAnsi="Century Gothic" w:cs="Arial"/>
          <w:sz w:val="24"/>
          <w:szCs w:val="24"/>
        </w:rPr>
        <w:t xml:space="preserve">, con número de registro digital 188432, </w:t>
      </w:r>
      <w:r w:rsidR="00D90CED" w:rsidRPr="0086631D">
        <w:rPr>
          <w:rFonts w:ascii="Century Gothic" w:eastAsia="Calibri" w:hAnsi="Century Gothic" w:cs="Arial"/>
          <w:bCs/>
          <w:sz w:val="24"/>
          <w:szCs w:val="24"/>
        </w:rPr>
        <w:t xml:space="preserve">de la Novena Época, emitida por </w:t>
      </w:r>
      <w:r w:rsidR="00D90CED" w:rsidRPr="0086631D">
        <w:rPr>
          <w:rFonts w:ascii="Century Gothic" w:hAnsi="Century Gothic" w:cs="Arial"/>
          <w:sz w:val="24"/>
          <w:szCs w:val="24"/>
        </w:rPr>
        <w:t>los Suprema Corte de Justicia de la Nación</w:t>
      </w:r>
      <w:r w:rsidR="00D90CED" w:rsidRPr="0086631D">
        <w:rPr>
          <w:rFonts w:ascii="Century Gothic" w:eastAsia="Times New Roman" w:hAnsi="Century Gothic" w:cs="Arial"/>
          <w:sz w:val="24"/>
          <w:szCs w:val="24"/>
        </w:rPr>
        <w:t xml:space="preserve">, publicado en el Semanario Judicial de la Federación y su Gaceta, </w:t>
      </w:r>
      <w:r w:rsidR="00745290" w:rsidRPr="0086631D">
        <w:rPr>
          <w:rFonts w:ascii="Century Gothic" w:eastAsia="Times New Roman" w:hAnsi="Century Gothic" w:cs="Arial"/>
          <w:sz w:val="24"/>
          <w:szCs w:val="24"/>
        </w:rPr>
        <w:t xml:space="preserve">Tomo XIV, </w:t>
      </w:r>
      <w:proofErr w:type="gramStart"/>
      <w:r w:rsidR="00745290" w:rsidRPr="0086631D">
        <w:rPr>
          <w:rFonts w:ascii="Century Gothic" w:eastAsia="Times New Roman" w:hAnsi="Century Gothic" w:cs="Arial"/>
          <w:sz w:val="24"/>
          <w:szCs w:val="24"/>
        </w:rPr>
        <w:t>Noviembre</w:t>
      </w:r>
      <w:proofErr w:type="gramEnd"/>
      <w:r w:rsidR="00745290" w:rsidRPr="0086631D">
        <w:rPr>
          <w:rFonts w:ascii="Century Gothic" w:eastAsia="Times New Roman" w:hAnsi="Century Gothic" w:cs="Arial"/>
          <w:sz w:val="24"/>
          <w:szCs w:val="24"/>
        </w:rPr>
        <w:t xml:space="preserve"> de 2001, página 31</w:t>
      </w:r>
      <w:r w:rsidR="00D90CED" w:rsidRPr="0086631D">
        <w:rPr>
          <w:rFonts w:ascii="Century Gothic" w:eastAsia="Times New Roman" w:hAnsi="Century Gothic" w:cs="Arial"/>
          <w:sz w:val="24"/>
          <w:szCs w:val="24"/>
        </w:rPr>
        <w:t xml:space="preserve">, de rubro y texto siguientes: </w:t>
      </w:r>
    </w:p>
    <w:p w14:paraId="44C95896" w14:textId="7F044575" w:rsidR="00D90CED" w:rsidRPr="00345CE2" w:rsidRDefault="002D32F5" w:rsidP="00A745A0">
      <w:pPr>
        <w:spacing w:after="240"/>
        <w:ind w:right="69" w:firstLine="708"/>
        <w:jc w:val="both"/>
        <w:rPr>
          <w:rFonts w:ascii="Century Gothic" w:eastAsia="Times New Roman" w:hAnsi="Century Gothic" w:cs="Arial"/>
          <w:b/>
          <w:i/>
        </w:rPr>
      </w:pPr>
      <w:r w:rsidRPr="00345CE2">
        <w:rPr>
          <w:rFonts w:ascii="Century Gothic" w:eastAsia="Times New Roman" w:hAnsi="Century Gothic" w:cs="Arial"/>
          <w:b/>
          <w:i/>
        </w:rPr>
        <w:t>“</w:t>
      </w:r>
      <w:r w:rsidR="00D90CED" w:rsidRPr="00345CE2">
        <w:rPr>
          <w:rFonts w:ascii="Century Gothic" w:eastAsia="Times New Roman" w:hAnsi="Century Gothic" w:cs="Arial"/>
          <w:b/>
          <w:i/>
        </w:rPr>
        <w:t>COMPETENCIA DE LAS AUTORIDADES ADMINISTRATIVAS. EN EL MANDAMIENTO ESCRITO QUE CONTIENE EL ACTO DE MOLESTIA, DEBE SEÑALARSE CON PRECISIÓN EL PRECEPTO LEGAL QUE LES OTORGUE LA ATRIBUCIÓN EJERCIDA Y, EN SU CASO, LA RESPECTIVA FRACCIÓN, INCISO Y SUBINCISO</w:t>
      </w:r>
      <w:r w:rsidRPr="00345CE2">
        <w:rPr>
          <w:rFonts w:ascii="Century Gothic" w:eastAsia="Times New Roman" w:hAnsi="Century Gothic" w:cs="Arial"/>
          <w:b/>
          <w:i/>
        </w:rPr>
        <w:t>”</w:t>
      </w:r>
      <w:r w:rsidRPr="00345CE2">
        <w:rPr>
          <w:rStyle w:val="Refdenotaalpie"/>
          <w:rFonts w:ascii="Century Gothic" w:eastAsia="Times New Roman" w:hAnsi="Century Gothic" w:cs="Arial"/>
          <w:b/>
          <w:i/>
        </w:rPr>
        <w:footnoteReference w:id="6"/>
      </w:r>
      <w:r w:rsidR="00D90CED" w:rsidRPr="00345CE2">
        <w:rPr>
          <w:rFonts w:ascii="Century Gothic" w:eastAsia="Times New Roman" w:hAnsi="Century Gothic" w:cs="Arial"/>
          <w:b/>
          <w:i/>
        </w:rPr>
        <w:t>.</w:t>
      </w:r>
    </w:p>
    <w:p w14:paraId="7C90871E" w14:textId="4C103ACF" w:rsidR="00ED638C" w:rsidRPr="00856EE4" w:rsidRDefault="00023FE9" w:rsidP="00A745A0">
      <w:pPr>
        <w:spacing w:before="240"/>
        <w:ind w:firstLine="708"/>
        <w:jc w:val="both"/>
        <w:rPr>
          <w:rFonts w:ascii="Century Gothic" w:hAnsi="Century Gothic" w:cs="Arial"/>
          <w:sz w:val="24"/>
          <w:szCs w:val="24"/>
        </w:rPr>
      </w:pPr>
      <w:r>
        <w:rPr>
          <w:rFonts w:ascii="Century Gothic" w:hAnsi="Century Gothic" w:cs="Arial"/>
          <w:sz w:val="24"/>
          <w:szCs w:val="24"/>
        </w:rPr>
        <w:t xml:space="preserve">23. </w:t>
      </w:r>
      <w:r w:rsidR="00745290" w:rsidRPr="0086631D">
        <w:rPr>
          <w:rFonts w:ascii="Century Gothic" w:hAnsi="Century Gothic" w:cs="Arial"/>
          <w:sz w:val="24"/>
          <w:szCs w:val="24"/>
        </w:rPr>
        <w:t xml:space="preserve">En razón de lo antes expuesto </w:t>
      </w:r>
      <w:r w:rsidR="00014EC2" w:rsidRPr="0086631D">
        <w:rPr>
          <w:rFonts w:ascii="Century Gothic" w:hAnsi="Century Gothic" w:cs="Arial"/>
          <w:sz w:val="24"/>
          <w:szCs w:val="24"/>
        </w:rPr>
        <w:t>y dado que, como ya se dijo, la ahora autoridad recurrente omitió narrar en el apartado de “Motivación” del acta de infracción, cómo fue que se percató que</w:t>
      </w:r>
      <w:r w:rsidR="00B5051E">
        <w:rPr>
          <w:rFonts w:ascii="Century Gothic" w:hAnsi="Century Gothic" w:cs="Arial"/>
          <w:sz w:val="24"/>
          <w:szCs w:val="24"/>
        </w:rPr>
        <w:t xml:space="preserve"> la actora se pasó la luz amarilla o roja del semáforo</w:t>
      </w:r>
      <w:r w:rsidR="00014EC2" w:rsidRPr="0086631D">
        <w:rPr>
          <w:rFonts w:ascii="Century Gothic" w:hAnsi="Century Gothic" w:cs="Arial"/>
          <w:sz w:val="24"/>
          <w:szCs w:val="24"/>
        </w:rPr>
        <w:t xml:space="preserve">, de modo que su </w:t>
      </w:r>
      <w:r w:rsidR="00014EC2" w:rsidRPr="007E6EC7">
        <w:rPr>
          <w:rFonts w:ascii="Century Gothic" w:hAnsi="Century Gothic" w:cs="Arial"/>
          <w:sz w:val="24"/>
          <w:szCs w:val="24"/>
        </w:rPr>
        <w:t xml:space="preserve">explicación se ajustara al artículo </w:t>
      </w:r>
      <w:r w:rsidR="00B5051E" w:rsidRPr="007E6EC7">
        <w:rPr>
          <w:rFonts w:ascii="Century Gothic" w:hAnsi="Century Gothic" w:cstheme="minorHAnsi"/>
          <w:sz w:val="24"/>
          <w:szCs w:val="24"/>
        </w:rPr>
        <w:t>59 fracción I, incisos c</w:t>
      </w:r>
      <w:r w:rsidR="00856EE4" w:rsidRPr="007E6EC7">
        <w:rPr>
          <w:rFonts w:ascii="Century Gothic" w:hAnsi="Century Gothic" w:cstheme="minorHAnsi"/>
          <w:sz w:val="24"/>
          <w:szCs w:val="24"/>
        </w:rPr>
        <w:t xml:space="preserve"> y</w:t>
      </w:r>
      <w:r w:rsidR="00B5051E" w:rsidRPr="007E6EC7">
        <w:rPr>
          <w:rFonts w:ascii="Century Gothic" w:hAnsi="Century Gothic" w:cstheme="minorHAnsi"/>
          <w:sz w:val="24"/>
          <w:szCs w:val="24"/>
        </w:rPr>
        <w:t xml:space="preserve"> d</w:t>
      </w:r>
      <w:r w:rsidR="00B5051E" w:rsidRPr="007E6EC7">
        <w:rPr>
          <w:rFonts w:ascii="Century Gothic" w:hAnsi="Century Gothic" w:cs="Arial"/>
          <w:sz w:val="24"/>
          <w:szCs w:val="24"/>
        </w:rPr>
        <w:t>, del Reglamento</w:t>
      </w:r>
      <w:r w:rsidR="00014EC2" w:rsidRPr="007E6EC7">
        <w:rPr>
          <w:rFonts w:ascii="Century Gothic" w:hAnsi="Century Gothic" w:cs="Arial"/>
          <w:sz w:val="24"/>
          <w:szCs w:val="24"/>
        </w:rPr>
        <w:t xml:space="preserve">; se colige que el acto suscrito por la autoridad vial fue deficiente, </w:t>
      </w:r>
      <w:r w:rsidR="00C8664F" w:rsidRPr="007E6EC7">
        <w:rPr>
          <w:rFonts w:ascii="Century Gothic" w:hAnsi="Century Gothic" w:cs="Arial"/>
          <w:sz w:val="24"/>
          <w:szCs w:val="24"/>
        </w:rPr>
        <w:t xml:space="preserve">por no haber citado con exactitud </w:t>
      </w:r>
      <w:r w:rsidR="00B5051E" w:rsidRPr="007E6EC7">
        <w:rPr>
          <w:rFonts w:ascii="Century Gothic" w:hAnsi="Century Gothic" w:cs="Arial"/>
          <w:sz w:val="24"/>
          <w:szCs w:val="24"/>
        </w:rPr>
        <w:t>la infracción a la actora, aunado a que tampoco señalo con exactitud el inciso de la fracción I del artículo 59 de citado reglamento</w:t>
      </w:r>
      <w:r w:rsidR="00B55733" w:rsidRPr="007E6EC7">
        <w:rPr>
          <w:rFonts w:ascii="Century Gothic" w:hAnsi="Century Gothic" w:cs="Arial"/>
          <w:color w:val="000000"/>
          <w:sz w:val="24"/>
          <w:szCs w:val="24"/>
        </w:rPr>
        <w:t>,</w:t>
      </w:r>
      <w:r w:rsidR="00856EE4">
        <w:rPr>
          <w:rFonts w:ascii="Century Gothic" w:hAnsi="Century Gothic" w:cs="Arial"/>
          <w:color w:val="000000"/>
          <w:sz w:val="24"/>
          <w:szCs w:val="24"/>
        </w:rPr>
        <w:t xml:space="preserve"> que para el caso le aplicaba,</w:t>
      </w:r>
      <w:r w:rsidR="00B55733" w:rsidRPr="0086631D">
        <w:rPr>
          <w:rFonts w:ascii="Century Gothic" w:hAnsi="Century Gothic" w:cs="Arial"/>
          <w:color w:val="000000"/>
          <w:sz w:val="24"/>
          <w:szCs w:val="24"/>
        </w:rPr>
        <w:t xml:space="preserve"> </w:t>
      </w:r>
      <w:r w:rsidR="00C8664F" w:rsidRPr="0086631D">
        <w:rPr>
          <w:rFonts w:ascii="Century Gothic" w:hAnsi="Century Gothic" w:cs="Arial"/>
          <w:sz w:val="24"/>
          <w:szCs w:val="24"/>
        </w:rPr>
        <w:t xml:space="preserve">en el apartado de motivación y </w:t>
      </w:r>
      <w:r w:rsidR="00014EC2" w:rsidRPr="0086631D">
        <w:rPr>
          <w:rFonts w:ascii="Century Gothic" w:hAnsi="Century Gothic" w:cs="Arial"/>
          <w:sz w:val="24"/>
          <w:szCs w:val="24"/>
        </w:rPr>
        <w:t xml:space="preserve">por haber omitido detallar las circunstancias de tiempo, modo y lugar, así como las razones particulares, causas inmediatas, motivos o circunstancias especiales, que justifiquen la aplicación del supuesto legal señalado en la falta administrativa que marcó en el formato del acta; de lo que se concluye que el acto motivo del juicio de nulidad consistente en el </w:t>
      </w:r>
      <w:r w:rsidR="0005209A" w:rsidRPr="0086631D">
        <w:rPr>
          <w:rFonts w:ascii="Century Gothic" w:hAnsi="Century Gothic" w:cs="Arial"/>
          <w:sz w:val="24"/>
          <w:szCs w:val="24"/>
        </w:rPr>
        <w:t xml:space="preserve">acta de infracción con número de folio </w:t>
      </w:r>
      <w:r w:rsidR="0005209A">
        <w:rPr>
          <w:rFonts w:ascii="Century Gothic" w:hAnsi="Century Gothic" w:cs="Arial"/>
          <w:sz w:val="24"/>
          <w:szCs w:val="24"/>
        </w:rPr>
        <w:t>5737</w:t>
      </w:r>
      <w:r w:rsidR="0005209A" w:rsidRPr="0086631D">
        <w:rPr>
          <w:rFonts w:ascii="Century Gothic" w:hAnsi="Century Gothic" w:cs="Arial"/>
          <w:sz w:val="24"/>
          <w:szCs w:val="24"/>
        </w:rPr>
        <w:t xml:space="preserve"> A de f</w:t>
      </w:r>
      <w:r w:rsidR="00C21D0A">
        <w:rPr>
          <w:rFonts w:ascii="Century Gothic" w:hAnsi="Century Gothic" w:cs="Arial"/>
          <w:sz w:val="24"/>
          <w:szCs w:val="24"/>
        </w:rPr>
        <w:t xml:space="preserve">echa </w:t>
      </w:r>
      <w:r w:rsidR="00294C80">
        <w:rPr>
          <w:rFonts w:ascii="Century Gothic" w:hAnsi="Century Gothic" w:cs="Arial"/>
          <w:sz w:val="24"/>
          <w:szCs w:val="24"/>
        </w:rPr>
        <w:t>catorce de octubre</w:t>
      </w:r>
      <w:r w:rsidR="00C21D0A">
        <w:rPr>
          <w:rFonts w:ascii="Century Gothic" w:hAnsi="Century Gothic" w:cs="Arial"/>
          <w:sz w:val="24"/>
          <w:szCs w:val="24"/>
        </w:rPr>
        <w:t xml:space="preserve"> </w:t>
      </w:r>
      <w:r w:rsidR="00C21D0A">
        <w:rPr>
          <w:rFonts w:ascii="Century Gothic" w:hAnsi="Century Gothic" w:cs="Arial"/>
          <w:sz w:val="24"/>
          <w:szCs w:val="24"/>
        </w:rPr>
        <w:lastRenderedPageBreak/>
        <w:t>de</w:t>
      </w:r>
      <w:r w:rsidR="0005209A" w:rsidRPr="0086631D">
        <w:rPr>
          <w:rFonts w:ascii="Century Gothic" w:hAnsi="Century Gothic" w:cs="Arial"/>
          <w:sz w:val="24"/>
          <w:szCs w:val="24"/>
        </w:rPr>
        <w:t xml:space="preserve"> dos mil veint</w:t>
      </w:r>
      <w:r w:rsidR="00294C80">
        <w:rPr>
          <w:rFonts w:ascii="Century Gothic" w:hAnsi="Century Gothic" w:cs="Arial"/>
          <w:sz w:val="24"/>
          <w:szCs w:val="24"/>
        </w:rPr>
        <w:t>e</w:t>
      </w:r>
      <w:r w:rsidR="0005209A" w:rsidRPr="0086631D">
        <w:rPr>
          <w:rFonts w:ascii="Century Gothic" w:hAnsi="Century Gothic" w:cs="Arial"/>
          <w:sz w:val="24"/>
          <w:szCs w:val="24"/>
        </w:rPr>
        <w:t xml:space="preserve">, emitida por el policía vial de nombre </w:t>
      </w:r>
      <w:r w:rsidR="0005209A">
        <w:rPr>
          <w:rFonts w:ascii="Century Gothic" w:hAnsi="Century Gothic" w:cs="Arial"/>
          <w:sz w:val="24"/>
          <w:szCs w:val="24"/>
        </w:rPr>
        <w:t xml:space="preserve">José Rubén Hernández  Márquez </w:t>
      </w:r>
      <w:r w:rsidR="0005209A" w:rsidRPr="0086631D">
        <w:rPr>
          <w:rFonts w:ascii="Century Gothic" w:hAnsi="Century Gothic" w:cs="Arial"/>
          <w:sz w:val="24"/>
          <w:szCs w:val="24"/>
        </w:rPr>
        <w:t>con número estadístico PV-</w:t>
      </w:r>
      <w:r w:rsidR="0005209A">
        <w:rPr>
          <w:rFonts w:ascii="Century Gothic" w:hAnsi="Century Gothic" w:cs="Arial"/>
          <w:sz w:val="24"/>
          <w:szCs w:val="24"/>
        </w:rPr>
        <w:t>131,</w:t>
      </w:r>
      <w:r w:rsidR="0005209A" w:rsidRPr="0086631D">
        <w:rPr>
          <w:rFonts w:ascii="Century Gothic" w:hAnsi="Century Gothic" w:cs="Arial"/>
          <w:sz w:val="24"/>
          <w:szCs w:val="24"/>
        </w:rPr>
        <w:t xml:space="preserve"> adscrito a la </w:t>
      </w:r>
      <w:r w:rsidR="0005209A">
        <w:rPr>
          <w:rFonts w:ascii="Century Gothic" w:hAnsi="Century Gothic" w:cs="Arial"/>
          <w:sz w:val="24"/>
          <w:szCs w:val="24"/>
        </w:rPr>
        <w:t xml:space="preserve">Subdirección de </w:t>
      </w:r>
      <w:proofErr w:type="spellStart"/>
      <w:r w:rsidR="0005209A">
        <w:rPr>
          <w:rFonts w:ascii="Century Gothic" w:hAnsi="Century Gothic" w:cs="Arial"/>
          <w:sz w:val="24"/>
          <w:szCs w:val="24"/>
        </w:rPr>
        <w:t>Transito</w:t>
      </w:r>
      <w:proofErr w:type="spellEnd"/>
      <w:r w:rsidR="0005209A">
        <w:rPr>
          <w:rFonts w:ascii="Century Gothic" w:hAnsi="Century Gothic" w:cs="Arial"/>
          <w:sz w:val="24"/>
          <w:szCs w:val="24"/>
        </w:rPr>
        <w:t xml:space="preserve"> y Movilidad de la </w:t>
      </w:r>
      <w:r w:rsidR="0005209A" w:rsidRPr="0086631D">
        <w:rPr>
          <w:rFonts w:ascii="Century Gothic" w:hAnsi="Century Gothic" w:cs="Arial"/>
          <w:sz w:val="24"/>
          <w:szCs w:val="24"/>
        </w:rPr>
        <w:t xml:space="preserve">Dirección de Seguridad </w:t>
      </w:r>
      <w:r w:rsidR="0005209A">
        <w:rPr>
          <w:rFonts w:ascii="Century Gothic" w:hAnsi="Century Gothic" w:cs="Arial"/>
          <w:sz w:val="24"/>
          <w:szCs w:val="24"/>
        </w:rPr>
        <w:t xml:space="preserve">Publica, Vialidad y Protección Ciudadana </w:t>
      </w:r>
      <w:r w:rsidR="0005209A" w:rsidRPr="0086631D">
        <w:rPr>
          <w:rFonts w:ascii="Century Gothic" w:hAnsi="Century Gothic" w:cs="Arial"/>
          <w:sz w:val="24"/>
          <w:szCs w:val="24"/>
        </w:rPr>
        <w:t>del Municipio de Oaxaca de Juárez, Oaxaca</w:t>
      </w:r>
      <w:r w:rsidR="00014EC2" w:rsidRPr="0086631D">
        <w:rPr>
          <w:rFonts w:ascii="Century Gothic" w:hAnsi="Century Gothic" w:cs="Arial"/>
          <w:sz w:val="24"/>
          <w:szCs w:val="24"/>
        </w:rPr>
        <w:t xml:space="preserve">, contiene deficiente fundamentación y motivación, por tanto incumple el requisito de validez que exige la fracción V, del artículo 17 de la Ley de Procedimiento, </w:t>
      </w:r>
      <w:r w:rsidR="00014EC2" w:rsidRPr="0086631D">
        <w:rPr>
          <w:rFonts w:ascii="Century Gothic" w:hAnsi="Century Gothic" w:cs="Arial"/>
          <w:color w:val="000000"/>
          <w:sz w:val="24"/>
          <w:szCs w:val="24"/>
        </w:rPr>
        <w:t>lo que constituye un vicio de legalidad ostensible y particularmente grave que bajo ninguna circunstancia debe ser convalidado pues conlleva a que se declare su nulidad lisa y llana.</w:t>
      </w:r>
    </w:p>
    <w:p w14:paraId="4F9C7E43" w14:textId="6F2A5AC9" w:rsidR="00ED638C" w:rsidRPr="0086631D" w:rsidRDefault="00023FE9" w:rsidP="00A745A0">
      <w:pPr>
        <w:shd w:val="clear" w:color="auto" w:fill="FFFFFF"/>
        <w:ind w:firstLine="567"/>
        <w:jc w:val="both"/>
        <w:rPr>
          <w:rFonts w:ascii="Century Gothic" w:eastAsia="Times New Roman" w:hAnsi="Century Gothic" w:cs="Arial"/>
          <w:sz w:val="24"/>
          <w:szCs w:val="24"/>
        </w:rPr>
      </w:pPr>
      <w:r>
        <w:rPr>
          <w:rFonts w:ascii="Century Gothic" w:hAnsi="Century Gothic" w:cs="Arial"/>
          <w:sz w:val="24"/>
          <w:szCs w:val="24"/>
        </w:rPr>
        <w:t xml:space="preserve">24. </w:t>
      </w:r>
      <w:r w:rsidR="00ED638C" w:rsidRPr="0086631D">
        <w:rPr>
          <w:rFonts w:ascii="Century Gothic" w:hAnsi="Century Gothic" w:cs="Arial"/>
          <w:sz w:val="24"/>
          <w:szCs w:val="24"/>
        </w:rPr>
        <w:t xml:space="preserve">Es aplicable al caso, la jurisprudencia en materia administrativa número I.7o.A. J./31, con número de registro digital 176913, </w:t>
      </w:r>
      <w:r w:rsidR="00ED638C" w:rsidRPr="0086631D">
        <w:rPr>
          <w:rFonts w:ascii="Century Gothic" w:eastAsia="Calibri" w:hAnsi="Century Gothic" w:cs="Arial"/>
          <w:bCs/>
          <w:sz w:val="24"/>
          <w:szCs w:val="24"/>
        </w:rPr>
        <w:t xml:space="preserve">de la Novena Época, emitida por </w:t>
      </w:r>
      <w:r w:rsidR="00ED638C" w:rsidRPr="0086631D">
        <w:rPr>
          <w:rFonts w:ascii="Century Gothic" w:hAnsi="Century Gothic" w:cs="Arial"/>
          <w:sz w:val="24"/>
          <w:szCs w:val="24"/>
        </w:rPr>
        <w:t xml:space="preserve">los </w:t>
      </w:r>
      <w:r w:rsidR="00ED638C" w:rsidRPr="0086631D">
        <w:rPr>
          <w:rFonts w:ascii="Century Gothic" w:eastAsia="Times New Roman" w:hAnsi="Century Gothic" w:cs="Arial"/>
          <w:sz w:val="24"/>
          <w:szCs w:val="24"/>
        </w:rPr>
        <w:t xml:space="preserve">Tribunales Colegiados de Circuito, publicado en el Semanario Judicial de la Federación y su Gaceta, Tomo XXII, </w:t>
      </w:r>
      <w:proofErr w:type="gramStart"/>
      <w:r w:rsidR="00ED638C" w:rsidRPr="0086631D">
        <w:rPr>
          <w:rFonts w:ascii="Century Gothic" w:eastAsia="Times New Roman" w:hAnsi="Century Gothic" w:cs="Arial"/>
          <w:sz w:val="24"/>
          <w:szCs w:val="24"/>
        </w:rPr>
        <w:t>Octubre</w:t>
      </w:r>
      <w:proofErr w:type="gramEnd"/>
      <w:r w:rsidR="00ED638C" w:rsidRPr="0086631D">
        <w:rPr>
          <w:rFonts w:ascii="Century Gothic" w:eastAsia="Times New Roman" w:hAnsi="Century Gothic" w:cs="Arial"/>
          <w:sz w:val="24"/>
          <w:szCs w:val="24"/>
        </w:rPr>
        <w:t xml:space="preserve"> de 2005, consultable a página 2</w:t>
      </w:r>
      <w:r w:rsidR="00294C80">
        <w:rPr>
          <w:rFonts w:ascii="Century Gothic" w:eastAsia="Times New Roman" w:hAnsi="Century Gothic" w:cs="Arial"/>
          <w:sz w:val="24"/>
          <w:szCs w:val="24"/>
        </w:rPr>
        <w:t>212</w:t>
      </w:r>
      <w:r w:rsidR="00ED638C" w:rsidRPr="0086631D">
        <w:rPr>
          <w:rFonts w:ascii="Century Gothic" w:eastAsia="Times New Roman" w:hAnsi="Century Gothic" w:cs="Arial"/>
          <w:sz w:val="24"/>
          <w:szCs w:val="24"/>
        </w:rPr>
        <w:t xml:space="preserve">, de rubro y texto siguientes: </w:t>
      </w:r>
    </w:p>
    <w:p w14:paraId="41A4ADA0" w14:textId="70EB6E10" w:rsidR="00ED638C" w:rsidRPr="008F4303" w:rsidRDefault="00ED638C" w:rsidP="00A745A0">
      <w:pPr>
        <w:spacing w:before="240"/>
        <w:ind w:left="567" w:right="616"/>
        <w:jc w:val="both"/>
        <w:rPr>
          <w:rFonts w:ascii="Century Gothic" w:eastAsia="Times New Roman" w:hAnsi="Century Gothic" w:cs="Arial"/>
          <w:i/>
        </w:rPr>
      </w:pPr>
      <w:r w:rsidRPr="008F4303">
        <w:rPr>
          <w:rFonts w:ascii="Century Gothic" w:eastAsia="Times New Roman" w:hAnsi="Century Gothic" w:cs="Arial"/>
          <w:b/>
          <w:bCs/>
          <w:i/>
        </w:rPr>
        <w:t xml:space="preserve">“NULIDAD. REGLAS PARA SU DETERMINACIÓN EN EL JUICIO CONTENCIOSO ADMINISTRATIVO EN EL DISTRITO FEDERAL. </w:t>
      </w:r>
      <w:r w:rsidRPr="008F4303">
        <w:rPr>
          <w:rFonts w:ascii="Century Gothic" w:eastAsia="Times New Roman" w:hAnsi="Century Gothic" w:cs="Arial"/>
          <w:i/>
        </w:rPr>
        <w:t>Los artículos </w:t>
      </w:r>
      <w:hyperlink r:id="rId8" w:history="1">
        <w:r w:rsidRPr="008F4303">
          <w:rPr>
            <w:rFonts w:ascii="Century Gothic" w:eastAsia="Times New Roman" w:hAnsi="Century Gothic" w:cs="Arial"/>
            <w:i/>
          </w:rPr>
          <w:t>80 a 82 de la Ley del Tribunal de lo Contencioso Administrativo del Distrito Federal</w:t>
        </w:r>
      </w:hyperlink>
      <w:r w:rsidRPr="008F4303">
        <w:rPr>
          <w:rFonts w:ascii="Century Gothic" w:eastAsia="Times New Roman" w:hAnsi="Century Gothic" w:cs="Arial"/>
          <w:i/>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w:t>
      </w:r>
      <w:r w:rsidRPr="008F4303">
        <w:rPr>
          <w:rFonts w:ascii="Century Gothic" w:eastAsia="Times New Roman" w:hAnsi="Century Gothic" w:cs="Arial"/>
          <w:i/>
        </w:rPr>
        <w:lastRenderedPageBreak/>
        <w:t>debatida, que se forma con la pretensión del Estado y las defensas del particular, como sería la falta o indebida valoración de pruebas.”</w:t>
      </w:r>
    </w:p>
    <w:p w14:paraId="33CAF889" w14:textId="05D970B0" w:rsidR="00C536E7" w:rsidRPr="0086631D" w:rsidRDefault="00023FE9" w:rsidP="00A745A0">
      <w:pPr>
        <w:spacing w:before="120" w:after="0"/>
        <w:ind w:firstLine="567"/>
        <w:jc w:val="both"/>
        <w:rPr>
          <w:rFonts w:ascii="Century Gothic" w:hAnsi="Century Gothic" w:cs="Arial"/>
          <w:bCs/>
          <w:sz w:val="24"/>
          <w:szCs w:val="24"/>
          <w:lang w:eastAsia="es-ES"/>
        </w:rPr>
      </w:pPr>
      <w:r>
        <w:rPr>
          <w:rFonts w:ascii="Century Gothic" w:eastAsia="Calibri" w:hAnsi="Century Gothic" w:cs="Arial"/>
          <w:bCs/>
          <w:color w:val="000000" w:themeColor="text1"/>
          <w:sz w:val="24"/>
          <w:szCs w:val="24"/>
        </w:rPr>
        <w:t xml:space="preserve">25. </w:t>
      </w:r>
      <w:r w:rsidR="00C536E7" w:rsidRPr="0086631D">
        <w:rPr>
          <w:rFonts w:ascii="Century Gothic" w:eastAsia="Calibri" w:hAnsi="Century Gothic" w:cs="Arial"/>
          <w:bCs/>
          <w:color w:val="000000" w:themeColor="text1"/>
          <w:sz w:val="24"/>
          <w:szCs w:val="24"/>
        </w:rPr>
        <w:t xml:space="preserve">Por lo que respecta al </w:t>
      </w:r>
      <w:r w:rsidR="00C536E7" w:rsidRPr="0086631D">
        <w:rPr>
          <w:rFonts w:ascii="Century Gothic" w:eastAsia="Calibri" w:hAnsi="Century Gothic" w:cs="Arial"/>
          <w:b/>
          <w:color w:val="000000" w:themeColor="text1"/>
          <w:sz w:val="24"/>
          <w:szCs w:val="24"/>
        </w:rPr>
        <w:t>agravio segundo</w:t>
      </w:r>
      <w:r w:rsidR="00C536E7" w:rsidRPr="0086631D">
        <w:rPr>
          <w:rFonts w:ascii="Century Gothic" w:eastAsia="Calibri" w:hAnsi="Century Gothic" w:cs="Arial"/>
          <w:bCs/>
          <w:color w:val="000000" w:themeColor="text1"/>
          <w:sz w:val="24"/>
          <w:szCs w:val="24"/>
        </w:rPr>
        <w:t xml:space="preserve"> en donde el recurrente señala, que la motivación del acta de infracción multicitada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w:t>
      </w:r>
      <w:r w:rsidR="00106BA6">
        <w:rPr>
          <w:rFonts w:ascii="Century Gothic" w:eastAsia="Calibri" w:hAnsi="Century Gothic" w:cs="Arial"/>
          <w:bCs/>
          <w:color w:val="000000" w:themeColor="text1"/>
          <w:sz w:val="24"/>
          <w:szCs w:val="24"/>
        </w:rPr>
        <w:t xml:space="preserve"> </w:t>
      </w:r>
      <w:r w:rsidR="00C536E7" w:rsidRPr="0086631D">
        <w:rPr>
          <w:rFonts w:ascii="Century Gothic" w:eastAsia="Calibri" w:hAnsi="Century Gothic" w:cs="Arial"/>
          <w:bCs/>
          <w:color w:val="000000" w:themeColor="text1"/>
          <w:sz w:val="24"/>
          <w:szCs w:val="24"/>
        </w:rPr>
        <w:t>l</w:t>
      </w:r>
      <w:r w:rsidR="00106BA6">
        <w:rPr>
          <w:rFonts w:ascii="Century Gothic" w:eastAsia="Calibri" w:hAnsi="Century Gothic" w:cs="Arial"/>
          <w:bCs/>
          <w:color w:val="000000" w:themeColor="text1"/>
          <w:sz w:val="24"/>
          <w:szCs w:val="24"/>
        </w:rPr>
        <w:t>a</w:t>
      </w:r>
      <w:r w:rsidR="00C536E7" w:rsidRPr="0086631D">
        <w:rPr>
          <w:rFonts w:ascii="Century Gothic" w:eastAsia="Calibri" w:hAnsi="Century Gothic" w:cs="Arial"/>
          <w:bCs/>
          <w:color w:val="000000" w:themeColor="text1"/>
          <w:sz w:val="24"/>
          <w:szCs w:val="24"/>
        </w:rPr>
        <w:t xml:space="preserve"> infractor</w:t>
      </w:r>
      <w:r w:rsidR="00106BA6">
        <w:rPr>
          <w:rFonts w:ascii="Century Gothic" w:eastAsia="Calibri" w:hAnsi="Century Gothic" w:cs="Arial"/>
          <w:bCs/>
          <w:color w:val="000000" w:themeColor="text1"/>
          <w:sz w:val="24"/>
          <w:szCs w:val="24"/>
        </w:rPr>
        <w:t>a</w:t>
      </w:r>
      <w:r w:rsidR="00C536E7" w:rsidRPr="0086631D">
        <w:rPr>
          <w:rFonts w:ascii="Century Gothic" w:eastAsia="Calibri" w:hAnsi="Century Gothic" w:cs="Arial"/>
          <w:bCs/>
          <w:color w:val="000000" w:themeColor="text1"/>
          <w:sz w:val="24"/>
          <w:szCs w:val="24"/>
        </w:rPr>
        <w:t xml:space="preserve">, cumpliéndose así con lo previsto por el artículo 17, fracción V de la Ley de Procedimiento.- - - - - - - - - - - - - - - - </w:t>
      </w:r>
      <w:r w:rsidR="007E6EC7">
        <w:rPr>
          <w:rFonts w:ascii="Century Gothic" w:eastAsia="Calibri" w:hAnsi="Century Gothic" w:cs="Arial"/>
          <w:bCs/>
          <w:color w:val="000000" w:themeColor="text1"/>
          <w:sz w:val="24"/>
          <w:szCs w:val="24"/>
        </w:rPr>
        <w:t>- - - - - - - - - - - - - - - - - - - - - - - - - - - -</w:t>
      </w:r>
    </w:p>
    <w:p w14:paraId="0CAD812E" w14:textId="39D03D77" w:rsidR="00C536E7" w:rsidRPr="0086631D" w:rsidRDefault="00023FE9" w:rsidP="00A745A0">
      <w:pPr>
        <w:spacing w:before="120" w:after="0"/>
        <w:ind w:firstLine="708"/>
        <w:jc w:val="both"/>
        <w:rPr>
          <w:rFonts w:ascii="Century Gothic" w:eastAsia="Calibri" w:hAnsi="Century Gothic" w:cs="Arial"/>
          <w:color w:val="000000" w:themeColor="text1"/>
          <w:sz w:val="24"/>
          <w:szCs w:val="24"/>
        </w:rPr>
      </w:pPr>
      <w:r>
        <w:rPr>
          <w:rFonts w:ascii="Century Gothic" w:eastAsia="Calibri" w:hAnsi="Century Gothic" w:cs="Arial"/>
          <w:bCs/>
          <w:sz w:val="24"/>
          <w:szCs w:val="24"/>
        </w:rPr>
        <w:t xml:space="preserve">26. </w:t>
      </w:r>
      <w:r w:rsidR="00C536E7" w:rsidRPr="0086631D">
        <w:rPr>
          <w:rFonts w:ascii="Century Gothic" w:eastAsia="Calibri" w:hAnsi="Century Gothic" w:cs="Arial"/>
          <w:bCs/>
          <w:sz w:val="24"/>
          <w:szCs w:val="24"/>
        </w:rPr>
        <w:t xml:space="preserve">Se califica de </w:t>
      </w:r>
      <w:r w:rsidR="00C536E7" w:rsidRPr="0086631D">
        <w:rPr>
          <w:rFonts w:ascii="Century Gothic" w:eastAsia="Calibri" w:hAnsi="Century Gothic" w:cs="Arial"/>
          <w:b/>
          <w:bCs/>
          <w:sz w:val="24"/>
          <w:szCs w:val="24"/>
        </w:rPr>
        <w:t>INOPERANTE</w:t>
      </w:r>
      <w:r w:rsidR="00C536E7" w:rsidRPr="0086631D">
        <w:rPr>
          <w:rFonts w:ascii="Century Gothic" w:eastAsia="Calibri" w:hAnsi="Century Gothic" w:cs="Arial"/>
          <w:bCs/>
          <w:sz w:val="24"/>
          <w:szCs w:val="24"/>
        </w:rPr>
        <w:t xml:space="preserve"> el agravio segundo de la autoridad recurrente, porque </w:t>
      </w:r>
      <w:r w:rsidR="00C536E7" w:rsidRPr="0086631D">
        <w:rPr>
          <w:rFonts w:ascii="Century Gothic" w:eastAsia="Calibri" w:hAnsi="Century Gothic" w:cs="Arial"/>
          <w:bCs/>
          <w:color w:val="000000" w:themeColor="text1"/>
          <w:sz w:val="24"/>
          <w:szCs w:val="24"/>
          <w:lang w:eastAsia="en-US"/>
        </w:rPr>
        <w:t xml:space="preserve">no </w:t>
      </w:r>
      <w:r w:rsidR="00C536E7" w:rsidRPr="0086631D">
        <w:rPr>
          <w:rFonts w:ascii="Century Gothic" w:eastAsia="Calibri" w:hAnsi="Century Gothic" w:cs="Arial"/>
          <w:bCs/>
          <w:sz w:val="24"/>
          <w:szCs w:val="24"/>
        </w:rPr>
        <w:t xml:space="preserve">expone argumento alguno destinado a combatir la consideración toral emitida por la Primera Instancia para declarar </w:t>
      </w:r>
      <w:r w:rsidR="00E13363" w:rsidRPr="00E13363">
        <w:rPr>
          <w:rFonts w:ascii="Century Gothic" w:hAnsi="Century Gothic" w:cs="Arial"/>
          <w:sz w:val="24"/>
          <w:szCs w:val="24"/>
        </w:rPr>
        <w:t xml:space="preserve">la </w:t>
      </w:r>
      <w:r w:rsidR="00E13363" w:rsidRPr="00E13363">
        <w:rPr>
          <w:rFonts w:ascii="Century Gothic" w:hAnsi="Century Gothic" w:cs="Arial"/>
          <w:b/>
          <w:sz w:val="24"/>
          <w:szCs w:val="24"/>
        </w:rPr>
        <w:t>NULIDAD LISA Y LLANA</w:t>
      </w:r>
      <w:r w:rsidR="00E13363" w:rsidRPr="00E13363">
        <w:rPr>
          <w:rFonts w:ascii="Century Gothic" w:hAnsi="Century Gothic" w:cs="Arial"/>
          <w:sz w:val="24"/>
          <w:szCs w:val="24"/>
        </w:rPr>
        <w:t xml:space="preserve"> del acta de infracción con número de folio 5737 A, de fecha catorce de octubre de dos mil veinte, emitida por José Rubén Hernández Márquez, Policía Vial con número estadístico PV-131, adscrito a la Subdirección de Tránsito y Movilidad de la Dirección de Seguridad Pública, Vialidad y Protección Ciudadana del Municipio de Oaxaca de Juárez</w:t>
      </w:r>
      <w:r w:rsidR="00C536E7" w:rsidRPr="00E13363">
        <w:rPr>
          <w:rFonts w:ascii="Century Gothic" w:hAnsi="Century Gothic" w:cs="Arial"/>
          <w:sz w:val="24"/>
          <w:szCs w:val="24"/>
        </w:rPr>
        <w:t>,</w:t>
      </w:r>
      <w:r w:rsidR="00C536E7" w:rsidRPr="0086631D">
        <w:rPr>
          <w:rFonts w:ascii="Century Gothic" w:hAnsi="Century Gothic" w:cs="Arial"/>
          <w:sz w:val="24"/>
          <w:szCs w:val="24"/>
        </w:rPr>
        <w:t xml:space="preserve"> Oaxaca</w:t>
      </w:r>
      <w:r w:rsidR="00C536E7" w:rsidRPr="0086631D">
        <w:rPr>
          <w:rFonts w:ascii="Century Gothic" w:eastAsia="Calibri" w:hAnsi="Century Gothic" w:cs="Arial"/>
          <w:color w:val="000000" w:themeColor="text1"/>
          <w:sz w:val="24"/>
          <w:szCs w:val="24"/>
        </w:rPr>
        <w:t xml:space="preserve">; </w:t>
      </w:r>
      <w:r w:rsidR="00C536E7" w:rsidRPr="0086631D">
        <w:rPr>
          <w:rFonts w:ascii="Century Gothic" w:hAnsi="Century Gothic" w:cs="Arial"/>
          <w:bCs/>
          <w:color w:val="000000"/>
          <w:sz w:val="24"/>
          <w:szCs w:val="24"/>
        </w:rPr>
        <w:t xml:space="preserve">es decir, para ser considerado como agravio, era necesario que expusiera cuál es el precepto violado por la resolutora, así como debía indicar las razones que estima son suficientes para combatir la determinación de la juzgadora de origen y explicar en todo caso, por qué no procede la nulidad decretada, lo que no logra al tratarse de meras afirmaciones sin sustento legal alguno, </w:t>
      </w:r>
      <w:r w:rsidR="00C536E7" w:rsidRPr="0086631D">
        <w:rPr>
          <w:rFonts w:ascii="Century Gothic" w:hAnsi="Century Gothic" w:cs="Arial"/>
          <w:bCs/>
          <w:sz w:val="24"/>
          <w:szCs w:val="24"/>
        </w:rPr>
        <w:t xml:space="preserve">ya que sus argumentos son genéricos, ambiguos, que en manera alguna explican la forma en que la sentencia le agravia. </w:t>
      </w:r>
    </w:p>
    <w:p w14:paraId="04DD1312" w14:textId="0D000CE9" w:rsidR="00C536E7" w:rsidRPr="008E0F19" w:rsidRDefault="00023FE9" w:rsidP="008E0F19">
      <w:pPr>
        <w:spacing w:before="120" w:after="0"/>
        <w:ind w:firstLine="708"/>
        <w:jc w:val="both"/>
        <w:rPr>
          <w:rFonts w:ascii="Century Gothic" w:hAnsi="Century Gothic" w:cs="Arial"/>
          <w:bCs/>
          <w:sz w:val="24"/>
          <w:szCs w:val="24"/>
        </w:rPr>
      </w:pPr>
      <w:r>
        <w:rPr>
          <w:rFonts w:ascii="Century Gothic" w:eastAsia="Calibri" w:hAnsi="Century Gothic" w:cs="Arial"/>
          <w:bCs/>
          <w:sz w:val="24"/>
          <w:szCs w:val="24"/>
        </w:rPr>
        <w:t xml:space="preserve">27. </w:t>
      </w:r>
      <w:r w:rsidR="00C536E7" w:rsidRPr="0086631D">
        <w:rPr>
          <w:rFonts w:ascii="Century Gothic" w:eastAsia="Calibri" w:hAnsi="Century Gothic" w:cs="Arial"/>
          <w:bCs/>
          <w:sz w:val="24"/>
          <w:szCs w:val="24"/>
        </w:rPr>
        <w:t xml:space="preserve">Se precisa que en materia recursiva, es imperativo que se exponga la lesión sufrida y para ello, es necesario que se diga cuál es la parte de la sentencia específica que le agravia; es decir, debe exponer </w:t>
      </w:r>
      <w:r w:rsidR="00C536E7" w:rsidRPr="0086631D">
        <w:rPr>
          <w:rFonts w:ascii="Century Gothic" w:hAnsi="Century Gothic" w:cs="Arial"/>
          <w:bCs/>
          <w:sz w:val="24"/>
          <w:szCs w:val="24"/>
        </w:rPr>
        <w:t>en qué consiste la lesión sufrida con la actuación de la juzgadora,</w:t>
      </w:r>
      <w:r w:rsidR="00C536E7" w:rsidRPr="0086631D">
        <w:rPr>
          <w:rFonts w:ascii="Century Gothic" w:eastAsia="Calibri" w:hAnsi="Century Gothic" w:cs="Arial"/>
          <w:bCs/>
          <w:sz w:val="24"/>
          <w:szCs w:val="24"/>
        </w:rPr>
        <w:t xml:space="preserve"> el precepto legal violado y que explique de qué manera la juzgadora le </w:t>
      </w:r>
      <w:r w:rsidR="00E41A0A" w:rsidRPr="0086631D">
        <w:rPr>
          <w:rFonts w:ascii="Century Gothic" w:eastAsia="Calibri" w:hAnsi="Century Gothic" w:cs="Arial"/>
          <w:bCs/>
          <w:sz w:val="24"/>
          <w:szCs w:val="24"/>
        </w:rPr>
        <w:t>causa</w:t>
      </w:r>
      <w:r w:rsidR="00C536E7" w:rsidRPr="0086631D">
        <w:rPr>
          <w:rFonts w:ascii="Century Gothic" w:eastAsia="Calibri" w:hAnsi="Century Gothic" w:cs="Arial"/>
          <w:bCs/>
          <w:sz w:val="24"/>
          <w:szCs w:val="24"/>
        </w:rPr>
        <w:t xml:space="preserve"> el perjuicio, sin que sea válido que haga aportaciones genéricas e hipotéticas como acontece en el presente caso,  pues así lo exige la técnica procesal tratándose de recursos. - - - - - - - - - - - - - - - - - - - - - - </w:t>
      </w:r>
      <w:r w:rsidR="008E0F19">
        <w:rPr>
          <w:rFonts w:ascii="Century Gothic" w:eastAsia="Calibri" w:hAnsi="Century Gothic" w:cs="Arial"/>
          <w:bCs/>
          <w:sz w:val="24"/>
          <w:szCs w:val="24"/>
        </w:rPr>
        <w:t>- - -</w:t>
      </w:r>
    </w:p>
    <w:p w14:paraId="65A5B26F" w14:textId="4B400833" w:rsidR="00ED638C" w:rsidRPr="0086631D" w:rsidRDefault="00023FE9" w:rsidP="00A745A0">
      <w:pPr>
        <w:spacing w:before="240"/>
        <w:ind w:firstLine="708"/>
        <w:jc w:val="both"/>
        <w:rPr>
          <w:rFonts w:ascii="Century Gothic" w:hAnsi="Century Gothic" w:cs="Arial"/>
          <w:sz w:val="24"/>
          <w:szCs w:val="24"/>
        </w:rPr>
      </w:pPr>
      <w:r>
        <w:rPr>
          <w:rFonts w:ascii="Century Gothic" w:hAnsi="Century Gothic" w:cs="Arial"/>
          <w:color w:val="000000"/>
          <w:sz w:val="24"/>
          <w:szCs w:val="24"/>
        </w:rPr>
        <w:t xml:space="preserve">28. </w:t>
      </w:r>
      <w:r w:rsidR="00ED638C" w:rsidRPr="0086631D">
        <w:rPr>
          <w:rFonts w:ascii="Century Gothic" w:hAnsi="Century Gothic" w:cs="Arial"/>
          <w:color w:val="000000"/>
          <w:sz w:val="24"/>
          <w:szCs w:val="24"/>
        </w:rPr>
        <w:t xml:space="preserve">De lo expuesto, se concluye que en la sentencia en revisión fue dictada con apego a derecho, toda vez </w:t>
      </w:r>
      <w:r w:rsidR="00E41A0A" w:rsidRPr="0086631D">
        <w:rPr>
          <w:rFonts w:ascii="Century Gothic" w:hAnsi="Century Gothic" w:cs="Arial"/>
          <w:color w:val="000000"/>
          <w:sz w:val="24"/>
          <w:szCs w:val="24"/>
        </w:rPr>
        <w:t>que</w:t>
      </w:r>
      <w:r w:rsidR="007E6EC7">
        <w:rPr>
          <w:rFonts w:ascii="Century Gothic" w:hAnsi="Century Gothic" w:cs="Arial"/>
          <w:color w:val="000000"/>
          <w:sz w:val="24"/>
          <w:szCs w:val="24"/>
        </w:rPr>
        <w:t xml:space="preserve">, el Magistrado </w:t>
      </w:r>
      <w:r w:rsidR="00ED638C" w:rsidRPr="0086631D">
        <w:rPr>
          <w:rFonts w:ascii="Century Gothic" w:hAnsi="Century Gothic" w:cs="Arial"/>
          <w:color w:val="000000"/>
          <w:sz w:val="24"/>
          <w:szCs w:val="24"/>
        </w:rPr>
        <w:t xml:space="preserve">de origen, expuso sus razonamientos lógico-jurídicos que la condujeron a determinar la nulidad lisa y llana del acto administrativo de autoridad; por ende, se califica como </w:t>
      </w:r>
      <w:r w:rsidR="00ED638C" w:rsidRPr="0086631D">
        <w:rPr>
          <w:rFonts w:ascii="Century Gothic" w:hAnsi="Century Gothic" w:cs="Arial"/>
          <w:b/>
          <w:bCs/>
          <w:color w:val="000000"/>
          <w:sz w:val="24"/>
          <w:szCs w:val="24"/>
        </w:rPr>
        <w:t>infundado</w:t>
      </w:r>
      <w:r w:rsidR="00A71C37" w:rsidRPr="0086631D">
        <w:rPr>
          <w:rFonts w:ascii="Century Gothic" w:hAnsi="Century Gothic" w:cs="Arial"/>
          <w:b/>
          <w:bCs/>
          <w:color w:val="000000"/>
          <w:sz w:val="24"/>
          <w:szCs w:val="24"/>
        </w:rPr>
        <w:t xml:space="preserve">s </w:t>
      </w:r>
      <w:r w:rsidR="00E41A0A" w:rsidRPr="0086631D">
        <w:rPr>
          <w:rFonts w:ascii="Century Gothic" w:hAnsi="Century Gothic" w:cs="Arial"/>
          <w:b/>
          <w:bCs/>
          <w:color w:val="000000"/>
          <w:sz w:val="24"/>
          <w:szCs w:val="24"/>
        </w:rPr>
        <w:t>los agravios expuestos</w:t>
      </w:r>
      <w:r w:rsidR="00ED638C" w:rsidRPr="0086631D">
        <w:rPr>
          <w:rFonts w:ascii="Century Gothic" w:hAnsi="Century Gothic" w:cs="Arial"/>
          <w:color w:val="000000"/>
          <w:sz w:val="24"/>
          <w:szCs w:val="24"/>
        </w:rPr>
        <w:t xml:space="preserve"> por la autoridad recurrente.</w:t>
      </w:r>
    </w:p>
    <w:p w14:paraId="2225BA14" w14:textId="03FC6173" w:rsidR="003922BF" w:rsidRPr="0086631D" w:rsidRDefault="00023FE9" w:rsidP="00A745A0">
      <w:pPr>
        <w:ind w:firstLine="708"/>
        <w:jc w:val="both"/>
        <w:rPr>
          <w:rFonts w:ascii="Century Gothic" w:hAnsi="Century Gothic" w:cs="Arial"/>
          <w:sz w:val="24"/>
          <w:szCs w:val="24"/>
        </w:rPr>
      </w:pPr>
      <w:r>
        <w:rPr>
          <w:rFonts w:ascii="Century Gothic" w:hAnsi="Century Gothic" w:cs="Arial"/>
          <w:bCs/>
          <w:sz w:val="24"/>
          <w:szCs w:val="24"/>
        </w:rPr>
        <w:t xml:space="preserve">29. </w:t>
      </w:r>
      <w:r w:rsidR="00014EC2" w:rsidRPr="0086631D">
        <w:rPr>
          <w:rFonts w:ascii="Century Gothic" w:hAnsi="Century Gothic" w:cs="Arial"/>
          <w:bCs/>
          <w:sz w:val="24"/>
          <w:szCs w:val="24"/>
        </w:rPr>
        <w:t>En mérito de lo anterior, a</w:t>
      </w:r>
      <w:r w:rsidR="007B6608" w:rsidRPr="0086631D">
        <w:rPr>
          <w:rFonts w:ascii="Century Gothic" w:hAnsi="Century Gothic" w:cs="Arial"/>
          <w:bCs/>
          <w:sz w:val="24"/>
          <w:szCs w:val="24"/>
        </w:rPr>
        <w:t>nte l</w:t>
      </w:r>
      <w:r w:rsidR="00852028" w:rsidRPr="0086631D">
        <w:rPr>
          <w:rFonts w:ascii="Century Gothic" w:hAnsi="Century Gothic" w:cs="Arial"/>
          <w:bCs/>
          <w:sz w:val="24"/>
          <w:szCs w:val="24"/>
        </w:rPr>
        <w:t xml:space="preserve">o </w:t>
      </w:r>
      <w:r w:rsidR="003922BF" w:rsidRPr="0086631D">
        <w:rPr>
          <w:rFonts w:ascii="Century Gothic" w:hAnsi="Century Gothic" w:cs="Arial"/>
          <w:b/>
          <w:bCs/>
          <w:sz w:val="24"/>
          <w:szCs w:val="24"/>
        </w:rPr>
        <w:t>in</w:t>
      </w:r>
      <w:r w:rsidR="00E31BB4" w:rsidRPr="0086631D">
        <w:rPr>
          <w:rFonts w:ascii="Century Gothic" w:hAnsi="Century Gothic" w:cs="Arial"/>
          <w:b/>
          <w:bCs/>
          <w:sz w:val="24"/>
          <w:szCs w:val="24"/>
        </w:rPr>
        <w:t>operante e in</w:t>
      </w:r>
      <w:r w:rsidR="003922BF" w:rsidRPr="0086631D">
        <w:rPr>
          <w:rFonts w:ascii="Century Gothic" w:hAnsi="Century Gothic" w:cs="Arial"/>
          <w:b/>
          <w:bCs/>
          <w:sz w:val="24"/>
          <w:szCs w:val="24"/>
        </w:rPr>
        <w:t xml:space="preserve">fundado </w:t>
      </w:r>
      <w:r w:rsidR="007B6608" w:rsidRPr="0086631D">
        <w:rPr>
          <w:rFonts w:ascii="Century Gothic" w:hAnsi="Century Gothic" w:cs="Arial"/>
          <w:bCs/>
          <w:sz w:val="24"/>
          <w:szCs w:val="24"/>
        </w:rPr>
        <w:t>de</w:t>
      </w:r>
      <w:r w:rsidR="00E34263" w:rsidRPr="0086631D">
        <w:rPr>
          <w:rFonts w:ascii="Century Gothic" w:hAnsi="Century Gothic" w:cs="Arial"/>
          <w:bCs/>
          <w:sz w:val="24"/>
          <w:szCs w:val="24"/>
        </w:rPr>
        <w:t xml:space="preserve"> </w:t>
      </w:r>
      <w:r w:rsidR="00852028" w:rsidRPr="0086631D">
        <w:rPr>
          <w:rFonts w:ascii="Century Gothic" w:hAnsi="Century Gothic" w:cs="Arial"/>
          <w:bCs/>
          <w:sz w:val="24"/>
          <w:szCs w:val="24"/>
        </w:rPr>
        <w:t>l</w:t>
      </w:r>
      <w:r w:rsidR="00E34263" w:rsidRPr="0086631D">
        <w:rPr>
          <w:rFonts w:ascii="Century Gothic" w:hAnsi="Century Gothic" w:cs="Arial"/>
          <w:bCs/>
          <w:sz w:val="24"/>
          <w:szCs w:val="24"/>
        </w:rPr>
        <w:t>os</w:t>
      </w:r>
      <w:r w:rsidR="00852028" w:rsidRPr="0086631D">
        <w:rPr>
          <w:rFonts w:ascii="Century Gothic" w:hAnsi="Century Gothic" w:cs="Arial"/>
          <w:bCs/>
          <w:sz w:val="24"/>
          <w:szCs w:val="24"/>
        </w:rPr>
        <w:t xml:space="preserve"> agravio</w:t>
      </w:r>
      <w:r w:rsidR="00E34263" w:rsidRPr="0086631D">
        <w:rPr>
          <w:rFonts w:ascii="Century Gothic" w:hAnsi="Century Gothic" w:cs="Arial"/>
          <w:bCs/>
          <w:sz w:val="24"/>
          <w:szCs w:val="24"/>
        </w:rPr>
        <w:t>s</w:t>
      </w:r>
      <w:r w:rsidR="00852028" w:rsidRPr="0086631D">
        <w:rPr>
          <w:rFonts w:ascii="Century Gothic" w:hAnsi="Century Gothic" w:cs="Arial"/>
          <w:bCs/>
          <w:sz w:val="24"/>
          <w:szCs w:val="24"/>
        </w:rPr>
        <w:t xml:space="preserve"> </w:t>
      </w:r>
      <w:r w:rsidR="003922BF" w:rsidRPr="0086631D">
        <w:rPr>
          <w:rFonts w:ascii="Century Gothic" w:hAnsi="Century Gothic" w:cs="Arial"/>
          <w:bCs/>
          <w:sz w:val="24"/>
          <w:szCs w:val="24"/>
        </w:rPr>
        <w:t>exp</w:t>
      </w:r>
      <w:r w:rsidR="00852028" w:rsidRPr="0086631D">
        <w:rPr>
          <w:rFonts w:ascii="Century Gothic" w:hAnsi="Century Gothic" w:cs="Arial"/>
          <w:bCs/>
          <w:sz w:val="24"/>
          <w:szCs w:val="24"/>
        </w:rPr>
        <w:t>uesto</w:t>
      </w:r>
      <w:r w:rsidR="00E34263" w:rsidRPr="0086631D">
        <w:rPr>
          <w:rFonts w:ascii="Century Gothic" w:hAnsi="Century Gothic" w:cs="Arial"/>
          <w:bCs/>
          <w:sz w:val="24"/>
          <w:szCs w:val="24"/>
        </w:rPr>
        <w:t>s</w:t>
      </w:r>
      <w:r w:rsidR="00852028" w:rsidRPr="0086631D">
        <w:rPr>
          <w:rFonts w:ascii="Century Gothic" w:hAnsi="Century Gothic" w:cs="Arial"/>
          <w:bCs/>
          <w:sz w:val="24"/>
          <w:szCs w:val="24"/>
        </w:rPr>
        <w:t xml:space="preserve"> </w:t>
      </w:r>
      <w:r w:rsidR="003922BF" w:rsidRPr="0086631D">
        <w:rPr>
          <w:rFonts w:ascii="Century Gothic" w:hAnsi="Century Gothic" w:cs="Arial"/>
          <w:bCs/>
          <w:sz w:val="24"/>
          <w:szCs w:val="24"/>
        </w:rPr>
        <w:t xml:space="preserve">por la autoridad recurrente, lo procedente es </w:t>
      </w:r>
      <w:r w:rsidR="003922BF" w:rsidRPr="0086631D">
        <w:rPr>
          <w:rFonts w:ascii="Century Gothic" w:hAnsi="Century Gothic" w:cs="Arial"/>
          <w:b/>
          <w:bCs/>
          <w:sz w:val="24"/>
          <w:szCs w:val="24"/>
        </w:rPr>
        <w:t>confirmar</w:t>
      </w:r>
      <w:r w:rsidR="003922BF" w:rsidRPr="0086631D">
        <w:rPr>
          <w:rFonts w:ascii="Century Gothic" w:hAnsi="Century Gothic" w:cs="Arial"/>
          <w:bCs/>
          <w:sz w:val="24"/>
          <w:szCs w:val="24"/>
        </w:rPr>
        <w:t xml:space="preserve"> la sentencia</w:t>
      </w:r>
      <w:r w:rsidR="003922BF" w:rsidRPr="0086631D">
        <w:rPr>
          <w:rFonts w:ascii="Century Gothic" w:eastAsia="Calibri" w:hAnsi="Century Gothic" w:cs="Arial"/>
          <w:bCs/>
          <w:sz w:val="24"/>
          <w:szCs w:val="24"/>
        </w:rPr>
        <w:t xml:space="preserve"> </w:t>
      </w:r>
      <w:r w:rsidR="00F80108" w:rsidRPr="0086631D">
        <w:rPr>
          <w:rFonts w:ascii="Century Gothic" w:eastAsia="Calibri" w:hAnsi="Century Gothic" w:cs="Arial"/>
          <w:bCs/>
          <w:sz w:val="24"/>
          <w:szCs w:val="24"/>
        </w:rPr>
        <w:t>recurrida</w:t>
      </w:r>
      <w:r w:rsidR="003922BF" w:rsidRPr="0086631D">
        <w:rPr>
          <w:rFonts w:ascii="Century Gothic" w:eastAsia="Calibri" w:hAnsi="Century Gothic" w:cs="Arial"/>
          <w:bCs/>
          <w:sz w:val="24"/>
          <w:szCs w:val="24"/>
        </w:rPr>
        <w:t>; en consecuencia</w:t>
      </w:r>
      <w:r w:rsidR="003922BF" w:rsidRPr="0086631D">
        <w:rPr>
          <w:rFonts w:ascii="Century Gothic" w:hAnsi="Century Gothic" w:cs="Arial"/>
          <w:sz w:val="24"/>
          <w:szCs w:val="24"/>
        </w:rPr>
        <w:t>, con fundamento en los artículos 23</w:t>
      </w:r>
      <w:r w:rsidR="00C75E60" w:rsidRPr="0086631D">
        <w:rPr>
          <w:rFonts w:ascii="Century Gothic" w:hAnsi="Century Gothic" w:cs="Arial"/>
          <w:sz w:val="24"/>
          <w:szCs w:val="24"/>
        </w:rPr>
        <w:t>6</w:t>
      </w:r>
      <w:r w:rsidR="003922BF" w:rsidRPr="0086631D">
        <w:rPr>
          <w:rFonts w:ascii="Century Gothic" w:hAnsi="Century Gothic" w:cs="Arial"/>
          <w:sz w:val="24"/>
          <w:szCs w:val="24"/>
        </w:rPr>
        <w:t xml:space="preserve"> y 238 de la Ley de Procedimiento, se:</w:t>
      </w:r>
    </w:p>
    <w:p w14:paraId="1C6064F7" w14:textId="77777777" w:rsidR="003922BF" w:rsidRPr="0086631D" w:rsidRDefault="003922BF" w:rsidP="00A745A0">
      <w:pPr>
        <w:widowControl w:val="0"/>
        <w:tabs>
          <w:tab w:val="left" w:pos="0"/>
        </w:tabs>
        <w:spacing w:before="240" w:after="0"/>
        <w:ind w:right="18"/>
        <w:jc w:val="center"/>
        <w:rPr>
          <w:rFonts w:ascii="Century Gothic" w:hAnsi="Century Gothic" w:cs="Arial"/>
          <w:b/>
          <w:sz w:val="24"/>
          <w:szCs w:val="24"/>
        </w:rPr>
      </w:pPr>
      <w:r w:rsidRPr="0086631D">
        <w:rPr>
          <w:rFonts w:ascii="Century Gothic" w:hAnsi="Century Gothic" w:cs="Arial"/>
          <w:b/>
          <w:sz w:val="24"/>
          <w:szCs w:val="24"/>
        </w:rPr>
        <w:t>R E S U E L V E</w:t>
      </w:r>
    </w:p>
    <w:p w14:paraId="390E0716" w14:textId="439D3AAB" w:rsidR="003922BF" w:rsidRPr="0086631D" w:rsidRDefault="003922BF" w:rsidP="00A745A0">
      <w:pPr>
        <w:widowControl w:val="0"/>
        <w:tabs>
          <w:tab w:val="left" w:pos="0"/>
        </w:tabs>
        <w:spacing w:before="240" w:after="0"/>
        <w:ind w:right="18"/>
        <w:jc w:val="both"/>
        <w:rPr>
          <w:rFonts w:ascii="Century Gothic" w:hAnsi="Century Gothic" w:cs="Arial"/>
          <w:color w:val="000000"/>
          <w:sz w:val="24"/>
          <w:szCs w:val="24"/>
        </w:rPr>
      </w:pPr>
      <w:r w:rsidRPr="0086631D">
        <w:rPr>
          <w:rFonts w:ascii="Century Gothic" w:hAnsi="Century Gothic" w:cs="Arial"/>
          <w:b/>
          <w:color w:val="000000"/>
          <w:sz w:val="24"/>
          <w:szCs w:val="24"/>
        </w:rPr>
        <w:lastRenderedPageBreak/>
        <w:tab/>
        <w:t>PRIMERO</w:t>
      </w:r>
      <w:r w:rsidRPr="0086631D">
        <w:rPr>
          <w:rFonts w:ascii="Century Gothic" w:hAnsi="Century Gothic" w:cs="Arial"/>
          <w:color w:val="000000"/>
          <w:sz w:val="24"/>
          <w:szCs w:val="24"/>
        </w:rPr>
        <w:t xml:space="preserve">. Se </w:t>
      </w:r>
      <w:r w:rsidR="00AA0306" w:rsidRPr="0086631D">
        <w:rPr>
          <w:rFonts w:ascii="Century Gothic" w:hAnsi="Century Gothic" w:cs="Arial"/>
          <w:b/>
          <w:color w:val="000000"/>
          <w:sz w:val="24"/>
          <w:szCs w:val="24"/>
        </w:rPr>
        <w:t>CONFIRMA</w:t>
      </w:r>
      <w:r w:rsidRPr="0086631D">
        <w:rPr>
          <w:rFonts w:ascii="Century Gothic" w:hAnsi="Century Gothic" w:cs="Arial"/>
          <w:b/>
          <w:color w:val="000000"/>
          <w:sz w:val="24"/>
          <w:szCs w:val="24"/>
        </w:rPr>
        <w:t xml:space="preserve"> </w:t>
      </w:r>
      <w:r w:rsidRPr="0086631D">
        <w:rPr>
          <w:rFonts w:ascii="Century Gothic" w:hAnsi="Century Gothic" w:cs="Arial"/>
          <w:color w:val="000000"/>
          <w:sz w:val="24"/>
          <w:szCs w:val="24"/>
        </w:rPr>
        <w:t xml:space="preserve">la </w:t>
      </w:r>
      <w:r w:rsidRPr="0086631D">
        <w:rPr>
          <w:rFonts w:ascii="Century Gothic" w:hAnsi="Century Gothic" w:cs="Arial"/>
          <w:sz w:val="24"/>
          <w:szCs w:val="24"/>
        </w:rPr>
        <w:t xml:space="preserve">sentencia </w:t>
      </w:r>
      <w:r w:rsidR="007E6EC7">
        <w:rPr>
          <w:rFonts w:ascii="Century Gothic" w:hAnsi="Century Gothic" w:cs="Arial"/>
          <w:color w:val="000000"/>
          <w:sz w:val="24"/>
          <w:szCs w:val="24"/>
        </w:rPr>
        <w:t>tres</w:t>
      </w:r>
      <w:r w:rsidR="00A71C37" w:rsidRPr="0086631D">
        <w:rPr>
          <w:rFonts w:ascii="Century Gothic" w:hAnsi="Century Gothic" w:cs="Arial"/>
          <w:color w:val="000000"/>
          <w:sz w:val="24"/>
          <w:szCs w:val="24"/>
        </w:rPr>
        <w:t xml:space="preserve"> de febrero de dos mil veintitrés</w:t>
      </w:r>
      <w:r w:rsidR="00E41A0A" w:rsidRPr="0086631D">
        <w:rPr>
          <w:rFonts w:ascii="Century Gothic" w:hAnsi="Century Gothic" w:cs="Arial"/>
          <w:color w:val="000000"/>
          <w:sz w:val="24"/>
          <w:szCs w:val="24"/>
        </w:rPr>
        <w:t xml:space="preserve"> </w:t>
      </w:r>
      <w:r w:rsidR="00E41A0A" w:rsidRPr="0086631D">
        <w:rPr>
          <w:rFonts w:ascii="Century Gothic" w:hAnsi="Century Gothic" w:cs="Arial"/>
          <w:sz w:val="24"/>
          <w:szCs w:val="24"/>
        </w:rPr>
        <w:t xml:space="preserve">dictada en el expediente </w:t>
      </w:r>
      <w:r w:rsidR="007E6EC7">
        <w:rPr>
          <w:rFonts w:ascii="Century Gothic" w:hAnsi="Century Gothic" w:cs="Arial"/>
          <w:b/>
          <w:sz w:val="24"/>
          <w:szCs w:val="24"/>
        </w:rPr>
        <w:t>0160/2020</w:t>
      </w:r>
      <w:r w:rsidR="00E41A0A" w:rsidRPr="0086631D">
        <w:rPr>
          <w:rFonts w:ascii="Century Gothic" w:hAnsi="Century Gothic" w:cs="Arial"/>
          <w:sz w:val="24"/>
          <w:szCs w:val="24"/>
        </w:rPr>
        <w:t xml:space="preserve"> de la </w:t>
      </w:r>
      <w:r w:rsidR="007E6EC7">
        <w:rPr>
          <w:rFonts w:ascii="Century Gothic" w:hAnsi="Century Gothic" w:cs="Arial"/>
          <w:sz w:val="24"/>
          <w:szCs w:val="24"/>
        </w:rPr>
        <w:t>Segunda</w:t>
      </w:r>
      <w:r w:rsidR="00E41A0A" w:rsidRPr="0086631D">
        <w:rPr>
          <w:rFonts w:ascii="Century Gothic" w:hAnsi="Century Gothic" w:cs="Arial"/>
          <w:sz w:val="24"/>
          <w:szCs w:val="24"/>
        </w:rPr>
        <w:t xml:space="preserve"> Sala Unitaria de Primera Instancia del Tribunal </w:t>
      </w:r>
      <w:r w:rsidR="00E41A0A" w:rsidRPr="0086631D">
        <w:rPr>
          <w:rFonts w:ascii="Century Gothic" w:eastAsia="Times New Roman" w:hAnsi="Century Gothic" w:cs="Arial"/>
          <w:sz w:val="24"/>
          <w:szCs w:val="24"/>
          <w:lang w:val="es-ES_tradnl" w:eastAsia="es-ES"/>
        </w:rPr>
        <w:t>de Justicia Administrativa y Combate a la Corrupción del Estado de Oaxaca</w:t>
      </w:r>
      <w:r w:rsidRPr="0086631D">
        <w:rPr>
          <w:rFonts w:ascii="Century Gothic" w:hAnsi="Century Gothic" w:cs="Arial"/>
          <w:color w:val="000000"/>
          <w:sz w:val="24"/>
          <w:szCs w:val="24"/>
        </w:rPr>
        <w:t xml:space="preserve">, por las razones expuestas en el considerando </w:t>
      </w:r>
      <w:r w:rsidR="007E6EC7">
        <w:rPr>
          <w:rFonts w:ascii="Century Gothic" w:hAnsi="Century Gothic" w:cs="Arial"/>
          <w:color w:val="000000"/>
          <w:sz w:val="24"/>
          <w:szCs w:val="24"/>
        </w:rPr>
        <w:t>Cuarto</w:t>
      </w:r>
      <w:r w:rsidRPr="0086631D">
        <w:rPr>
          <w:rFonts w:ascii="Century Gothic" w:hAnsi="Century Gothic" w:cs="Arial"/>
          <w:b/>
          <w:color w:val="000000"/>
          <w:sz w:val="24"/>
          <w:szCs w:val="24"/>
        </w:rPr>
        <w:t xml:space="preserve"> </w:t>
      </w:r>
      <w:r w:rsidRPr="0086631D">
        <w:rPr>
          <w:rFonts w:ascii="Century Gothic" w:hAnsi="Century Gothic" w:cs="Arial"/>
          <w:color w:val="000000"/>
          <w:sz w:val="24"/>
          <w:szCs w:val="24"/>
        </w:rPr>
        <w:t>de la presente resolución.</w:t>
      </w:r>
      <w:r w:rsidR="0025565F" w:rsidRPr="0086631D">
        <w:rPr>
          <w:rFonts w:ascii="Century Gothic" w:hAnsi="Century Gothic" w:cs="Arial"/>
          <w:color w:val="000000"/>
          <w:sz w:val="24"/>
          <w:szCs w:val="24"/>
        </w:rPr>
        <w:t xml:space="preserve"> - - - - - - - - - - - - - - - - - </w:t>
      </w:r>
      <w:r w:rsidR="00F80108" w:rsidRPr="0086631D">
        <w:rPr>
          <w:rFonts w:ascii="Century Gothic" w:hAnsi="Century Gothic" w:cs="Arial"/>
          <w:color w:val="000000"/>
          <w:sz w:val="24"/>
          <w:szCs w:val="24"/>
        </w:rPr>
        <w:t xml:space="preserve">- - - </w:t>
      </w:r>
    </w:p>
    <w:p w14:paraId="6A32A909" w14:textId="23A43643" w:rsidR="003922BF" w:rsidRPr="0086631D" w:rsidRDefault="003922BF" w:rsidP="00A745A0">
      <w:pPr>
        <w:pStyle w:val="Sinespaciado"/>
        <w:spacing w:before="240" w:after="240" w:line="276" w:lineRule="auto"/>
        <w:ind w:firstLine="708"/>
        <w:jc w:val="both"/>
        <w:rPr>
          <w:rFonts w:ascii="Century Gothic" w:hAnsi="Century Gothic" w:cs="Arial"/>
          <w:sz w:val="24"/>
          <w:szCs w:val="24"/>
        </w:rPr>
      </w:pPr>
      <w:r w:rsidRPr="0086631D">
        <w:rPr>
          <w:rFonts w:ascii="Century Gothic" w:hAnsi="Century Gothic" w:cs="Arial"/>
          <w:b/>
          <w:sz w:val="24"/>
          <w:szCs w:val="24"/>
        </w:rPr>
        <w:t>SEGUNDO. Notifíquese y cúmplase,</w:t>
      </w:r>
      <w:r w:rsidRPr="0086631D">
        <w:rPr>
          <w:rFonts w:ascii="Century Gothic" w:hAnsi="Century Gothic" w:cs="Arial"/>
          <w:sz w:val="24"/>
          <w:szCs w:val="24"/>
        </w:rPr>
        <w:t xml:space="preserve"> remítase copia certificada de la presente resolución a la Sala de origen para los efectos legales correspondientes y </w:t>
      </w:r>
      <w:r w:rsidR="00345C36" w:rsidRPr="0086631D">
        <w:rPr>
          <w:rFonts w:ascii="Century Gothic" w:hAnsi="Century Gothic" w:cs="Arial"/>
          <w:sz w:val="24"/>
          <w:szCs w:val="24"/>
        </w:rPr>
        <w:t xml:space="preserve">en su oportunidad </w:t>
      </w:r>
      <w:r w:rsidRPr="0086631D">
        <w:rPr>
          <w:rFonts w:ascii="Century Gothic" w:hAnsi="Century Gothic" w:cs="Arial"/>
          <w:sz w:val="24"/>
          <w:szCs w:val="24"/>
        </w:rPr>
        <w:t xml:space="preserve">archívese como asunto </w:t>
      </w:r>
      <w:proofErr w:type="gramStart"/>
      <w:r w:rsidRPr="0086631D">
        <w:rPr>
          <w:rFonts w:ascii="Century Gothic" w:hAnsi="Century Gothic" w:cs="Arial"/>
          <w:sz w:val="24"/>
          <w:szCs w:val="24"/>
        </w:rPr>
        <w:t>concluido.</w:t>
      </w:r>
      <w:r w:rsidR="00023FE9">
        <w:rPr>
          <w:rFonts w:ascii="Century Gothic" w:hAnsi="Century Gothic" w:cs="Arial"/>
          <w:sz w:val="24"/>
          <w:szCs w:val="24"/>
        </w:rPr>
        <w:t>-</w:t>
      </w:r>
      <w:proofErr w:type="gramEnd"/>
    </w:p>
    <w:p w14:paraId="63E471DE" w14:textId="4F368E5A" w:rsidR="006C5036" w:rsidRPr="0086631D" w:rsidRDefault="006C5036" w:rsidP="00A745A0">
      <w:pPr>
        <w:spacing w:before="240"/>
        <w:ind w:firstLine="708"/>
        <w:jc w:val="both"/>
        <w:rPr>
          <w:rFonts w:ascii="Century Gothic" w:hAnsi="Century Gothic" w:cs="Arial"/>
          <w:sz w:val="24"/>
          <w:szCs w:val="24"/>
        </w:rPr>
      </w:pPr>
      <w:r w:rsidRPr="0086631D">
        <w:rPr>
          <w:rFonts w:ascii="Century Gothic" w:hAnsi="Century Gothic" w:cs="Arial"/>
          <w:sz w:val="24"/>
          <w:szCs w:val="24"/>
        </w:rPr>
        <w:t xml:space="preserve">Por unanimidad de votos, lo resolvieron y firmaron los Magistrados integrantes de la Sala Superior Mateo Martínez </w:t>
      </w:r>
      <w:proofErr w:type="spellStart"/>
      <w:r w:rsidRPr="0086631D">
        <w:rPr>
          <w:rFonts w:ascii="Century Gothic" w:hAnsi="Century Gothic" w:cs="Arial"/>
          <w:sz w:val="24"/>
          <w:szCs w:val="24"/>
        </w:rPr>
        <w:t>Martínez</w:t>
      </w:r>
      <w:proofErr w:type="spellEnd"/>
      <w:r w:rsidRPr="0086631D">
        <w:rPr>
          <w:rFonts w:ascii="Century Gothic" w:hAnsi="Century Gothic" w:cs="Arial"/>
          <w:sz w:val="24"/>
          <w:szCs w:val="24"/>
        </w:rPr>
        <w:t xml:space="preserve">, Cruz Itzel Espinosa Rojas (ponente) y Manuel de Jesús López </w:t>
      </w:r>
      <w:proofErr w:type="spellStart"/>
      <w:r w:rsidRPr="0086631D">
        <w:rPr>
          <w:rFonts w:ascii="Century Gothic" w:hAnsi="Century Gothic" w:cs="Arial"/>
          <w:sz w:val="24"/>
          <w:szCs w:val="24"/>
        </w:rPr>
        <w:t>López</w:t>
      </w:r>
      <w:proofErr w:type="spellEnd"/>
      <w:r w:rsidRPr="0086631D">
        <w:rPr>
          <w:rFonts w:ascii="Century Gothic" w:hAnsi="Century Gothic" w:cs="Arial"/>
          <w:sz w:val="24"/>
          <w:szCs w:val="24"/>
        </w:rPr>
        <w:t xml:space="preserve">; quienes actúan con la Licenciada Lizbeth Jessica Gallardo Martínez, </w:t>
      </w:r>
      <w:proofErr w:type="gramStart"/>
      <w:r w:rsidRPr="0086631D">
        <w:rPr>
          <w:rFonts w:ascii="Century Gothic" w:hAnsi="Century Gothic" w:cs="Arial"/>
          <w:sz w:val="24"/>
          <w:szCs w:val="24"/>
        </w:rPr>
        <w:t>Secretaria General</w:t>
      </w:r>
      <w:proofErr w:type="gramEnd"/>
      <w:r w:rsidRPr="0086631D">
        <w:rPr>
          <w:rFonts w:ascii="Century Gothic" w:hAnsi="Century Gothic" w:cs="Arial"/>
          <w:sz w:val="24"/>
          <w:szCs w:val="24"/>
        </w:rPr>
        <w:t xml:space="preserve"> de Acuerdos de este Tribunal, que autoriza y da </w:t>
      </w:r>
      <w:r w:rsidR="00DE4B00" w:rsidRPr="0086631D">
        <w:rPr>
          <w:rFonts w:ascii="Century Gothic" w:hAnsi="Century Gothic" w:cs="Arial"/>
          <w:sz w:val="24"/>
          <w:szCs w:val="24"/>
        </w:rPr>
        <w:t>fe. -</w:t>
      </w:r>
      <w:r w:rsidRPr="0086631D">
        <w:rPr>
          <w:rFonts w:ascii="Century Gothic" w:hAnsi="Century Gothic" w:cs="Arial"/>
          <w:sz w:val="24"/>
          <w:szCs w:val="24"/>
        </w:rPr>
        <w:t xml:space="preserve"> - - - - - - - - </w:t>
      </w:r>
      <w:r w:rsidR="00CE6556">
        <w:rPr>
          <w:rFonts w:ascii="Century Gothic" w:hAnsi="Century Gothic" w:cs="Arial"/>
          <w:sz w:val="24"/>
          <w:szCs w:val="24"/>
        </w:rPr>
        <w:t>-</w:t>
      </w:r>
      <w:r w:rsidR="008E0F19">
        <w:rPr>
          <w:rFonts w:ascii="Century Gothic" w:hAnsi="Century Gothic" w:cs="Arial"/>
          <w:sz w:val="24"/>
          <w:szCs w:val="24"/>
        </w:rPr>
        <w:t xml:space="preserve"> - - - - - - -</w:t>
      </w:r>
    </w:p>
    <w:p w14:paraId="5DCCAB73" w14:textId="5830FBD3" w:rsidR="00D51FA2" w:rsidRDefault="00D51FA2" w:rsidP="00A745A0">
      <w:pPr>
        <w:pStyle w:val="Sinespaciado"/>
        <w:spacing w:line="276" w:lineRule="auto"/>
        <w:jc w:val="center"/>
        <w:rPr>
          <w:rFonts w:ascii="Century Gothic" w:hAnsi="Century Gothic" w:cs="Arial"/>
          <w:b/>
          <w:sz w:val="24"/>
          <w:szCs w:val="24"/>
        </w:rPr>
      </w:pPr>
    </w:p>
    <w:p w14:paraId="6A39AAA3" w14:textId="77777777" w:rsidR="00564EE5" w:rsidRDefault="00564EE5" w:rsidP="00A745A0">
      <w:pPr>
        <w:pStyle w:val="Sinespaciado"/>
        <w:spacing w:line="276" w:lineRule="auto"/>
        <w:jc w:val="center"/>
        <w:rPr>
          <w:rFonts w:ascii="Century Gothic" w:hAnsi="Century Gothic" w:cs="Arial"/>
          <w:b/>
          <w:sz w:val="24"/>
          <w:szCs w:val="24"/>
        </w:rPr>
      </w:pPr>
    </w:p>
    <w:p w14:paraId="5D1BE504" w14:textId="77777777" w:rsidR="00AB669C" w:rsidRDefault="00AB669C" w:rsidP="0065455A">
      <w:pPr>
        <w:pStyle w:val="Sinespaciado"/>
        <w:spacing w:line="276" w:lineRule="auto"/>
        <w:rPr>
          <w:rFonts w:ascii="Century Gothic" w:hAnsi="Century Gothic" w:cs="Arial"/>
          <w:b/>
          <w:sz w:val="24"/>
          <w:szCs w:val="24"/>
        </w:rPr>
      </w:pPr>
    </w:p>
    <w:p w14:paraId="7C386096" w14:textId="77777777" w:rsidR="00AB669C" w:rsidRPr="0086631D" w:rsidRDefault="00AB669C" w:rsidP="00A745A0">
      <w:pPr>
        <w:pStyle w:val="Sinespaciado"/>
        <w:spacing w:line="276" w:lineRule="auto"/>
        <w:jc w:val="center"/>
        <w:rPr>
          <w:rFonts w:ascii="Century Gothic" w:hAnsi="Century Gothic" w:cs="Arial"/>
          <w:b/>
          <w:sz w:val="24"/>
          <w:szCs w:val="24"/>
        </w:rPr>
      </w:pPr>
    </w:p>
    <w:p w14:paraId="5B49FE40" w14:textId="2CB71C60" w:rsidR="006C5036" w:rsidRPr="0086631D" w:rsidRDefault="006C5036" w:rsidP="00023FE9">
      <w:pPr>
        <w:pStyle w:val="Sinespaciado"/>
        <w:spacing w:line="276" w:lineRule="auto"/>
        <w:jc w:val="center"/>
        <w:rPr>
          <w:rFonts w:ascii="Century Gothic" w:hAnsi="Century Gothic" w:cs="Arial"/>
          <w:b/>
          <w:sz w:val="24"/>
          <w:szCs w:val="24"/>
        </w:rPr>
      </w:pPr>
      <w:r w:rsidRPr="0086631D">
        <w:rPr>
          <w:rFonts w:ascii="Century Gothic" w:hAnsi="Century Gothic" w:cs="Arial"/>
          <w:b/>
          <w:sz w:val="24"/>
          <w:szCs w:val="24"/>
        </w:rPr>
        <w:t xml:space="preserve">MAGISTRADO MATEO MARTÍNEZ </w:t>
      </w:r>
      <w:proofErr w:type="spellStart"/>
      <w:r w:rsidRPr="0086631D">
        <w:rPr>
          <w:rFonts w:ascii="Century Gothic" w:hAnsi="Century Gothic" w:cs="Arial"/>
          <w:b/>
          <w:sz w:val="24"/>
          <w:szCs w:val="24"/>
        </w:rPr>
        <w:t>MARTÍNEZ</w:t>
      </w:r>
      <w:proofErr w:type="spellEnd"/>
      <w:r w:rsidR="00DE4B00">
        <w:rPr>
          <w:rFonts w:ascii="Century Gothic" w:hAnsi="Century Gothic" w:cs="Arial"/>
          <w:b/>
          <w:sz w:val="24"/>
          <w:szCs w:val="24"/>
        </w:rPr>
        <w:t>.</w:t>
      </w:r>
    </w:p>
    <w:p w14:paraId="3BAEC86F" w14:textId="7DAFC5F3" w:rsidR="006C5036" w:rsidRPr="0086631D" w:rsidRDefault="006C5036" w:rsidP="00A745A0">
      <w:pPr>
        <w:pStyle w:val="Sinespaciado"/>
        <w:spacing w:line="276" w:lineRule="auto"/>
        <w:jc w:val="center"/>
        <w:rPr>
          <w:rFonts w:ascii="Century Gothic" w:hAnsi="Century Gothic" w:cs="Arial"/>
          <w:b/>
          <w:sz w:val="24"/>
          <w:szCs w:val="24"/>
        </w:rPr>
      </w:pPr>
      <w:r w:rsidRPr="0086631D">
        <w:rPr>
          <w:rFonts w:ascii="Century Gothic" w:hAnsi="Century Gothic" w:cs="Arial"/>
          <w:b/>
          <w:sz w:val="24"/>
          <w:szCs w:val="24"/>
        </w:rPr>
        <w:t>PRESIDENTE</w:t>
      </w:r>
    </w:p>
    <w:p w14:paraId="495B6F31" w14:textId="063F1034" w:rsidR="006C5036" w:rsidRPr="0086631D" w:rsidRDefault="006C5036" w:rsidP="00A745A0">
      <w:pPr>
        <w:tabs>
          <w:tab w:val="center" w:pos="4135"/>
          <w:tab w:val="left" w:pos="7515"/>
        </w:tabs>
        <w:jc w:val="center"/>
        <w:rPr>
          <w:rFonts w:ascii="Century Gothic" w:hAnsi="Century Gothic" w:cs="Arial"/>
          <w:b/>
          <w:sz w:val="24"/>
          <w:szCs w:val="24"/>
        </w:rPr>
      </w:pPr>
    </w:p>
    <w:p w14:paraId="3C5D5782" w14:textId="77777777" w:rsidR="00406D0B" w:rsidRPr="0086631D" w:rsidRDefault="00406D0B" w:rsidP="00A745A0">
      <w:pPr>
        <w:tabs>
          <w:tab w:val="center" w:pos="4135"/>
          <w:tab w:val="left" w:pos="7515"/>
        </w:tabs>
        <w:jc w:val="center"/>
        <w:rPr>
          <w:rFonts w:ascii="Century Gothic" w:hAnsi="Century Gothic" w:cs="Arial"/>
          <w:b/>
          <w:sz w:val="24"/>
          <w:szCs w:val="24"/>
        </w:rPr>
      </w:pPr>
    </w:p>
    <w:p w14:paraId="52FF7881" w14:textId="5D514E06" w:rsidR="006C5036" w:rsidRDefault="006C5036" w:rsidP="00023FE9">
      <w:pPr>
        <w:tabs>
          <w:tab w:val="center" w:pos="4135"/>
          <w:tab w:val="left" w:pos="7515"/>
        </w:tabs>
        <w:spacing w:after="0"/>
        <w:jc w:val="center"/>
        <w:rPr>
          <w:rFonts w:ascii="Century Gothic" w:hAnsi="Century Gothic" w:cs="Arial"/>
          <w:b/>
          <w:sz w:val="24"/>
          <w:szCs w:val="24"/>
        </w:rPr>
      </w:pPr>
      <w:r w:rsidRPr="0086631D">
        <w:rPr>
          <w:rFonts w:ascii="Century Gothic" w:hAnsi="Century Gothic" w:cs="Arial"/>
          <w:b/>
          <w:sz w:val="24"/>
          <w:szCs w:val="24"/>
        </w:rPr>
        <w:t>MAGISTRADA CRUZ ITZEL ESPINOSA ROJAS</w:t>
      </w:r>
      <w:r w:rsidR="00DE4B00">
        <w:rPr>
          <w:rFonts w:ascii="Century Gothic" w:hAnsi="Century Gothic" w:cs="Arial"/>
          <w:b/>
          <w:sz w:val="24"/>
          <w:szCs w:val="24"/>
        </w:rPr>
        <w:t>.</w:t>
      </w:r>
    </w:p>
    <w:p w14:paraId="120EA30E" w14:textId="35AAAD30" w:rsidR="00564EE5" w:rsidRPr="0086631D" w:rsidRDefault="00564EE5" w:rsidP="00A745A0">
      <w:pPr>
        <w:tabs>
          <w:tab w:val="center" w:pos="4135"/>
          <w:tab w:val="left" w:pos="7515"/>
        </w:tabs>
        <w:jc w:val="center"/>
        <w:rPr>
          <w:rFonts w:ascii="Century Gothic" w:hAnsi="Century Gothic" w:cs="Arial"/>
          <w:b/>
          <w:sz w:val="24"/>
          <w:szCs w:val="24"/>
        </w:rPr>
      </w:pPr>
      <w:r>
        <w:rPr>
          <w:rFonts w:ascii="Century Gothic" w:hAnsi="Century Gothic" w:cs="Arial"/>
          <w:b/>
          <w:sz w:val="24"/>
          <w:szCs w:val="24"/>
        </w:rPr>
        <w:t>INTEGRANTE</w:t>
      </w:r>
    </w:p>
    <w:p w14:paraId="0E888EA6" w14:textId="77777777" w:rsidR="006C5036" w:rsidRPr="0086631D" w:rsidRDefault="006C5036" w:rsidP="00A745A0">
      <w:pPr>
        <w:tabs>
          <w:tab w:val="center" w:pos="4135"/>
          <w:tab w:val="left" w:pos="7515"/>
        </w:tabs>
        <w:jc w:val="center"/>
        <w:rPr>
          <w:rFonts w:ascii="Century Gothic" w:hAnsi="Century Gothic" w:cs="Arial"/>
          <w:b/>
          <w:sz w:val="24"/>
          <w:szCs w:val="24"/>
        </w:rPr>
      </w:pPr>
    </w:p>
    <w:p w14:paraId="72EB8C59" w14:textId="77777777" w:rsidR="006C5036" w:rsidRPr="0086631D" w:rsidRDefault="006C5036" w:rsidP="00A745A0">
      <w:pPr>
        <w:tabs>
          <w:tab w:val="center" w:pos="4135"/>
          <w:tab w:val="left" w:pos="7515"/>
        </w:tabs>
        <w:jc w:val="center"/>
        <w:rPr>
          <w:rFonts w:ascii="Century Gothic" w:hAnsi="Century Gothic" w:cs="Arial"/>
          <w:b/>
          <w:sz w:val="24"/>
          <w:szCs w:val="24"/>
        </w:rPr>
      </w:pPr>
    </w:p>
    <w:p w14:paraId="27D52057" w14:textId="1C8E654D" w:rsidR="006C5036" w:rsidRDefault="006C5036" w:rsidP="00023FE9">
      <w:pPr>
        <w:tabs>
          <w:tab w:val="center" w:pos="4135"/>
          <w:tab w:val="left" w:pos="7515"/>
        </w:tabs>
        <w:spacing w:after="0"/>
        <w:jc w:val="center"/>
        <w:rPr>
          <w:rFonts w:ascii="Century Gothic" w:hAnsi="Century Gothic" w:cs="Arial"/>
          <w:b/>
          <w:sz w:val="24"/>
          <w:szCs w:val="24"/>
        </w:rPr>
      </w:pPr>
      <w:r w:rsidRPr="0086631D">
        <w:rPr>
          <w:rFonts w:ascii="Century Gothic" w:hAnsi="Century Gothic" w:cs="Arial"/>
          <w:b/>
          <w:sz w:val="24"/>
          <w:szCs w:val="24"/>
        </w:rPr>
        <w:t xml:space="preserve">MAGISTRADO MANUEL DE JESÚS LÓPEZ </w:t>
      </w:r>
      <w:proofErr w:type="spellStart"/>
      <w:r w:rsidRPr="0086631D">
        <w:rPr>
          <w:rFonts w:ascii="Century Gothic" w:hAnsi="Century Gothic" w:cs="Arial"/>
          <w:b/>
          <w:sz w:val="24"/>
          <w:szCs w:val="24"/>
        </w:rPr>
        <w:t>LÓPEZ</w:t>
      </w:r>
      <w:proofErr w:type="spellEnd"/>
      <w:r w:rsidR="00564EE5">
        <w:rPr>
          <w:rFonts w:ascii="Century Gothic" w:hAnsi="Century Gothic" w:cs="Arial"/>
          <w:b/>
          <w:sz w:val="24"/>
          <w:szCs w:val="24"/>
        </w:rPr>
        <w:t>.</w:t>
      </w:r>
    </w:p>
    <w:p w14:paraId="50241314" w14:textId="16F46AAF" w:rsidR="00564EE5" w:rsidRDefault="00564EE5" w:rsidP="00A745A0">
      <w:pPr>
        <w:tabs>
          <w:tab w:val="center" w:pos="4135"/>
          <w:tab w:val="left" w:pos="7515"/>
        </w:tabs>
        <w:jc w:val="center"/>
        <w:rPr>
          <w:rFonts w:ascii="Century Gothic" w:hAnsi="Century Gothic" w:cs="Arial"/>
          <w:b/>
          <w:sz w:val="24"/>
          <w:szCs w:val="24"/>
        </w:rPr>
      </w:pPr>
      <w:r>
        <w:rPr>
          <w:rFonts w:ascii="Century Gothic" w:hAnsi="Century Gothic" w:cs="Arial"/>
          <w:b/>
          <w:sz w:val="24"/>
          <w:szCs w:val="24"/>
        </w:rPr>
        <w:t>INTEGRANTE</w:t>
      </w:r>
    </w:p>
    <w:p w14:paraId="43F53127" w14:textId="77777777" w:rsidR="00CE6556" w:rsidRDefault="00CE6556" w:rsidP="00A745A0">
      <w:pPr>
        <w:tabs>
          <w:tab w:val="left" w:pos="1925"/>
          <w:tab w:val="center" w:pos="4135"/>
        </w:tabs>
        <w:jc w:val="center"/>
        <w:rPr>
          <w:rFonts w:ascii="Century Gothic" w:hAnsi="Century Gothic" w:cs="Arial"/>
          <w:b/>
          <w:sz w:val="24"/>
          <w:szCs w:val="24"/>
        </w:rPr>
      </w:pPr>
    </w:p>
    <w:p w14:paraId="34A2C2AD" w14:textId="77777777" w:rsidR="00CE6556" w:rsidRDefault="00CE6556" w:rsidP="00A745A0">
      <w:pPr>
        <w:tabs>
          <w:tab w:val="left" w:pos="1925"/>
          <w:tab w:val="center" w:pos="4135"/>
        </w:tabs>
        <w:jc w:val="center"/>
        <w:rPr>
          <w:rFonts w:ascii="Century Gothic" w:hAnsi="Century Gothic" w:cs="Arial"/>
          <w:b/>
          <w:sz w:val="24"/>
          <w:szCs w:val="24"/>
        </w:rPr>
      </w:pPr>
    </w:p>
    <w:p w14:paraId="0300E27D" w14:textId="000217D9" w:rsidR="006C5036" w:rsidRPr="0086631D" w:rsidRDefault="00023FE9" w:rsidP="00023FE9">
      <w:pPr>
        <w:tabs>
          <w:tab w:val="left" w:pos="1925"/>
          <w:tab w:val="center" w:pos="4135"/>
        </w:tabs>
        <w:spacing w:after="0"/>
        <w:jc w:val="center"/>
        <w:rPr>
          <w:rFonts w:ascii="Century Gothic" w:hAnsi="Century Gothic" w:cs="Arial"/>
          <w:b/>
          <w:sz w:val="24"/>
          <w:szCs w:val="24"/>
        </w:rPr>
      </w:pPr>
      <w:r>
        <w:rPr>
          <w:rFonts w:ascii="Century Gothic" w:hAnsi="Century Gothic" w:cs="Arial"/>
          <w:b/>
          <w:sz w:val="24"/>
          <w:szCs w:val="24"/>
        </w:rPr>
        <w:t>MAESTRA</w:t>
      </w:r>
      <w:r w:rsidR="006C5036" w:rsidRPr="0086631D">
        <w:rPr>
          <w:rFonts w:ascii="Century Gothic" w:hAnsi="Century Gothic" w:cs="Arial"/>
          <w:b/>
          <w:sz w:val="24"/>
          <w:szCs w:val="24"/>
        </w:rPr>
        <w:t xml:space="preserve"> LIZBETH JESSICA GALLARDO MARTÍNEZ</w:t>
      </w:r>
      <w:r w:rsidR="00DE4B00">
        <w:rPr>
          <w:rFonts w:ascii="Century Gothic" w:hAnsi="Century Gothic" w:cs="Arial"/>
          <w:b/>
          <w:sz w:val="24"/>
          <w:szCs w:val="24"/>
        </w:rPr>
        <w:t>.</w:t>
      </w:r>
    </w:p>
    <w:p w14:paraId="3D65419E" w14:textId="17851C10" w:rsidR="00287983" w:rsidRPr="00691B5B" w:rsidRDefault="006C5036" w:rsidP="00691B5B">
      <w:pPr>
        <w:pStyle w:val="Sinespaciado"/>
        <w:spacing w:line="276" w:lineRule="auto"/>
        <w:jc w:val="center"/>
        <w:rPr>
          <w:rFonts w:ascii="Century Gothic" w:hAnsi="Century Gothic" w:cs="Arial"/>
          <w:b/>
          <w:sz w:val="24"/>
          <w:szCs w:val="24"/>
        </w:rPr>
      </w:pPr>
      <w:r w:rsidRPr="0086631D">
        <w:rPr>
          <w:rFonts w:ascii="Century Gothic" w:hAnsi="Century Gothic" w:cs="Arial"/>
          <w:b/>
          <w:sz w:val="24"/>
          <w:szCs w:val="24"/>
        </w:rPr>
        <w:t>SECRETARIA GENERAL DE ACUERDOS</w:t>
      </w:r>
    </w:p>
    <w:sectPr w:rsidR="00287983" w:rsidRPr="00691B5B" w:rsidSect="00E15846">
      <w:headerReference w:type="even" r:id="rId9"/>
      <w:headerReference w:type="default" r:id="rId10"/>
      <w:footerReference w:type="even" r:id="rId11"/>
      <w:footerReference w:type="default" r:id="rId12"/>
      <w:headerReference w:type="first" r:id="rId13"/>
      <w:footerReference w:type="first" r:id="rId14"/>
      <w:pgSz w:w="12240" w:h="20160" w:code="5"/>
      <w:pgMar w:top="1843" w:right="1892" w:bottom="1985" w:left="184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40E7E" w14:textId="77777777" w:rsidR="00460145" w:rsidRDefault="00460145">
      <w:pPr>
        <w:spacing w:after="0" w:line="240" w:lineRule="auto"/>
      </w:pPr>
      <w:r>
        <w:separator/>
      </w:r>
    </w:p>
  </w:endnote>
  <w:endnote w:type="continuationSeparator" w:id="0">
    <w:p w14:paraId="0DE0393D" w14:textId="77777777" w:rsidR="00460145" w:rsidRDefault="00460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EE44C" w14:textId="77777777" w:rsidR="00C21C4E" w:rsidRDefault="00C21C4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979945"/>
      <w:docPartObj>
        <w:docPartGallery w:val="Page Numbers (Bottom of Page)"/>
        <w:docPartUnique/>
      </w:docPartObj>
    </w:sdtPr>
    <w:sdtEndPr/>
    <w:sdtContent>
      <w:p w14:paraId="23931797" w14:textId="2D451727" w:rsidR="00CE6556" w:rsidRDefault="00CE6556">
        <w:pPr>
          <w:pStyle w:val="Piedepgina"/>
          <w:jc w:val="center"/>
        </w:pPr>
        <w:r>
          <w:fldChar w:fldCharType="begin"/>
        </w:r>
        <w:r>
          <w:instrText>PAGE   \* MERGEFORMAT</w:instrText>
        </w:r>
        <w:r>
          <w:fldChar w:fldCharType="separate"/>
        </w:r>
        <w:r w:rsidR="0014082F" w:rsidRPr="0014082F">
          <w:rPr>
            <w:noProof/>
            <w:lang w:val="es-ES"/>
          </w:rPr>
          <w:t>15</w:t>
        </w:r>
        <w:r>
          <w:fldChar w:fldCharType="end"/>
        </w:r>
      </w:p>
    </w:sdtContent>
  </w:sdt>
  <w:p w14:paraId="195FF414" w14:textId="77777777" w:rsidR="00655491" w:rsidRDefault="0065549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597AE" w14:textId="77777777" w:rsidR="00C21C4E" w:rsidRDefault="00C21C4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42A6B" w14:textId="77777777" w:rsidR="00460145" w:rsidRDefault="00460145">
      <w:pPr>
        <w:spacing w:after="0" w:line="240" w:lineRule="auto"/>
      </w:pPr>
      <w:r>
        <w:separator/>
      </w:r>
    </w:p>
  </w:footnote>
  <w:footnote w:type="continuationSeparator" w:id="0">
    <w:p w14:paraId="482C2187" w14:textId="77777777" w:rsidR="00460145" w:rsidRDefault="00460145">
      <w:pPr>
        <w:spacing w:after="0" w:line="240" w:lineRule="auto"/>
      </w:pPr>
      <w:r>
        <w:continuationSeparator/>
      </w:r>
    </w:p>
  </w:footnote>
  <w:footnote w:id="1">
    <w:p w14:paraId="7932381A" w14:textId="0DA7D4CB" w:rsidR="00406D0B" w:rsidRDefault="00406D0B" w:rsidP="00406D0B">
      <w:pPr>
        <w:pStyle w:val="Textonotapie"/>
        <w:jc w:val="both"/>
      </w:pPr>
      <w:r>
        <w:rPr>
          <w:rStyle w:val="Refdenotaalpie"/>
        </w:rPr>
        <w:footnoteRef/>
      </w:r>
      <w:r>
        <w:t xml:space="preserve"> Publicado en el </w:t>
      </w:r>
      <w:r w:rsidR="00EA3728">
        <w:t>Periódico Oficial del Gobierno del Estado</w:t>
      </w:r>
      <w:r>
        <w:t xml:space="preserve"> y con entrada en vigor el veintidós de julio del dos mi veintitrés cuya lectura literal es: “CAPÍTULO III DEL TRIBUNAL DE JUSTICIA ADMINISTRATIVA Y COMBATE A LA CORRUPCIÓN DEL ESTADO DE OAXACA. Artículo 114 </w:t>
      </w:r>
      <w:proofErr w:type="spellStart"/>
      <w:r>
        <w:t>Quáter</w:t>
      </w:r>
      <w:proofErr w:type="spellEnd"/>
      <w:r>
        <w:t>. El Tribunal de Justicia Administrativa y Combate a la Corrupción del Estado de Oaxaca,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w:t>
      </w:r>
    </w:p>
    <w:p w14:paraId="169F4644" w14:textId="77777777" w:rsidR="00406D0B" w:rsidRDefault="00406D0B" w:rsidP="00406D0B">
      <w:pPr>
        <w:pStyle w:val="Textonotapie"/>
      </w:pPr>
      <w:r>
        <w:t>(…)</w:t>
      </w:r>
    </w:p>
    <w:p w14:paraId="05D65010" w14:textId="77576C40" w:rsidR="00406D0B" w:rsidRDefault="00406D0B" w:rsidP="00406D0B">
      <w:pPr>
        <w:pStyle w:val="Textonotapie"/>
      </w:pPr>
      <w:r>
        <w:t>La Sala Superior del Tribunal se compondrá de tres Magistrados y actuará en Pleno” (…)</w:t>
      </w:r>
    </w:p>
  </w:footnote>
  <w:footnote w:id="2">
    <w:p w14:paraId="713537D7" w14:textId="3082B92F" w:rsidR="00CC19BA" w:rsidRDefault="00CC19BA" w:rsidP="00CC19BA">
      <w:pPr>
        <w:pStyle w:val="Textonotapie"/>
        <w:jc w:val="both"/>
      </w:pPr>
      <w:r>
        <w:rPr>
          <w:rStyle w:val="Refdenotaalpie"/>
        </w:rPr>
        <w:footnoteRef/>
      </w:r>
      <w:r>
        <w:t xml:space="preserve"> ARTÍCULO 39.- Las actuaciones y diligencias administrativas se practicarán en días y horas hábiles. En los plazos fijados en días no se contarán los inhábiles, salvo disposición en contrario. No se considerarán días hábiles: los sábados, los domingos, el 1 de enero; el primer lunes del mes de febrero en conmemoración del 5 de febrero; el tercer lunes del mes de marzo en conmemoración del 21 de marzo; el 1 de mayo; 16 de septiembre; el tercer lunes del mes de noviembre en conmemoración del 20 de noviembre; y el 25 de diciembre, así como los días en que tengan vacaciones generales las autoridades competentes o aquéllos en que se suspendan las labores, los que se harán del conocimiento público mediante acuerdo del titular de la Dependencia, entidad o Ayuntamiento respectivo, que se publicará en el Periódico Oficial del Gobierno del Estado, en la página electrónica del Tribunal y los estrados. Los términos podrán suspenderse por causa de fuerza mayor o caso fortuito, mediante acuerdo debidamente fundado y motivado por la autoridad competente.</w:t>
      </w:r>
    </w:p>
  </w:footnote>
  <w:footnote w:id="3">
    <w:p w14:paraId="311E5020" w14:textId="77777777" w:rsidR="00E13363" w:rsidRPr="0086631D" w:rsidRDefault="00E13363" w:rsidP="00E13363">
      <w:pPr>
        <w:spacing w:before="240" w:line="240" w:lineRule="auto"/>
        <w:ind w:left="567" w:right="333"/>
        <w:jc w:val="both"/>
        <w:rPr>
          <w:rFonts w:ascii="Century Gothic" w:eastAsia="Times New Roman" w:hAnsi="Century Gothic" w:cs="Arial"/>
          <w:i/>
          <w:iCs/>
          <w:sz w:val="24"/>
          <w:szCs w:val="24"/>
        </w:rPr>
      </w:pPr>
      <w:r>
        <w:rPr>
          <w:rStyle w:val="Refdenotaalpie"/>
        </w:rPr>
        <w:footnoteRef/>
      </w:r>
      <w:r>
        <w:t xml:space="preserve"> </w:t>
      </w:r>
      <w:r w:rsidRPr="0086631D">
        <w:rPr>
          <w:rFonts w:ascii="Century Gothic" w:eastAsia="Times New Roman" w:hAnsi="Century Gothic" w:cs="Arial"/>
          <w:b/>
          <w:bCs/>
          <w:i/>
          <w:iCs/>
          <w:sz w:val="24"/>
          <w:szCs w:val="24"/>
        </w:rPr>
        <w:t>“</w:t>
      </w:r>
      <w:r w:rsidRPr="00E13363">
        <w:rPr>
          <w:rFonts w:ascii="Century Gothic" w:eastAsia="Times New Roman" w:hAnsi="Century Gothic" w:cs="Arial"/>
          <w:b/>
          <w:bCs/>
          <w:i/>
          <w:iCs/>
          <w:sz w:val="20"/>
          <w:szCs w:val="20"/>
        </w:rPr>
        <w:t xml:space="preserve">CONCEPTOS DE VIOLACIÓN O AGRAVIOS. PARA CUMPLIR CON LOS PRINCIPIOS DE CONGRUENCIA Y EXHAUSTIVIDAD EN LAS SENTENCIAS DE AMPARO ES INNECESARIA SU TRANSCRIPCIÓN”. </w:t>
      </w:r>
      <w:r w:rsidRPr="00E13363">
        <w:rPr>
          <w:rFonts w:ascii="Century Gothic" w:eastAsia="Times New Roman" w:hAnsi="Century Gothic" w:cs="Arial"/>
          <w:i/>
          <w:iCs/>
          <w:sz w:val="20"/>
          <w:szCs w:val="2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61CCFA4" w14:textId="6C2C0E50" w:rsidR="00E13363" w:rsidRDefault="00E13363">
      <w:pPr>
        <w:pStyle w:val="Textonotapie"/>
      </w:pPr>
    </w:p>
  </w:footnote>
  <w:footnote w:id="4">
    <w:p w14:paraId="4A3B6D63" w14:textId="77777777" w:rsidR="00A745A0" w:rsidRPr="0086631D" w:rsidRDefault="00A745A0" w:rsidP="00A745A0">
      <w:pPr>
        <w:pStyle w:val="NormalWeb"/>
        <w:shd w:val="clear" w:color="auto" w:fill="FFFFFF"/>
        <w:spacing w:beforeAutospacing="0" w:after="240" w:afterAutospacing="0"/>
        <w:ind w:left="567" w:right="616"/>
        <w:jc w:val="both"/>
        <w:rPr>
          <w:rFonts w:ascii="Century Gothic" w:hAnsi="Century Gothic" w:cs="Calibri"/>
          <w:b/>
          <w:bCs/>
        </w:rPr>
      </w:pPr>
      <w:r>
        <w:rPr>
          <w:rStyle w:val="Refdenotaalpie"/>
        </w:rPr>
        <w:footnoteRef/>
      </w:r>
      <w:r>
        <w:t xml:space="preserve"> </w:t>
      </w:r>
      <w:r w:rsidRPr="0086631D">
        <w:rPr>
          <w:rFonts w:ascii="Century Gothic" w:hAnsi="Century Gothic" w:cs="Calibri"/>
          <w:b/>
          <w:bCs/>
        </w:rPr>
        <w:t>“</w:t>
      </w:r>
      <w:r w:rsidRPr="00A745A0">
        <w:rPr>
          <w:rFonts w:ascii="Century Gothic" w:hAnsi="Century Gothic" w:cs="Calibri"/>
          <w:b/>
          <w:bCs/>
          <w:sz w:val="20"/>
          <w:szCs w:val="20"/>
        </w:rPr>
        <w:t xml:space="preserve">AGRAVIOS INOPERANTES EN LA REVISIÓN. LO SON LAS SIMPLES EXPRESIONES GENÉRICAS Y ABSTRACTAS CUANDO NO PROCEDE LA SUPLENCIA DE LA QUEJA DEFICIENTE. </w:t>
      </w:r>
      <w:r w:rsidRPr="00A745A0">
        <w:rPr>
          <w:rFonts w:ascii="Century Gothic" w:hAnsi="Century Gothic" w:cs="Calibri"/>
          <w:sz w:val="20"/>
          <w:szCs w:val="20"/>
        </w:rPr>
        <w:t>Si no se está en el caso de suplir la deficiencia de los agravios en términos del artículo </w:t>
      </w:r>
      <w:hyperlink r:id="rId1" w:history="1">
        <w:r w:rsidRPr="00A745A0">
          <w:rPr>
            <w:rStyle w:val="Hipervnculo"/>
            <w:rFonts w:ascii="Century Gothic" w:hAnsi="Century Gothic" w:cs="Calibri"/>
            <w:color w:val="auto"/>
            <w:sz w:val="20"/>
            <w:szCs w:val="20"/>
            <w:u w:val="none"/>
          </w:rPr>
          <w:t>76 Bis, fracción VI, de la Ley de Amparo</w:t>
        </w:r>
      </w:hyperlink>
      <w:r w:rsidRPr="00A745A0">
        <w:rPr>
          <w:rFonts w:ascii="Century Gothic" w:hAnsi="Century Gothic" w:cs="Calibri"/>
          <w:sz w:val="20"/>
          <w:szCs w:val="20"/>
        </w:rPr>
        <w:t>, no basta que el recurrente exprese sus agravios en forma genérica y abstracta, es decir, que se concrete a hacer simples aseveraciones para que el Tribunal Colegiado emprenda el examen de la legalidad de la resolución recurrida 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Pr="00A745A0">
        <w:rPr>
          <w:rFonts w:ascii="Century Gothic" w:hAnsi="Century Gothic" w:cs="Calibri"/>
          <w:b/>
          <w:bCs/>
          <w:sz w:val="20"/>
          <w:szCs w:val="20"/>
        </w:rPr>
        <w:t>”</w:t>
      </w:r>
    </w:p>
    <w:p w14:paraId="786CC0A4" w14:textId="234A2B75" w:rsidR="00A745A0" w:rsidRDefault="00A745A0">
      <w:pPr>
        <w:pStyle w:val="Textonotapie"/>
      </w:pPr>
    </w:p>
  </w:footnote>
  <w:footnote w:id="5">
    <w:p w14:paraId="74BD335F" w14:textId="532DCB3C" w:rsidR="0003052C" w:rsidRDefault="005C6D2A" w:rsidP="0003052C">
      <w:pPr>
        <w:pStyle w:val="Textonotapie"/>
        <w:jc w:val="both"/>
      </w:pPr>
      <w:r>
        <w:rPr>
          <w:rStyle w:val="Refdenotaalpie"/>
        </w:rPr>
        <w:footnoteRef/>
      </w:r>
      <w:r>
        <w:t xml:space="preserve"> </w:t>
      </w:r>
      <w:r w:rsidR="0003052C">
        <w:t xml:space="preserve">ARTÍCULO 59.- Son obligaciones de los conductores de vehículos automotores para que puedan circular libremente en la jurisdicción del Municipio de Oaxaca de Juárez: </w:t>
      </w:r>
    </w:p>
    <w:p w14:paraId="6B1EE7B3" w14:textId="77777777" w:rsidR="0003052C" w:rsidRDefault="0003052C" w:rsidP="0003052C">
      <w:pPr>
        <w:pStyle w:val="Textonotapie"/>
        <w:jc w:val="both"/>
      </w:pPr>
      <w:r>
        <w:t>I. Obedecer las indicaciones de los semáforos para vehículos, de la siguiente manera:</w:t>
      </w:r>
    </w:p>
    <w:p w14:paraId="110C697F" w14:textId="6FA633EB" w:rsidR="005C6D2A" w:rsidRDefault="0003052C" w:rsidP="0003052C">
      <w:pPr>
        <w:pStyle w:val="Textonotapie"/>
        <w:jc w:val="both"/>
      </w:pPr>
      <w:r>
        <w:t xml:space="preserve"> 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14:paraId="5622A64C" w14:textId="14612F0E" w:rsidR="0003052C" w:rsidRDefault="0003052C" w:rsidP="0003052C">
      <w:pPr>
        <w:pStyle w:val="Textonotapie"/>
        <w:jc w:val="both"/>
      </w:pPr>
      <w:r>
        <w:t>d) Frente a una indicación de luz roja del semáforo, los conductores deberán de 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p>
  </w:footnote>
  <w:footnote w:id="6">
    <w:p w14:paraId="61E991FD" w14:textId="5ED3DDC8" w:rsidR="002D32F5" w:rsidRDefault="002D32F5" w:rsidP="00C27A33">
      <w:pPr>
        <w:pStyle w:val="Textonotapie"/>
        <w:ind w:left="-284"/>
        <w:jc w:val="both"/>
      </w:pPr>
      <w:r>
        <w:rPr>
          <w:rStyle w:val="Refdenotaalpie"/>
        </w:rPr>
        <w:footnoteRef/>
      </w:r>
      <w:r>
        <w:t xml:space="preserve"> </w:t>
      </w:r>
      <w:r w:rsidR="00126C0C" w:rsidRPr="00126C0C">
        <w:t xml:space="preserve">"COMPETENCIA.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00126C0C" w:rsidRPr="00126C0C">
        <w:t>subincisos</w:t>
      </w:r>
      <w:proofErr w:type="spellEnd"/>
      <w:r w:rsidR="00126C0C" w:rsidRPr="00126C0C">
        <w:t>,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5008813"/>
      <w:docPartObj>
        <w:docPartGallery w:val="Page Numbers (Top of Page)"/>
        <w:docPartUnique/>
      </w:docPartObj>
    </w:sdtPr>
    <w:sdtEndPr/>
    <w:sdtContent>
      <w:p w14:paraId="0409FE29" w14:textId="339B64DE" w:rsidR="00655491" w:rsidRDefault="00CE6556">
        <w:pPr>
          <w:pStyle w:val="Encabezado"/>
          <w:jc w:val="center"/>
        </w:pPr>
        <w:r w:rsidRPr="00FD3036">
          <w:rPr>
            <w:rFonts w:asciiTheme="minorHAnsi" w:hAnsiTheme="minorHAnsi" w:cstheme="minorHAnsi"/>
            <w:noProof/>
            <w:color w:val="0D0D0D" w:themeColor="text1" w:themeTint="F2"/>
            <w:sz w:val="16"/>
            <w:szCs w:val="16"/>
            <w:lang w:eastAsia="es-MX"/>
          </w:rPr>
          <w:drawing>
            <wp:anchor distT="0" distB="0" distL="114300" distR="114300" simplePos="0" relativeHeight="251664896" behindDoc="0" locked="0" layoutInCell="1" allowOverlap="1" wp14:anchorId="6C1ABC3C" wp14:editId="1A475E7F">
              <wp:simplePos x="0" y="0"/>
              <wp:positionH relativeFrom="column">
                <wp:posOffset>-742950</wp:posOffset>
              </wp:positionH>
              <wp:positionV relativeFrom="paragraph">
                <wp:posOffset>-130175</wp:posOffset>
              </wp:positionV>
              <wp:extent cx="1620353" cy="495300"/>
              <wp:effectExtent l="0" t="0" r="0" b="0"/>
              <wp:wrapNone/>
              <wp:docPr id="1959862719" name="Imagen 195986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8722" b="8590"/>
                      <a:stretch/>
                    </pic:blipFill>
                    <pic:spPr bwMode="auto">
                      <a:xfrm>
                        <a:off x="0" y="0"/>
                        <a:ext cx="1620353" cy="495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55491">
          <w:fldChar w:fldCharType="begin"/>
        </w:r>
        <w:r w:rsidR="00655491">
          <w:instrText>PAGE   \* MERGEFORMAT</w:instrText>
        </w:r>
        <w:r w:rsidR="00655491">
          <w:fldChar w:fldCharType="separate"/>
        </w:r>
        <w:r w:rsidRPr="00CE6556">
          <w:rPr>
            <w:noProof/>
            <w:lang w:val="es-ES"/>
          </w:rPr>
          <w:t>2</w:t>
        </w:r>
        <w:r w:rsidR="00655491">
          <w:fldChar w:fldCharType="end"/>
        </w:r>
      </w:p>
    </w:sdtContent>
  </w:sdt>
  <w:p w14:paraId="7ABA68B5" w14:textId="28C5DC79" w:rsidR="00CE6556" w:rsidRPr="00CE6556" w:rsidRDefault="00CE6556" w:rsidP="00CE6556">
    <w:pPr>
      <w:pStyle w:val="Encabezado"/>
      <w:ind w:left="1276"/>
      <w:jc w:val="center"/>
      <w:rPr>
        <w:rFonts w:asciiTheme="minorHAnsi" w:hAnsiTheme="minorHAnsi" w:cstheme="minorHAnsi"/>
        <w:b/>
        <w:bCs/>
        <w:sz w:val="20"/>
        <w:szCs w:val="20"/>
      </w:rPr>
    </w:pPr>
    <w:r w:rsidRPr="00CE6556">
      <w:rPr>
        <w:rFonts w:asciiTheme="minorHAnsi" w:hAnsiTheme="minorHAnsi" w:cstheme="minorHAnsi"/>
        <w:b/>
        <w:bCs/>
        <w:sz w:val="20"/>
        <w:szCs w:val="20"/>
      </w:rPr>
      <w:t xml:space="preserve">SALA SUPERIOR DEL TRIBUNAL DE JUSTICIA ADMINISTRATIVA Y COMBATE A LA CORRUPCIÓN DEL ESTADO DE OAXACA </w:t>
    </w:r>
  </w:p>
  <w:p w14:paraId="0E68208C" w14:textId="6B796FB6" w:rsidR="00655491" w:rsidRPr="00CE6556" w:rsidRDefault="00E15846" w:rsidP="00CE6556">
    <w:pPr>
      <w:pStyle w:val="Encabezado"/>
      <w:jc w:val="center"/>
      <w:rPr>
        <w:rFonts w:asciiTheme="minorHAnsi" w:hAnsiTheme="minorHAnsi" w:cstheme="minorHAnsi"/>
        <w:b/>
        <w:sz w:val="20"/>
        <w:szCs w:val="20"/>
      </w:rPr>
    </w:pPr>
    <w:r>
      <w:rPr>
        <w:noProof/>
      </w:rPr>
      <w:drawing>
        <wp:anchor distT="0" distB="0" distL="114300" distR="114300" simplePos="0" relativeHeight="251667968" behindDoc="1" locked="0" layoutInCell="1" allowOverlap="1" wp14:anchorId="211BCAC8" wp14:editId="791EF0E4">
          <wp:simplePos x="0" y="0"/>
          <wp:positionH relativeFrom="column">
            <wp:posOffset>-1134110</wp:posOffset>
          </wp:positionH>
          <wp:positionV relativeFrom="paragraph">
            <wp:posOffset>2330450</wp:posOffset>
          </wp:positionV>
          <wp:extent cx="1030605" cy="1256030"/>
          <wp:effectExtent l="0" t="0" r="0" b="1270"/>
          <wp:wrapNone/>
          <wp:docPr id="16764742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r w:rsidR="00DC199F" w:rsidRPr="00CE6556">
      <w:rPr>
        <w:rFonts w:asciiTheme="minorHAnsi" w:hAnsiTheme="minorHAnsi" w:cstheme="minorHAnsi"/>
        <w:b/>
        <w:noProof/>
        <w:color w:val="0D0D0D" w:themeColor="text1" w:themeTint="F2"/>
        <w:sz w:val="20"/>
        <w:szCs w:val="20"/>
        <w:lang w:eastAsia="es-MX"/>
      </w:rPr>
      <w:drawing>
        <wp:anchor distT="0" distB="0" distL="114300" distR="114300" simplePos="0" relativeHeight="251656704" behindDoc="1" locked="0" layoutInCell="1" allowOverlap="1" wp14:anchorId="5D9650F8" wp14:editId="0A7995A6">
          <wp:simplePos x="0" y="0"/>
          <wp:positionH relativeFrom="margin">
            <wp:align>center</wp:align>
          </wp:positionH>
          <wp:positionV relativeFrom="paragraph">
            <wp:posOffset>3046248</wp:posOffset>
          </wp:positionV>
          <wp:extent cx="3790950" cy="2609850"/>
          <wp:effectExtent l="0" t="0" r="0" b="1733550"/>
          <wp:wrapNone/>
          <wp:docPr id="669162253" name="Imagen 66916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cstate="print">
                    <a:lum bright="70000" contrast="-70000"/>
                    <a:extLst>
                      <a:ext uri="{BEBA8EAE-BF5A-486C-A8C5-ECC9F3942E4B}">
                        <a14:imgProps xmlns:a14="http://schemas.microsoft.com/office/drawing/2010/main">
                          <a14:imgLayer r:embed="rId4">
                            <a14:imgEffect>
                              <a14:colorTemperature colorTemp="6453"/>
                            </a14:imgEffect>
                            <a14:imgEffect>
                              <a14:saturation sat="126000"/>
                            </a14:imgEffect>
                          </a14:imgLayer>
                        </a14:imgProps>
                      </a:ext>
                      <a:ext uri="{28A0092B-C50C-407E-A947-70E740481C1C}">
                        <a14:useLocalDpi xmlns:a14="http://schemas.microsoft.com/office/drawing/2010/main" val="0"/>
                      </a:ext>
                    </a:extLst>
                  </a:blip>
                  <a:srcRect t="8722" b="8590"/>
                  <a:stretch/>
                </pic:blipFill>
                <pic:spPr bwMode="auto">
                  <a:xfrm>
                    <a:off x="0" y="0"/>
                    <a:ext cx="3790950" cy="2609850"/>
                  </a:xfrm>
                  <a:prstGeom prst="rect">
                    <a:avLst/>
                  </a:prstGeom>
                  <a:noFill/>
                  <a:ln>
                    <a:noFill/>
                  </a:ln>
                  <a:effectLst>
                    <a:reflection stA="22000" endPos="65000" dist="508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E6556" w:rsidRPr="00CE6556">
      <w:rPr>
        <w:rFonts w:asciiTheme="minorHAnsi" w:hAnsiTheme="minorHAnsi" w:cstheme="minorHAnsi"/>
        <w:b/>
        <w:sz w:val="20"/>
        <w:szCs w:val="20"/>
      </w:rPr>
      <w:t>R.R.0125/2023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B874C" w14:textId="10C3FCFE" w:rsidR="00655491" w:rsidRDefault="00CE6556">
    <w:pPr>
      <w:pStyle w:val="Encabezado"/>
      <w:jc w:val="center"/>
    </w:pPr>
    <w:r w:rsidRPr="00FD3036">
      <w:rPr>
        <w:rFonts w:asciiTheme="minorHAnsi" w:hAnsiTheme="minorHAnsi" w:cstheme="minorHAnsi"/>
        <w:noProof/>
        <w:color w:val="0D0D0D" w:themeColor="text1" w:themeTint="F2"/>
        <w:sz w:val="16"/>
        <w:szCs w:val="16"/>
        <w:lang w:eastAsia="es-MX"/>
      </w:rPr>
      <w:drawing>
        <wp:anchor distT="0" distB="0" distL="114300" distR="114300" simplePos="0" relativeHeight="251660800" behindDoc="0" locked="0" layoutInCell="1" allowOverlap="1" wp14:anchorId="5FEED868" wp14:editId="6B644D6E">
          <wp:simplePos x="0" y="0"/>
          <wp:positionH relativeFrom="column">
            <wp:posOffset>-838200</wp:posOffset>
          </wp:positionH>
          <wp:positionV relativeFrom="paragraph">
            <wp:posOffset>48895</wp:posOffset>
          </wp:positionV>
          <wp:extent cx="1620353" cy="495300"/>
          <wp:effectExtent l="0" t="0" r="0" b="0"/>
          <wp:wrapNone/>
          <wp:docPr id="1072719140" name="Imagen 1072719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8722" b="8590"/>
                  <a:stretch/>
                </pic:blipFill>
                <pic:spPr bwMode="auto">
                  <a:xfrm>
                    <a:off x="0" y="0"/>
                    <a:ext cx="1620353" cy="495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F707B1" w14:textId="6FAABC3E" w:rsidR="00CE6556" w:rsidRPr="00CE6556" w:rsidRDefault="00CE6556" w:rsidP="00CE6556">
    <w:pPr>
      <w:pStyle w:val="Encabezado"/>
      <w:ind w:left="1276"/>
      <w:jc w:val="center"/>
      <w:rPr>
        <w:rFonts w:asciiTheme="minorHAnsi" w:hAnsiTheme="minorHAnsi" w:cstheme="minorHAnsi"/>
        <w:b/>
        <w:bCs/>
        <w:sz w:val="20"/>
        <w:szCs w:val="20"/>
      </w:rPr>
    </w:pPr>
    <w:r w:rsidRPr="00CE6556">
      <w:rPr>
        <w:rFonts w:asciiTheme="minorHAnsi" w:hAnsiTheme="minorHAnsi" w:cstheme="minorHAnsi"/>
        <w:b/>
        <w:bCs/>
        <w:sz w:val="20"/>
        <w:szCs w:val="20"/>
      </w:rPr>
      <w:t xml:space="preserve">SALA SUPERIOR DEL </w:t>
    </w:r>
    <w:bookmarkStart w:id="3" w:name="_Hlk144203161"/>
    <w:r w:rsidRPr="00CE6556">
      <w:rPr>
        <w:rFonts w:asciiTheme="minorHAnsi" w:hAnsiTheme="minorHAnsi" w:cstheme="minorHAnsi"/>
        <w:b/>
        <w:bCs/>
        <w:sz w:val="20"/>
        <w:szCs w:val="20"/>
      </w:rPr>
      <w:t xml:space="preserve">TRIBUNAL DE JUSTICIA ADMINISTRATIVA Y COMBATE A LA CORRUPCIÓN DEL ESTADO DE OAXACA </w:t>
    </w:r>
    <w:bookmarkEnd w:id="3"/>
  </w:p>
  <w:p w14:paraId="5462B060" w14:textId="29A29CFC" w:rsidR="00CE6556" w:rsidRPr="00CE6556" w:rsidRDefault="00CE6556" w:rsidP="00CE6556">
    <w:pPr>
      <w:pStyle w:val="Encabezado"/>
      <w:ind w:left="1276"/>
      <w:jc w:val="center"/>
      <w:rPr>
        <w:rFonts w:asciiTheme="minorHAnsi" w:hAnsiTheme="minorHAnsi" w:cstheme="minorHAnsi"/>
        <w:b/>
        <w:bCs/>
        <w:sz w:val="20"/>
        <w:szCs w:val="20"/>
      </w:rPr>
    </w:pPr>
    <w:r w:rsidRPr="00CE6556">
      <w:rPr>
        <w:rFonts w:asciiTheme="minorHAnsi" w:hAnsiTheme="minorHAnsi" w:cstheme="minorHAnsi"/>
        <w:b/>
        <w:bCs/>
        <w:sz w:val="20"/>
        <w:szCs w:val="20"/>
      </w:rPr>
      <w:t>R.R. 0125/2023</w:t>
    </w:r>
  </w:p>
  <w:p w14:paraId="51E22156" w14:textId="3963F93D" w:rsidR="00655491" w:rsidRDefault="00E15846" w:rsidP="00CE6556">
    <w:pPr>
      <w:pStyle w:val="Encabezado"/>
      <w:tabs>
        <w:tab w:val="left" w:pos="142"/>
      </w:tabs>
      <w:ind w:left="2835"/>
      <w:jc w:val="both"/>
    </w:pPr>
    <w:r>
      <w:rPr>
        <w:noProof/>
      </w:rPr>
      <w:drawing>
        <wp:anchor distT="0" distB="0" distL="114300" distR="114300" simplePos="0" relativeHeight="251666944" behindDoc="0" locked="0" layoutInCell="1" allowOverlap="1" wp14:anchorId="059DC2CA" wp14:editId="74268882">
          <wp:simplePos x="0" y="0"/>
          <wp:positionH relativeFrom="column">
            <wp:posOffset>-1059815</wp:posOffset>
          </wp:positionH>
          <wp:positionV relativeFrom="paragraph">
            <wp:posOffset>2121535</wp:posOffset>
          </wp:positionV>
          <wp:extent cx="1028700" cy="1257300"/>
          <wp:effectExtent l="0" t="0" r="0" b="0"/>
          <wp:wrapNone/>
          <wp:docPr id="8429254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25432"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6D4AF" w14:textId="78B0CE08" w:rsidR="00CE6556" w:rsidRPr="00CE6556" w:rsidRDefault="00CE6556" w:rsidP="00CE6556">
    <w:pPr>
      <w:pStyle w:val="Encabezado"/>
      <w:ind w:left="1276"/>
      <w:jc w:val="center"/>
      <w:rPr>
        <w:rFonts w:asciiTheme="minorHAnsi" w:hAnsiTheme="minorHAnsi" w:cstheme="minorHAnsi"/>
        <w:b/>
        <w:bCs/>
        <w:sz w:val="20"/>
        <w:szCs w:val="20"/>
      </w:rPr>
    </w:pPr>
    <w:r w:rsidRPr="00CE6556">
      <w:rPr>
        <w:rFonts w:asciiTheme="minorHAnsi" w:hAnsiTheme="minorHAnsi" w:cstheme="minorHAnsi"/>
        <w:noProof/>
        <w:color w:val="0D0D0D" w:themeColor="text1" w:themeTint="F2"/>
        <w:sz w:val="20"/>
        <w:szCs w:val="20"/>
        <w:lang w:eastAsia="es-MX"/>
      </w:rPr>
      <w:drawing>
        <wp:anchor distT="0" distB="0" distL="114300" distR="114300" simplePos="0" relativeHeight="251662848" behindDoc="0" locked="0" layoutInCell="1" allowOverlap="1" wp14:anchorId="4DF046EF" wp14:editId="366ACB2A">
          <wp:simplePos x="0" y="0"/>
          <wp:positionH relativeFrom="column">
            <wp:posOffset>-723900</wp:posOffset>
          </wp:positionH>
          <wp:positionV relativeFrom="paragraph">
            <wp:posOffset>-28575</wp:posOffset>
          </wp:positionV>
          <wp:extent cx="1620353" cy="495300"/>
          <wp:effectExtent l="0" t="0" r="0" b="0"/>
          <wp:wrapNone/>
          <wp:docPr id="1641551610" name="Imagen 164155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8722" b="8590"/>
                  <a:stretch/>
                </pic:blipFill>
                <pic:spPr bwMode="auto">
                  <a:xfrm>
                    <a:off x="0" y="0"/>
                    <a:ext cx="1620353" cy="495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E6556">
      <w:rPr>
        <w:rFonts w:asciiTheme="minorHAnsi" w:hAnsiTheme="minorHAnsi" w:cstheme="minorHAnsi"/>
        <w:b/>
        <w:bCs/>
        <w:sz w:val="20"/>
        <w:szCs w:val="20"/>
      </w:rPr>
      <w:t xml:space="preserve">SALA SUPERIOR DEL TRIBUNAL DE JUSTICIA ADMINISTRATIVA Y COMBATE A LA CORRUPCIÓN DEL ESTADO DE OAXACA </w:t>
    </w:r>
  </w:p>
  <w:p w14:paraId="3E4E3C94" w14:textId="10981BA0" w:rsidR="00655491" w:rsidRDefault="00E15846" w:rsidP="00E15846">
    <w:pPr>
      <w:pStyle w:val="Encabezado"/>
      <w:tabs>
        <w:tab w:val="clear" w:pos="4252"/>
        <w:tab w:val="clear" w:pos="8504"/>
        <w:tab w:val="left" w:pos="6975"/>
      </w:tabs>
    </w:pPr>
    <w:r>
      <w:rPr>
        <w:noProof/>
      </w:rPr>
      <w:drawing>
        <wp:anchor distT="0" distB="0" distL="114300" distR="114300" simplePos="0" relativeHeight="251670016" behindDoc="0" locked="0" layoutInCell="1" allowOverlap="1" wp14:anchorId="5AB704E8" wp14:editId="369E03DE">
          <wp:simplePos x="0" y="0"/>
          <wp:positionH relativeFrom="column">
            <wp:posOffset>-924560</wp:posOffset>
          </wp:positionH>
          <wp:positionV relativeFrom="paragraph">
            <wp:posOffset>2697480</wp:posOffset>
          </wp:positionV>
          <wp:extent cx="1030605" cy="1256030"/>
          <wp:effectExtent l="0" t="0" r="0" b="1270"/>
          <wp:wrapNone/>
          <wp:docPr id="350286073" name="Imagen 350286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1616F28"/>
    <w:multiLevelType w:val="hybridMultilevel"/>
    <w:tmpl w:val="AE1CF834"/>
    <w:lvl w:ilvl="0" w:tplc="645A5266">
      <w:start w:val="1"/>
      <w:numFmt w:val="lowerLetter"/>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15:restartNumberingAfterBreak="0">
    <w:nsid w:val="42BC6C1D"/>
    <w:multiLevelType w:val="hybridMultilevel"/>
    <w:tmpl w:val="328C8EAE"/>
    <w:lvl w:ilvl="0" w:tplc="E21AA32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15:restartNumberingAfterBreak="0">
    <w:nsid w:val="4AA861CD"/>
    <w:multiLevelType w:val="hybridMultilevel"/>
    <w:tmpl w:val="CDCED4D8"/>
    <w:lvl w:ilvl="0" w:tplc="4EAC8BA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15:restartNumberingAfterBreak="0">
    <w:nsid w:val="56541FD7"/>
    <w:multiLevelType w:val="hybridMultilevel"/>
    <w:tmpl w:val="5A50136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15:restartNumberingAfterBreak="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5"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16cid:durableId="415252633">
    <w:abstractNumId w:val="16"/>
  </w:num>
  <w:num w:numId="2" w16cid:durableId="114108150">
    <w:abstractNumId w:val="2"/>
  </w:num>
  <w:num w:numId="3" w16cid:durableId="2127388246">
    <w:abstractNumId w:val="0"/>
  </w:num>
  <w:num w:numId="4" w16cid:durableId="1511601229">
    <w:abstractNumId w:val="11"/>
  </w:num>
  <w:num w:numId="5" w16cid:durableId="1870147146">
    <w:abstractNumId w:val="15"/>
  </w:num>
  <w:num w:numId="6" w16cid:durableId="1057318921">
    <w:abstractNumId w:val="5"/>
  </w:num>
  <w:num w:numId="7" w16cid:durableId="99763496">
    <w:abstractNumId w:val="4"/>
  </w:num>
  <w:num w:numId="8" w16cid:durableId="1696347112">
    <w:abstractNumId w:val="1"/>
  </w:num>
  <w:num w:numId="9" w16cid:durableId="1052118570">
    <w:abstractNumId w:val="3"/>
  </w:num>
  <w:num w:numId="10" w16cid:durableId="1754544689">
    <w:abstractNumId w:val="9"/>
  </w:num>
  <w:num w:numId="11" w16cid:durableId="152988550">
    <w:abstractNumId w:val="12"/>
  </w:num>
  <w:num w:numId="12" w16cid:durableId="1222909920">
    <w:abstractNumId w:val="6"/>
  </w:num>
  <w:num w:numId="13" w16cid:durableId="1551696707">
    <w:abstractNumId w:val="14"/>
  </w:num>
  <w:num w:numId="14" w16cid:durableId="1623463010">
    <w:abstractNumId w:val="10"/>
  </w:num>
  <w:num w:numId="15" w16cid:durableId="2014067000">
    <w:abstractNumId w:val="8"/>
  </w:num>
  <w:num w:numId="16" w16cid:durableId="1374767773">
    <w:abstractNumId w:val="13"/>
  </w:num>
  <w:num w:numId="17" w16cid:durableId="7411474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193"/>
    <w:rsid w:val="000032CE"/>
    <w:rsid w:val="00003CC3"/>
    <w:rsid w:val="00004038"/>
    <w:rsid w:val="0000488B"/>
    <w:rsid w:val="00005B69"/>
    <w:rsid w:val="00005BCB"/>
    <w:rsid w:val="00005EA0"/>
    <w:rsid w:val="00007105"/>
    <w:rsid w:val="00007296"/>
    <w:rsid w:val="00007E09"/>
    <w:rsid w:val="00007EFD"/>
    <w:rsid w:val="00007FD5"/>
    <w:rsid w:val="000106FE"/>
    <w:rsid w:val="000108BF"/>
    <w:rsid w:val="00011D42"/>
    <w:rsid w:val="000121A9"/>
    <w:rsid w:val="000126F6"/>
    <w:rsid w:val="00012918"/>
    <w:rsid w:val="00012DC1"/>
    <w:rsid w:val="000130C8"/>
    <w:rsid w:val="000135AF"/>
    <w:rsid w:val="00014948"/>
    <w:rsid w:val="00014EC2"/>
    <w:rsid w:val="00014F98"/>
    <w:rsid w:val="0001695E"/>
    <w:rsid w:val="00016C0B"/>
    <w:rsid w:val="00016E88"/>
    <w:rsid w:val="000174F5"/>
    <w:rsid w:val="00020680"/>
    <w:rsid w:val="00020D86"/>
    <w:rsid w:val="00021989"/>
    <w:rsid w:val="00021B04"/>
    <w:rsid w:val="00021C5F"/>
    <w:rsid w:val="00022BBC"/>
    <w:rsid w:val="00023F33"/>
    <w:rsid w:val="00023FE9"/>
    <w:rsid w:val="00024545"/>
    <w:rsid w:val="00025BEB"/>
    <w:rsid w:val="00025FB5"/>
    <w:rsid w:val="000262A2"/>
    <w:rsid w:val="000264DD"/>
    <w:rsid w:val="000265C6"/>
    <w:rsid w:val="00026C11"/>
    <w:rsid w:val="0003052C"/>
    <w:rsid w:val="000306D4"/>
    <w:rsid w:val="00030AD4"/>
    <w:rsid w:val="00030BAF"/>
    <w:rsid w:val="00031B73"/>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51"/>
    <w:rsid w:val="000419E9"/>
    <w:rsid w:val="00041B4E"/>
    <w:rsid w:val="00041EAA"/>
    <w:rsid w:val="00042473"/>
    <w:rsid w:val="00043077"/>
    <w:rsid w:val="000441B5"/>
    <w:rsid w:val="00044C5F"/>
    <w:rsid w:val="000450F5"/>
    <w:rsid w:val="000456C6"/>
    <w:rsid w:val="00045BAD"/>
    <w:rsid w:val="000466B1"/>
    <w:rsid w:val="000466D5"/>
    <w:rsid w:val="00051A35"/>
    <w:rsid w:val="0005209A"/>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3D74"/>
    <w:rsid w:val="00064906"/>
    <w:rsid w:val="00064FD9"/>
    <w:rsid w:val="00067B5A"/>
    <w:rsid w:val="00070777"/>
    <w:rsid w:val="00070AA4"/>
    <w:rsid w:val="00071C6F"/>
    <w:rsid w:val="00071E8C"/>
    <w:rsid w:val="00071F15"/>
    <w:rsid w:val="000728B9"/>
    <w:rsid w:val="00073031"/>
    <w:rsid w:val="000730BD"/>
    <w:rsid w:val="000737BF"/>
    <w:rsid w:val="000742DF"/>
    <w:rsid w:val="00074A23"/>
    <w:rsid w:val="00074C62"/>
    <w:rsid w:val="00074E28"/>
    <w:rsid w:val="000755A5"/>
    <w:rsid w:val="000756DE"/>
    <w:rsid w:val="00075A94"/>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2E19"/>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CC1"/>
    <w:rsid w:val="000A4762"/>
    <w:rsid w:val="000A49BC"/>
    <w:rsid w:val="000A5540"/>
    <w:rsid w:val="000A578F"/>
    <w:rsid w:val="000A58B5"/>
    <w:rsid w:val="000A5D36"/>
    <w:rsid w:val="000A5E32"/>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407"/>
    <w:rsid w:val="000C1E6B"/>
    <w:rsid w:val="000C238B"/>
    <w:rsid w:val="000C2764"/>
    <w:rsid w:val="000C3DC9"/>
    <w:rsid w:val="000C4139"/>
    <w:rsid w:val="000C47B5"/>
    <w:rsid w:val="000C5414"/>
    <w:rsid w:val="000C58C2"/>
    <w:rsid w:val="000C5BCE"/>
    <w:rsid w:val="000C5DC1"/>
    <w:rsid w:val="000C6670"/>
    <w:rsid w:val="000D04BF"/>
    <w:rsid w:val="000D12C5"/>
    <w:rsid w:val="000D153E"/>
    <w:rsid w:val="000D170C"/>
    <w:rsid w:val="000D1CF0"/>
    <w:rsid w:val="000D2A1F"/>
    <w:rsid w:val="000D3B9C"/>
    <w:rsid w:val="000D3E70"/>
    <w:rsid w:val="000D3E85"/>
    <w:rsid w:val="000D42B5"/>
    <w:rsid w:val="000D4AFE"/>
    <w:rsid w:val="000D5397"/>
    <w:rsid w:val="000D558F"/>
    <w:rsid w:val="000D5746"/>
    <w:rsid w:val="000D6E87"/>
    <w:rsid w:val="000D7314"/>
    <w:rsid w:val="000D757A"/>
    <w:rsid w:val="000D771A"/>
    <w:rsid w:val="000D7B89"/>
    <w:rsid w:val="000D7C8C"/>
    <w:rsid w:val="000E1E0D"/>
    <w:rsid w:val="000E27C8"/>
    <w:rsid w:val="000E343A"/>
    <w:rsid w:val="000E3FF4"/>
    <w:rsid w:val="000E40FD"/>
    <w:rsid w:val="000E4AC8"/>
    <w:rsid w:val="000E4C30"/>
    <w:rsid w:val="000E5501"/>
    <w:rsid w:val="000E5766"/>
    <w:rsid w:val="000E5B3C"/>
    <w:rsid w:val="000E5B66"/>
    <w:rsid w:val="000E64AF"/>
    <w:rsid w:val="000E6B0A"/>
    <w:rsid w:val="000E74F5"/>
    <w:rsid w:val="000E7DB2"/>
    <w:rsid w:val="000F026A"/>
    <w:rsid w:val="000F0C84"/>
    <w:rsid w:val="000F0D7B"/>
    <w:rsid w:val="000F2020"/>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245F"/>
    <w:rsid w:val="001025E5"/>
    <w:rsid w:val="00102A5D"/>
    <w:rsid w:val="00102AFD"/>
    <w:rsid w:val="001041F6"/>
    <w:rsid w:val="00105C87"/>
    <w:rsid w:val="0010644A"/>
    <w:rsid w:val="00106773"/>
    <w:rsid w:val="00106BA6"/>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0488"/>
    <w:rsid w:val="00121DE8"/>
    <w:rsid w:val="00122F5E"/>
    <w:rsid w:val="001237B4"/>
    <w:rsid w:val="001239B6"/>
    <w:rsid w:val="001244EC"/>
    <w:rsid w:val="00126C0C"/>
    <w:rsid w:val="00126EEE"/>
    <w:rsid w:val="00126EEF"/>
    <w:rsid w:val="00126F80"/>
    <w:rsid w:val="00127248"/>
    <w:rsid w:val="00127B1F"/>
    <w:rsid w:val="00127C05"/>
    <w:rsid w:val="00130500"/>
    <w:rsid w:val="0013065F"/>
    <w:rsid w:val="001312BC"/>
    <w:rsid w:val="00131911"/>
    <w:rsid w:val="00131CDF"/>
    <w:rsid w:val="00132391"/>
    <w:rsid w:val="001331A2"/>
    <w:rsid w:val="00133BFB"/>
    <w:rsid w:val="00133DCC"/>
    <w:rsid w:val="00134A68"/>
    <w:rsid w:val="00134AB5"/>
    <w:rsid w:val="00135132"/>
    <w:rsid w:val="0013555E"/>
    <w:rsid w:val="00135B0C"/>
    <w:rsid w:val="00136897"/>
    <w:rsid w:val="0013695E"/>
    <w:rsid w:val="00136F02"/>
    <w:rsid w:val="00136FB8"/>
    <w:rsid w:val="00137C86"/>
    <w:rsid w:val="0014043C"/>
    <w:rsid w:val="0014082F"/>
    <w:rsid w:val="00140D7E"/>
    <w:rsid w:val="00142417"/>
    <w:rsid w:val="00142A0C"/>
    <w:rsid w:val="00143682"/>
    <w:rsid w:val="001438CF"/>
    <w:rsid w:val="001441D3"/>
    <w:rsid w:val="001450E2"/>
    <w:rsid w:val="001460CF"/>
    <w:rsid w:val="00146509"/>
    <w:rsid w:val="0014671A"/>
    <w:rsid w:val="0014693A"/>
    <w:rsid w:val="00146991"/>
    <w:rsid w:val="00147CCC"/>
    <w:rsid w:val="00147FEF"/>
    <w:rsid w:val="0015050B"/>
    <w:rsid w:val="00150953"/>
    <w:rsid w:val="00151A88"/>
    <w:rsid w:val="00152DA5"/>
    <w:rsid w:val="00152F51"/>
    <w:rsid w:val="00152FB6"/>
    <w:rsid w:val="0015351E"/>
    <w:rsid w:val="00153BE4"/>
    <w:rsid w:val="001541C5"/>
    <w:rsid w:val="001542BE"/>
    <w:rsid w:val="00154490"/>
    <w:rsid w:val="00156250"/>
    <w:rsid w:val="00156F22"/>
    <w:rsid w:val="001570E1"/>
    <w:rsid w:val="00161661"/>
    <w:rsid w:val="0016171F"/>
    <w:rsid w:val="00161F6F"/>
    <w:rsid w:val="001621EF"/>
    <w:rsid w:val="00163EBF"/>
    <w:rsid w:val="001644E0"/>
    <w:rsid w:val="00164BCE"/>
    <w:rsid w:val="001659D0"/>
    <w:rsid w:val="0016604B"/>
    <w:rsid w:val="0016700D"/>
    <w:rsid w:val="00167772"/>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10D5"/>
    <w:rsid w:val="00182189"/>
    <w:rsid w:val="001826D0"/>
    <w:rsid w:val="001831E3"/>
    <w:rsid w:val="0018345B"/>
    <w:rsid w:val="0018356C"/>
    <w:rsid w:val="0018358B"/>
    <w:rsid w:val="0018454F"/>
    <w:rsid w:val="001846BB"/>
    <w:rsid w:val="00184F9A"/>
    <w:rsid w:val="001854BD"/>
    <w:rsid w:val="00185DC5"/>
    <w:rsid w:val="00186701"/>
    <w:rsid w:val="00186FB3"/>
    <w:rsid w:val="0018765B"/>
    <w:rsid w:val="00192287"/>
    <w:rsid w:val="001923AE"/>
    <w:rsid w:val="001924B2"/>
    <w:rsid w:val="00193379"/>
    <w:rsid w:val="00193904"/>
    <w:rsid w:val="00194B7B"/>
    <w:rsid w:val="001951A3"/>
    <w:rsid w:val="00195583"/>
    <w:rsid w:val="001A0745"/>
    <w:rsid w:val="001A1302"/>
    <w:rsid w:val="001A16CC"/>
    <w:rsid w:val="001A18E1"/>
    <w:rsid w:val="001A2144"/>
    <w:rsid w:val="001A2FDB"/>
    <w:rsid w:val="001A3755"/>
    <w:rsid w:val="001A4127"/>
    <w:rsid w:val="001A4E1C"/>
    <w:rsid w:val="001A554E"/>
    <w:rsid w:val="001A6958"/>
    <w:rsid w:val="001A6EBE"/>
    <w:rsid w:val="001A6F68"/>
    <w:rsid w:val="001A77FB"/>
    <w:rsid w:val="001B009D"/>
    <w:rsid w:val="001B13DB"/>
    <w:rsid w:val="001B17F6"/>
    <w:rsid w:val="001B2848"/>
    <w:rsid w:val="001B341D"/>
    <w:rsid w:val="001B3A10"/>
    <w:rsid w:val="001B43A1"/>
    <w:rsid w:val="001B6E63"/>
    <w:rsid w:val="001B7A7B"/>
    <w:rsid w:val="001B7EF3"/>
    <w:rsid w:val="001C0151"/>
    <w:rsid w:val="001C0C36"/>
    <w:rsid w:val="001C100F"/>
    <w:rsid w:val="001C1402"/>
    <w:rsid w:val="001C1465"/>
    <w:rsid w:val="001C1FDF"/>
    <w:rsid w:val="001C2557"/>
    <w:rsid w:val="001C2644"/>
    <w:rsid w:val="001C2B0B"/>
    <w:rsid w:val="001C2B81"/>
    <w:rsid w:val="001C36D8"/>
    <w:rsid w:val="001C39B4"/>
    <w:rsid w:val="001C3A80"/>
    <w:rsid w:val="001C421F"/>
    <w:rsid w:val="001C422B"/>
    <w:rsid w:val="001C502D"/>
    <w:rsid w:val="001C53B0"/>
    <w:rsid w:val="001C7636"/>
    <w:rsid w:val="001C7EC3"/>
    <w:rsid w:val="001D07F6"/>
    <w:rsid w:val="001D0DCF"/>
    <w:rsid w:val="001D31A6"/>
    <w:rsid w:val="001D3B81"/>
    <w:rsid w:val="001D40CC"/>
    <w:rsid w:val="001D4D61"/>
    <w:rsid w:val="001D4D8C"/>
    <w:rsid w:val="001D5282"/>
    <w:rsid w:val="001D529D"/>
    <w:rsid w:val="001D577C"/>
    <w:rsid w:val="001D694C"/>
    <w:rsid w:val="001D754A"/>
    <w:rsid w:val="001D7CBC"/>
    <w:rsid w:val="001E0503"/>
    <w:rsid w:val="001E0E21"/>
    <w:rsid w:val="001E288A"/>
    <w:rsid w:val="001E2A02"/>
    <w:rsid w:val="001E2B84"/>
    <w:rsid w:val="001E338B"/>
    <w:rsid w:val="001E3B11"/>
    <w:rsid w:val="001E4C02"/>
    <w:rsid w:val="001E65E8"/>
    <w:rsid w:val="001E6AE5"/>
    <w:rsid w:val="001E7020"/>
    <w:rsid w:val="001E71FD"/>
    <w:rsid w:val="001E77A9"/>
    <w:rsid w:val="001E7BD1"/>
    <w:rsid w:val="001E7E9C"/>
    <w:rsid w:val="001F2154"/>
    <w:rsid w:val="001F287C"/>
    <w:rsid w:val="001F2D73"/>
    <w:rsid w:val="001F3F47"/>
    <w:rsid w:val="001F4099"/>
    <w:rsid w:val="001F5050"/>
    <w:rsid w:val="001F625A"/>
    <w:rsid w:val="001F6B28"/>
    <w:rsid w:val="001F6C56"/>
    <w:rsid w:val="001F72DF"/>
    <w:rsid w:val="001F77D0"/>
    <w:rsid w:val="002010A9"/>
    <w:rsid w:val="00201769"/>
    <w:rsid w:val="0020247E"/>
    <w:rsid w:val="002025FD"/>
    <w:rsid w:val="00203FD3"/>
    <w:rsid w:val="00204278"/>
    <w:rsid w:val="00204577"/>
    <w:rsid w:val="00205A55"/>
    <w:rsid w:val="00206222"/>
    <w:rsid w:val="0020694D"/>
    <w:rsid w:val="00206B99"/>
    <w:rsid w:val="002073D2"/>
    <w:rsid w:val="00207445"/>
    <w:rsid w:val="002078AA"/>
    <w:rsid w:val="00210261"/>
    <w:rsid w:val="0021074F"/>
    <w:rsid w:val="002111AC"/>
    <w:rsid w:val="0021188E"/>
    <w:rsid w:val="002120FB"/>
    <w:rsid w:val="002127E7"/>
    <w:rsid w:val="00212E08"/>
    <w:rsid w:val="0021302A"/>
    <w:rsid w:val="00213783"/>
    <w:rsid w:val="00214685"/>
    <w:rsid w:val="002147E4"/>
    <w:rsid w:val="00214CE8"/>
    <w:rsid w:val="002159C8"/>
    <w:rsid w:val="002161AD"/>
    <w:rsid w:val="00216377"/>
    <w:rsid w:val="00216595"/>
    <w:rsid w:val="002165D6"/>
    <w:rsid w:val="00216AB7"/>
    <w:rsid w:val="002170A5"/>
    <w:rsid w:val="00217F57"/>
    <w:rsid w:val="00221687"/>
    <w:rsid w:val="00221709"/>
    <w:rsid w:val="0022178E"/>
    <w:rsid w:val="00221E9A"/>
    <w:rsid w:val="00222A05"/>
    <w:rsid w:val="00222E1E"/>
    <w:rsid w:val="0022341D"/>
    <w:rsid w:val="0022360E"/>
    <w:rsid w:val="00223F75"/>
    <w:rsid w:val="00224412"/>
    <w:rsid w:val="002246DF"/>
    <w:rsid w:val="002248E9"/>
    <w:rsid w:val="00225069"/>
    <w:rsid w:val="00226319"/>
    <w:rsid w:val="00227445"/>
    <w:rsid w:val="00227471"/>
    <w:rsid w:val="00230D10"/>
    <w:rsid w:val="00231036"/>
    <w:rsid w:val="00232D7F"/>
    <w:rsid w:val="0023417B"/>
    <w:rsid w:val="002344E1"/>
    <w:rsid w:val="00234A24"/>
    <w:rsid w:val="00234A27"/>
    <w:rsid w:val="002350A1"/>
    <w:rsid w:val="00235FE5"/>
    <w:rsid w:val="002369EA"/>
    <w:rsid w:val="002371FF"/>
    <w:rsid w:val="00237985"/>
    <w:rsid w:val="00237D5A"/>
    <w:rsid w:val="00237DC2"/>
    <w:rsid w:val="0024076F"/>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4A38"/>
    <w:rsid w:val="002450A8"/>
    <w:rsid w:val="0024549A"/>
    <w:rsid w:val="002458C0"/>
    <w:rsid w:val="00245F41"/>
    <w:rsid w:val="002466CD"/>
    <w:rsid w:val="0024672A"/>
    <w:rsid w:val="002468D6"/>
    <w:rsid w:val="00246915"/>
    <w:rsid w:val="002476CF"/>
    <w:rsid w:val="00247875"/>
    <w:rsid w:val="00247B10"/>
    <w:rsid w:val="00247D11"/>
    <w:rsid w:val="00247E15"/>
    <w:rsid w:val="00247ECF"/>
    <w:rsid w:val="00250E2D"/>
    <w:rsid w:val="00252528"/>
    <w:rsid w:val="002530F3"/>
    <w:rsid w:val="00253130"/>
    <w:rsid w:val="00253A1C"/>
    <w:rsid w:val="00254051"/>
    <w:rsid w:val="002541B3"/>
    <w:rsid w:val="00255334"/>
    <w:rsid w:val="0025565F"/>
    <w:rsid w:val="00256B3C"/>
    <w:rsid w:val="00256E7D"/>
    <w:rsid w:val="00256F27"/>
    <w:rsid w:val="002573E9"/>
    <w:rsid w:val="0025762F"/>
    <w:rsid w:val="00257816"/>
    <w:rsid w:val="00257C5E"/>
    <w:rsid w:val="00260433"/>
    <w:rsid w:val="00260969"/>
    <w:rsid w:val="0026116F"/>
    <w:rsid w:val="002617F9"/>
    <w:rsid w:val="00262666"/>
    <w:rsid w:val="002629DE"/>
    <w:rsid w:val="00262D7C"/>
    <w:rsid w:val="00263720"/>
    <w:rsid w:val="00263F1F"/>
    <w:rsid w:val="00265161"/>
    <w:rsid w:val="00265F1B"/>
    <w:rsid w:val="002665A2"/>
    <w:rsid w:val="00267221"/>
    <w:rsid w:val="00270087"/>
    <w:rsid w:val="00270831"/>
    <w:rsid w:val="0027275E"/>
    <w:rsid w:val="00272A7D"/>
    <w:rsid w:val="00273171"/>
    <w:rsid w:val="00273223"/>
    <w:rsid w:val="002740A0"/>
    <w:rsid w:val="002748AA"/>
    <w:rsid w:val="00275201"/>
    <w:rsid w:val="00275418"/>
    <w:rsid w:val="002805AC"/>
    <w:rsid w:val="00280919"/>
    <w:rsid w:val="00281661"/>
    <w:rsid w:val="00282C81"/>
    <w:rsid w:val="00283B3F"/>
    <w:rsid w:val="002841EE"/>
    <w:rsid w:val="002844AF"/>
    <w:rsid w:val="0028464D"/>
    <w:rsid w:val="00284891"/>
    <w:rsid w:val="00285B3A"/>
    <w:rsid w:val="00285C95"/>
    <w:rsid w:val="00286C13"/>
    <w:rsid w:val="00286D80"/>
    <w:rsid w:val="00287884"/>
    <w:rsid w:val="00287888"/>
    <w:rsid w:val="00287983"/>
    <w:rsid w:val="00290248"/>
    <w:rsid w:val="00291333"/>
    <w:rsid w:val="00291341"/>
    <w:rsid w:val="002926B1"/>
    <w:rsid w:val="00292978"/>
    <w:rsid w:val="00292CA5"/>
    <w:rsid w:val="00293914"/>
    <w:rsid w:val="00293B1D"/>
    <w:rsid w:val="00293E41"/>
    <w:rsid w:val="00294153"/>
    <w:rsid w:val="00294C80"/>
    <w:rsid w:val="00296748"/>
    <w:rsid w:val="0029713B"/>
    <w:rsid w:val="00297C79"/>
    <w:rsid w:val="002A0081"/>
    <w:rsid w:val="002A0713"/>
    <w:rsid w:val="002A0D21"/>
    <w:rsid w:val="002A18E6"/>
    <w:rsid w:val="002A1AAC"/>
    <w:rsid w:val="002A2985"/>
    <w:rsid w:val="002A30BB"/>
    <w:rsid w:val="002A4088"/>
    <w:rsid w:val="002A4403"/>
    <w:rsid w:val="002A4AD1"/>
    <w:rsid w:val="002A4AE9"/>
    <w:rsid w:val="002A4B47"/>
    <w:rsid w:val="002A4DEA"/>
    <w:rsid w:val="002A5750"/>
    <w:rsid w:val="002A657D"/>
    <w:rsid w:val="002A6B3D"/>
    <w:rsid w:val="002A6E86"/>
    <w:rsid w:val="002A6EF0"/>
    <w:rsid w:val="002B00BD"/>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0D09"/>
    <w:rsid w:val="002C12B7"/>
    <w:rsid w:val="002C1320"/>
    <w:rsid w:val="002C2259"/>
    <w:rsid w:val="002C25CF"/>
    <w:rsid w:val="002C3470"/>
    <w:rsid w:val="002C348A"/>
    <w:rsid w:val="002C3EC0"/>
    <w:rsid w:val="002C41D3"/>
    <w:rsid w:val="002C4419"/>
    <w:rsid w:val="002C4824"/>
    <w:rsid w:val="002C509D"/>
    <w:rsid w:val="002C5540"/>
    <w:rsid w:val="002C62F6"/>
    <w:rsid w:val="002C6CED"/>
    <w:rsid w:val="002C6F55"/>
    <w:rsid w:val="002D0290"/>
    <w:rsid w:val="002D0C9B"/>
    <w:rsid w:val="002D1979"/>
    <w:rsid w:val="002D268B"/>
    <w:rsid w:val="002D2CEE"/>
    <w:rsid w:val="002D32F5"/>
    <w:rsid w:val="002D3701"/>
    <w:rsid w:val="002D3CF1"/>
    <w:rsid w:val="002D3F79"/>
    <w:rsid w:val="002D413F"/>
    <w:rsid w:val="002D4B99"/>
    <w:rsid w:val="002D634E"/>
    <w:rsid w:val="002D6E4D"/>
    <w:rsid w:val="002D724E"/>
    <w:rsid w:val="002D7665"/>
    <w:rsid w:val="002D7BA0"/>
    <w:rsid w:val="002E0C48"/>
    <w:rsid w:val="002E1666"/>
    <w:rsid w:val="002E1E05"/>
    <w:rsid w:val="002E3358"/>
    <w:rsid w:val="002E3511"/>
    <w:rsid w:val="002E3777"/>
    <w:rsid w:val="002E3B43"/>
    <w:rsid w:val="002E3D1C"/>
    <w:rsid w:val="002E5953"/>
    <w:rsid w:val="002E5971"/>
    <w:rsid w:val="002E5A0A"/>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08A"/>
    <w:rsid w:val="002F67C7"/>
    <w:rsid w:val="002F6EC3"/>
    <w:rsid w:val="002F7173"/>
    <w:rsid w:val="002F7484"/>
    <w:rsid w:val="002F77C3"/>
    <w:rsid w:val="00301CB4"/>
    <w:rsid w:val="003027FF"/>
    <w:rsid w:val="00302960"/>
    <w:rsid w:val="0030330D"/>
    <w:rsid w:val="00304999"/>
    <w:rsid w:val="00304F25"/>
    <w:rsid w:val="003056B2"/>
    <w:rsid w:val="00305D48"/>
    <w:rsid w:val="00306940"/>
    <w:rsid w:val="00307353"/>
    <w:rsid w:val="00307E06"/>
    <w:rsid w:val="003108AC"/>
    <w:rsid w:val="0031096E"/>
    <w:rsid w:val="00311560"/>
    <w:rsid w:val="00311708"/>
    <w:rsid w:val="00311BB1"/>
    <w:rsid w:val="00312470"/>
    <w:rsid w:val="0031285C"/>
    <w:rsid w:val="003139B8"/>
    <w:rsid w:val="00313A44"/>
    <w:rsid w:val="00313BD1"/>
    <w:rsid w:val="003150CD"/>
    <w:rsid w:val="003154AB"/>
    <w:rsid w:val="003155CF"/>
    <w:rsid w:val="00315BA3"/>
    <w:rsid w:val="00315C7D"/>
    <w:rsid w:val="00316707"/>
    <w:rsid w:val="00317B07"/>
    <w:rsid w:val="00317BDE"/>
    <w:rsid w:val="00317DC3"/>
    <w:rsid w:val="0032088F"/>
    <w:rsid w:val="00321643"/>
    <w:rsid w:val="00321A12"/>
    <w:rsid w:val="00321A91"/>
    <w:rsid w:val="00322486"/>
    <w:rsid w:val="00323295"/>
    <w:rsid w:val="00323848"/>
    <w:rsid w:val="00323FF5"/>
    <w:rsid w:val="0032464C"/>
    <w:rsid w:val="00324B78"/>
    <w:rsid w:val="003253CA"/>
    <w:rsid w:val="00326D5E"/>
    <w:rsid w:val="00327A8E"/>
    <w:rsid w:val="00327BDD"/>
    <w:rsid w:val="003309B9"/>
    <w:rsid w:val="00331836"/>
    <w:rsid w:val="0033190E"/>
    <w:rsid w:val="00331935"/>
    <w:rsid w:val="00333962"/>
    <w:rsid w:val="00333B62"/>
    <w:rsid w:val="00333D4A"/>
    <w:rsid w:val="00333E45"/>
    <w:rsid w:val="003342D1"/>
    <w:rsid w:val="00334A65"/>
    <w:rsid w:val="00335096"/>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141"/>
    <w:rsid w:val="00345946"/>
    <w:rsid w:val="00345C36"/>
    <w:rsid w:val="00345C53"/>
    <w:rsid w:val="00345CE2"/>
    <w:rsid w:val="00346754"/>
    <w:rsid w:val="00347AAB"/>
    <w:rsid w:val="00347FD3"/>
    <w:rsid w:val="0035006A"/>
    <w:rsid w:val="003509B6"/>
    <w:rsid w:val="00350B13"/>
    <w:rsid w:val="00352CC2"/>
    <w:rsid w:val="00352DE7"/>
    <w:rsid w:val="0035300A"/>
    <w:rsid w:val="0035347E"/>
    <w:rsid w:val="003549F9"/>
    <w:rsid w:val="0035505C"/>
    <w:rsid w:val="00355E72"/>
    <w:rsid w:val="0035659D"/>
    <w:rsid w:val="003611E4"/>
    <w:rsid w:val="0036133D"/>
    <w:rsid w:val="003617D9"/>
    <w:rsid w:val="00361938"/>
    <w:rsid w:val="00362027"/>
    <w:rsid w:val="003625FB"/>
    <w:rsid w:val="003626E5"/>
    <w:rsid w:val="003633B9"/>
    <w:rsid w:val="003636DE"/>
    <w:rsid w:val="003638B9"/>
    <w:rsid w:val="003646B9"/>
    <w:rsid w:val="003646E5"/>
    <w:rsid w:val="003652C6"/>
    <w:rsid w:val="003654A6"/>
    <w:rsid w:val="003660A9"/>
    <w:rsid w:val="00366829"/>
    <w:rsid w:val="003668C0"/>
    <w:rsid w:val="0036711C"/>
    <w:rsid w:val="003700CD"/>
    <w:rsid w:val="00370629"/>
    <w:rsid w:val="003708D3"/>
    <w:rsid w:val="00371249"/>
    <w:rsid w:val="00371C01"/>
    <w:rsid w:val="003726E1"/>
    <w:rsid w:val="00374012"/>
    <w:rsid w:val="003743D7"/>
    <w:rsid w:val="003749C0"/>
    <w:rsid w:val="00374FA1"/>
    <w:rsid w:val="003750D6"/>
    <w:rsid w:val="003752B5"/>
    <w:rsid w:val="0037599C"/>
    <w:rsid w:val="00375FDD"/>
    <w:rsid w:val="003763CE"/>
    <w:rsid w:val="00376BB4"/>
    <w:rsid w:val="0037725F"/>
    <w:rsid w:val="003804A7"/>
    <w:rsid w:val="00381DC3"/>
    <w:rsid w:val="0038228C"/>
    <w:rsid w:val="00382BDE"/>
    <w:rsid w:val="003859C4"/>
    <w:rsid w:val="00385B11"/>
    <w:rsid w:val="00385EA5"/>
    <w:rsid w:val="00386F92"/>
    <w:rsid w:val="003874C3"/>
    <w:rsid w:val="00387725"/>
    <w:rsid w:val="00387C65"/>
    <w:rsid w:val="00390CDE"/>
    <w:rsid w:val="003922BF"/>
    <w:rsid w:val="003925FB"/>
    <w:rsid w:val="00392B20"/>
    <w:rsid w:val="00394516"/>
    <w:rsid w:val="003961E1"/>
    <w:rsid w:val="003974F9"/>
    <w:rsid w:val="003A0AA1"/>
    <w:rsid w:val="003A0FE5"/>
    <w:rsid w:val="003A21A1"/>
    <w:rsid w:val="003A24EC"/>
    <w:rsid w:val="003A3EA0"/>
    <w:rsid w:val="003A4B73"/>
    <w:rsid w:val="003A5241"/>
    <w:rsid w:val="003A6262"/>
    <w:rsid w:val="003A645D"/>
    <w:rsid w:val="003A748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3D3F"/>
    <w:rsid w:val="003C42AD"/>
    <w:rsid w:val="003C4C9F"/>
    <w:rsid w:val="003C5B3B"/>
    <w:rsid w:val="003C5D9D"/>
    <w:rsid w:val="003C6C6E"/>
    <w:rsid w:val="003C7036"/>
    <w:rsid w:val="003C7781"/>
    <w:rsid w:val="003C7FA5"/>
    <w:rsid w:val="003D0C96"/>
    <w:rsid w:val="003D1CAA"/>
    <w:rsid w:val="003D2F9C"/>
    <w:rsid w:val="003D4395"/>
    <w:rsid w:val="003D474C"/>
    <w:rsid w:val="003D5398"/>
    <w:rsid w:val="003D542F"/>
    <w:rsid w:val="003D5BAD"/>
    <w:rsid w:val="003D5F20"/>
    <w:rsid w:val="003D6E19"/>
    <w:rsid w:val="003D737D"/>
    <w:rsid w:val="003D7E33"/>
    <w:rsid w:val="003E0C30"/>
    <w:rsid w:val="003E0F2A"/>
    <w:rsid w:val="003E143B"/>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5BBB"/>
    <w:rsid w:val="003F7A40"/>
    <w:rsid w:val="004003E7"/>
    <w:rsid w:val="00400CE8"/>
    <w:rsid w:val="00401B8F"/>
    <w:rsid w:val="00401FEB"/>
    <w:rsid w:val="004022FC"/>
    <w:rsid w:val="00402763"/>
    <w:rsid w:val="004027A1"/>
    <w:rsid w:val="0040309B"/>
    <w:rsid w:val="004051E8"/>
    <w:rsid w:val="00405E13"/>
    <w:rsid w:val="00406284"/>
    <w:rsid w:val="00406A7E"/>
    <w:rsid w:val="00406B2A"/>
    <w:rsid w:val="00406B80"/>
    <w:rsid w:val="00406C21"/>
    <w:rsid w:val="00406D0B"/>
    <w:rsid w:val="00406FC8"/>
    <w:rsid w:val="0040758D"/>
    <w:rsid w:val="00407734"/>
    <w:rsid w:val="00407A5C"/>
    <w:rsid w:val="004113F8"/>
    <w:rsid w:val="00411707"/>
    <w:rsid w:val="0041258E"/>
    <w:rsid w:val="00412C2F"/>
    <w:rsid w:val="004139D0"/>
    <w:rsid w:val="004145E9"/>
    <w:rsid w:val="0041486D"/>
    <w:rsid w:val="0041540D"/>
    <w:rsid w:val="0041584F"/>
    <w:rsid w:val="00415924"/>
    <w:rsid w:val="004165A7"/>
    <w:rsid w:val="00416F89"/>
    <w:rsid w:val="00417056"/>
    <w:rsid w:val="00417B07"/>
    <w:rsid w:val="00417B7B"/>
    <w:rsid w:val="004211BE"/>
    <w:rsid w:val="0042205F"/>
    <w:rsid w:val="00423C26"/>
    <w:rsid w:val="00423E43"/>
    <w:rsid w:val="00424839"/>
    <w:rsid w:val="00424D35"/>
    <w:rsid w:val="004250E0"/>
    <w:rsid w:val="004256FF"/>
    <w:rsid w:val="004258D6"/>
    <w:rsid w:val="004264F9"/>
    <w:rsid w:val="00426717"/>
    <w:rsid w:val="00426777"/>
    <w:rsid w:val="00427031"/>
    <w:rsid w:val="00427142"/>
    <w:rsid w:val="00427899"/>
    <w:rsid w:val="00427DBB"/>
    <w:rsid w:val="00427FBB"/>
    <w:rsid w:val="00430399"/>
    <w:rsid w:val="00430E42"/>
    <w:rsid w:val="00431F3F"/>
    <w:rsid w:val="0043209C"/>
    <w:rsid w:val="004322A6"/>
    <w:rsid w:val="00433049"/>
    <w:rsid w:val="00433351"/>
    <w:rsid w:val="004340BA"/>
    <w:rsid w:val="004348C5"/>
    <w:rsid w:val="00435C4E"/>
    <w:rsid w:val="00436B6F"/>
    <w:rsid w:val="00437D5A"/>
    <w:rsid w:val="0044044F"/>
    <w:rsid w:val="00441DE8"/>
    <w:rsid w:val="00442F67"/>
    <w:rsid w:val="00442FBB"/>
    <w:rsid w:val="00443487"/>
    <w:rsid w:val="00443DE0"/>
    <w:rsid w:val="0044467E"/>
    <w:rsid w:val="0044496C"/>
    <w:rsid w:val="00444F46"/>
    <w:rsid w:val="0044520F"/>
    <w:rsid w:val="0044541F"/>
    <w:rsid w:val="004458DD"/>
    <w:rsid w:val="004468EC"/>
    <w:rsid w:val="004469E1"/>
    <w:rsid w:val="00446A05"/>
    <w:rsid w:val="00446B69"/>
    <w:rsid w:val="00447C41"/>
    <w:rsid w:val="004502C5"/>
    <w:rsid w:val="004509CE"/>
    <w:rsid w:val="004515BE"/>
    <w:rsid w:val="004519CB"/>
    <w:rsid w:val="00452B43"/>
    <w:rsid w:val="00454957"/>
    <w:rsid w:val="004557F7"/>
    <w:rsid w:val="00455A62"/>
    <w:rsid w:val="00456294"/>
    <w:rsid w:val="004572E7"/>
    <w:rsid w:val="00457778"/>
    <w:rsid w:val="00457FE0"/>
    <w:rsid w:val="00460145"/>
    <w:rsid w:val="00461033"/>
    <w:rsid w:val="00461308"/>
    <w:rsid w:val="00461FB3"/>
    <w:rsid w:val="0046279F"/>
    <w:rsid w:val="00463325"/>
    <w:rsid w:val="00463D48"/>
    <w:rsid w:val="00464148"/>
    <w:rsid w:val="004647B9"/>
    <w:rsid w:val="00464F06"/>
    <w:rsid w:val="004652D5"/>
    <w:rsid w:val="00465ABB"/>
    <w:rsid w:val="00465BF5"/>
    <w:rsid w:val="00466042"/>
    <w:rsid w:val="004668E6"/>
    <w:rsid w:val="004673D5"/>
    <w:rsid w:val="004705F8"/>
    <w:rsid w:val="0047274B"/>
    <w:rsid w:val="00472B3D"/>
    <w:rsid w:val="00472D90"/>
    <w:rsid w:val="00473EB5"/>
    <w:rsid w:val="0047647A"/>
    <w:rsid w:val="004771E5"/>
    <w:rsid w:val="00477357"/>
    <w:rsid w:val="00477E07"/>
    <w:rsid w:val="00480A69"/>
    <w:rsid w:val="004813E0"/>
    <w:rsid w:val="004826CB"/>
    <w:rsid w:val="004836E4"/>
    <w:rsid w:val="00483B0E"/>
    <w:rsid w:val="00484AE9"/>
    <w:rsid w:val="00484F8B"/>
    <w:rsid w:val="00485508"/>
    <w:rsid w:val="0048659E"/>
    <w:rsid w:val="00486775"/>
    <w:rsid w:val="004874A4"/>
    <w:rsid w:val="004904DF"/>
    <w:rsid w:val="00491E99"/>
    <w:rsid w:val="004929E7"/>
    <w:rsid w:val="0049318A"/>
    <w:rsid w:val="00493A5B"/>
    <w:rsid w:val="00494CF3"/>
    <w:rsid w:val="00494F0A"/>
    <w:rsid w:val="00495547"/>
    <w:rsid w:val="004961AD"/>
    <w:rsid w:val="00496339"/>
    <w:rsid w:val="004967A0"/>
    <w:rsid w:val="00496C40"/>
    <w:rsid w:val="00497059"/>
    <w:rsid w:val="00497082"/>
    <w:rsid w:val="004973EC"/>
    <w:rsid w:val="0049762B"/>
    <w:rsid w:val="00497B15"/>
    <w:rsid w:val="004A0617"/>
    <w:rsid w:val="004A1A63"/>
    <w:rsid w:val="004A2326"/>
    <w:rsid w:val="004A2A39"/>
    <w:rsid w:val="004A2CCF"/>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3F67"/>
    <w:rsid w:val="004B4654"/>
    <w:rsid w:val="004B531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1C9"/>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408"/>
    <w:rsid w:val="004F5821"/>
    <w:rsid w:val="004F5CD5"/>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46E"/>
    <w:rsid w:val="005115C3"/>
    <w:rsid w:val="005144FC"/>
    <w:rsid w:val="00515288"/>
    <w:rsid w:val="00515B21"/>
    <w:rsid w:val="00515CF2"/>
    <w:rsid w:val="00517079"/>
    <w:rsid w:val="00520023"/>
    <w:rsid w:val="005201C4"/>
    <w:rsid w:val="00520569"/>
    <w:rsid w:val="005212AE"/>
    <w:rsid w:val="005229B8"/>
    <w:rsid w:val="00522C1A"/>
    <w:rsid w:val="00523091"/>
    <w:rsid w:val="00523746"/>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2AF8"/>
    <w:rsid w:val="00543994"/>
    <w:rsid w:val="00543C2D"/>
    <w:rsid w:val="00543DE7"/>
    <w:rsid w:val="0054479C"/>
    <w:rsid w:val="00544E43"/>
    <w:rsid w:val="00546E22"/>
    <w:rsid w:val="00547361"/>
    <w:rsid w:val="00547737"/>
    <w:rsid w:val="00547A16"/>
    <w:rsid w:val="00547EB6"/>
    <w:rsid w:val="00551154"/>
    <w:rsid w:val="005522CE"/>
    <w:rsid w:val="00552ACC"/>
    <w:rsid w:val="00553082"/>
    <w:rsid w:val="00553578"/>
    <w:rsid w:val="005549D7"/>
    <w:rsid w:val="00554C70"/>
    <w:rsid w:val="0055538E"/>
    <w:rsid w:val="00555536"/>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4EE5"/>
    <w:rsid w:val="0056508D"/>
    <w:rsid w:val="0056515D"/>
    <w:rsid w:val="00566CEF"/>
    <w:rsid w:val="00567CCF"/>
    <w:rsid w:val="00570608"/>
    <w:rsid w:val="005707BD"/>
    <w:rsid w:val="00570A3B"/>
    <w:rsid w:val="00571411"/>
    <w:rsid w:val="0057187A"/>
    <w:rsid w:val="005720EB"/>
    <w:rsid w:val="0057273D"/>
    <w:rsid w:val="005731B2"/>
    <w:rsid w:val="00573350"/>
    <w:rsid w:val="00573D28"/>
    <w:rsid w:val="00573E34"/>
    <w:rsid w:val="005740D5"/>
    <w:rsid w:val="005740DA"/>
    <w:rsid w:val="005752DE"/>
    <w:rsid w:val="00576EA3"/>
    <w:rsid w:val="00577656"/>
    <w:rsid w:val="0057772B"/>
    <w:rsid w:val="00580176"/>
    <w:rsid w:val="005802AF"/>
    <w:rsid w:val="00581327"/>
    <w:rsid w:val="005817AB"/>
    <w:rsid w:val="00582C57"/>
    <w:rsid w:val="0058448C"/>
    <w:rsid w:val="00584BAB"/>
    <w:rsid w:val="00584EFB"/>
    <w:rsid w:val="0058621D"/>
    <w:rsid w:val="00586D72"/>
    <w:rsid w:val="00586E4F"/>
    <w:rsid w:val="00587330"/>
    <w:rsid w:val="00587984"/>
    <w:rsid w:val="00587A84"/>
    <w:rsid w:val="0059099F"/>
    <w:rsid w:val="00590AF7"/>
    <w:rsid w:val="00592360"/>
    <w:rsid w:val="0059319A"/>
    <w:rsid w:val="00593333"/>
    <w:rsid w:val="005960D3"/>
    <w:rsid w:val="00597038"/>
    <w:rsid w:val="005973A7"/>
    <w:rsid w:val="005A05F1"/>
    <w:rsid w:val="005A0825"/>
    <w:rsid w:val="005A09A3"/>
    <w:rsid w:val="005A1FEE"/>
    <w:rsid w:val="005A273F"/>
    <w:rsid w:val="005A3583"/>
    <w:rsid w:val="005A4118"/>
    <w:rsid w:val="005A453F"/>
    <w:rsid w:val="005A493F"/>
    <w:rsid w:val="005A6317"/>
    <w:rsid w:val="005A6A9E"/>
    <w:rsid w:val="005A752F"/>
    <w:rsid w:val="005B1263"/>
    <w:rsid w:val="005B1E67"/>
    <w:rsid w:val="005B2365"/>
    <w:rsid w:val="005B296A"/>
    <w:rsid w:val="005B3184"/>
    <w:rsid w:val="005B36F5"/>
    <w:rsid w:val="005B3BB9"/>
    <w:rsid w:val="005B3F3B"/>
    <w:rsid w:val="005B5FC8"/>
    <w:rsid w:val="005B67CC"/>
    <w:rsid w:val="005B6E2C"/>
    <w:rsid w:val="005B7761"/>
    <w:rsid w:val="005C08BA"/>
    <w:rsid w:val="005C0DC0"/>
    <w:rsid w:val="005C15B8"/>
    <w:rsid w:val="005C194D"/>
    <w:rsid w:val="005C21B5"/>
    <w:rsid w:val="005C2DEE"/>
    <w:rsid w:val="005C3179"/>
    <w:rsid w:val="005C464F"/>
    <w:rsid w:val="005C565F"/>
    <w:rsid w:val="005C5A24"/>
    <w:rsid w:val="005C5B71"/>
    <w:rsid w:val="005C639C"/>
    <w:rsid w:val="005C6D2A"/>
    <w:rsid w:val="005C7062"/>
    <w:rsid w:val="005C714B"/>
    <w:rsid w:val="005C795A"/>
    <w:rsid w:val="005D0E8F"/>
    <w:rsid w:val="005D2CDE"/>
    <w:rsid w:val="005D2DDC"/>
    <w:rsid w:val="005D341C"/>
    <w:rsid w:val="005D3A26"/>
    <w:rsid w:val="005D3C96"/>
    <w:rsid w:val="005D3CC0"/>
    <w:rsid w:val="005D49E7"/>
    <w:rsid w:val="005D4EDA"/>
    <w:rsid w:val="005D58F0"/>
    <w:rsid w:val="005D65FC"/>
    <w:rsid w:val="005D6747"/>
    <w:rsid w:val="005D6918"/>
    <w:rsid w:val="005D7E0E"/>
    <w:rsid w:val="005E08EE"/>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3E83"/>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0E90"/>
    <w:rsid w:val="00611C10"/>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587"/>
    <w:rsid w:val="00633A3D"/>
    <w:rsid w:val="00633FA0"/>
    <w:rsid w:val="00634534"/>
    <w:rsid w:val="00634718"/>
    <w:rsid w:val="00634A49"/>
    <w:rsid w:val="00634EF5"/>
    <w:rsid w:val="00636401"/>
    <w:rsid w:val="006367C0"/>
    <w:rsid w:val="00636905"/>
    <w:rsid w:val="00636A93"/>
    <w:rsid w:val="006373CA"/>
    <w:rsid w:val="0063772A"/>
    <w:rsid w:val="00637A69"/>
    <w:rsid w:val="006418C8"/>
    <w:rsid w:val="006427D9"/>
    <w:rsid w:val="00642BAE"/>
    <w:rsid w:val="00642CAD"/>
    <w:rsid w:val="00643498"/>
    <w:rsid w:val="00643ABB"/>
    <w:rsid w:val="00643D25"/>
    <w:rsid w:val="006448DB"/>
    <w:rsid w:val="00644D3E"/>
    <w:rsid w:val="006451C2"/>
    <w:rsid w:val="00645AB9"/>
    <w:rsid w:val="00645E2A"/>
    <w:rsid w:val="006460CB"/>
    <w:rsid w:val="00646267"/>
    <w:rsid w:val="00646D5C"/>
    <w:rsid w:val="00646DD7"/>
    <w:rsid w:val="006473BA"/>
    <w:rsid w:val="006475F4"/>
    <w:rsid w:val="00647D90"/>
    <w:rsid w:val="006502D1"/>
    <w:rsid w:val="006504FE"/>
    <w:rsid w:val="00650B53"/>
    <w:rsid w:val="00651275"/>
    <w:rsid w:val="0065228A"/>
    <w:rsid w:val="00654128"/>
    <w:rsid w:val="00654244"/>
    <w:rsid w:val="0065455A"/>
    <w:rsid w:val="006546B6"/>
    <w:rsid w:val="006547BB"/>
    <w:rsid w:val="00655491"/>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5E2C"/>
    <w:rsid w:val="00676465"/>
    <w:rsid w:val="006775C4"/>
    <w:rsid w:val="0068056E"/>
    <w:rsid w:val="00681AC1"/>
    <w:rsid w:val="00681EE7"/>
    <w:rsid w:val="00682165"/>
    <w:rsid w:val="00682AEE"/>
    <w:rsid w:val="00682DD1"/>
    <w:rsid w:val="00683178"/>
    <w:rsid w:val="0068325D"/>
    <w:rsid w:val="00684213"/>
    <w:rsid w:val="00684F50"/>
    <w:rsid w:val="00685785"/>
    <w:rsid w:val="00685F75"/>
    <w:rsid w:val="00686F6A"/>
    <w:rsid w:val="00687828"/>
    <w:rsid w:val="00687BEB"/>
    <w:rsid w:val="00691515"/>
    <w:rsid w:val="00691B5B"/>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037"/>
    <w:rsid w:val="006A136B"/>
    <w:rsid w:val="006A19D5"/>
    <w:rsid w:val="006A28FD"/>
    <w:rsid w:val="006A326C"/>
    <w:rsid w:val="006A52BF"/>
    <w:rsid w:val="006A5328"/>
    <w:rsid w:val="006A5821"/>
    <w:rsid w:val="006A5A6C"/>
    <w:rsid w:val="006A61E5"/>
    <w:rsid w:val="006A6207"/>
    <w:rsid w:val="006A654C"/>
    <w:rsid w:val="006A6B9A"/>
    <w:rsid w:val="006A7061"/>
    <w:rsid w:val="006A7837"/>
    <w:rsid w:val="006B0008"/>
    <w:rsid w:val="006B0A9C"/>
    <w:rsid w:val="006B0B08"/>
    <w:rsid w:val="006B0B51"/>
    <w:rsid w:val="006B10A8"/>
    <w:rsid w:val="006B10B6"/>
    <w:rsid w:val="006B1B86"/>
    <w:rsid w:val="006B208B"/>
    <w:rsid w:val="006B3C7A"/>
    <w:rsid w:val="006B454E"/>
    <w:rsid w:val="006B462B"/>
    <w:rsid w:val="006B46C9"/>
    <w:rsid w:val="006B4FD6"/>
    <w:rsid w:val="006B511B"/>
    <w:rsid w:val="006B5508"/>
    <w:rsid w:val="006B7267"/>
    <w:rsid w:val="006B74F1"/>
    <w:rsid w:val="006C1371"/>
    <w:rsid w:val="006C1F9E"/>
    <w:rsid w:val="006C2F23"/>
    <w:rsid w:val="006C408C"/>
    <w:rsid w:val="006C44AE"/>
    <w:rsid w:val="006C456A"/>
    <w:rsid w:val="006C5036"/>
    <w:rsid w:val="006C564D"/>
    <w:rsid w:val="006C671F"/>
    <w:rsid w:val="006C6F3C"/>
    <w:rsid w:val="006C6FB7"/>
    <w:rsid w:val="006D007C"/>
    <w:rsid w:val="006D06F5"/>
    <w:rsid w:val="006D120B"/>
    <w:rsid w:val="006D1DB2"/>
    <w:rsid w:val="006D24B5"/>
    <w:rsid w:val="006D3FF8"/>
    <w:rsid w:val="006D428F"/>
    <w:rsid w:val="006D54E1"/>
    <w:rsid w:val="006D5A11"/>
    <w:rsid w:val="006D668F"/>
    <w:rsid w:val="006E002A"/>
    <w:rsid w:val="006E0371"/>
    <w:rsid w:val="006E0406"/>
    <w:rsid w:val="006E09D6"/>
    <w:rsid w:val="006E1695"/>
    <w:rsid w:val="006E197B"/>
    <w:rsid w:val="006E1AC8"/>
    <w:rsid w:val="006E22C9"/>
    <w:rsid w:val="006E2B27"/>
    <w:rsid w:val="006E58AF"/>
    <w:rsid w:val="006E62BA"/>
    <w:rsid w:val="006E698C"/>
    <w:rsid w:val="006E6A36"/>
    <w:rsid w:val="006E7F21"/>
    <w:rsid w:val="006F0329"/>
    <w:rsid w:val="006F0771"/>
    <w:rsid w:val="006F0913"/>
    <w:rsid w:val="006F101E"/>
    <w:rsid w:val="006F10A6"/>
    <w:rsid w:val="006F2412"/>
    <w:rsid w:val="006F2E16"/>
    <w:rsid w:val="006F3230"/>
    <w:rsid w:val="006F3FE0"/>
    <w:rsid w:val="006F42BC"/>
    <w:rsid w:val="006F462B"/>
    <w:rsid w:val="006F6131"/>
    <w:rsid w:val="006F632D"/>
    <w:rsid w:val="006F650D"/>
    <w:rsid w:val="006F68C0"/>
    <w:rsid w:val="006F68E5"/>
    <w:rsid w:val="006F7A52"/>
    <w:rsid w:val="00700013"/>
    <w:rsid w:val="007007EB"/>
    <w:rsid w:val="00701329"/>
    <w:rsid w:val="007017F0"/>
    <w:rsid w:val="00701C5B"/>
    <w:rsid w:val="00702862"/>
    <w:rsid w:val="007036B7"/>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96F"/>
    <w:rsid w:val="00711EB9"/>
    <w:rsid w:val="0071287D"/>
    <w:rsid w:val="00712D50"/>
    <w:rsid w:val="00713419"/>
    <w:rsid w:val="007135A0"/>
    <w:rsid w:val="00713957"/>
    <w:rsid w:val="00714402"/>
    <w:rsid w:val="00714488"/>
    <w:rsid w:val="00715319"/>
    <w:rsid w:val="00715EBB"/>
    <w:rsid w:val="00716095"/>
    <w:rsid w:val="00717898"/>
    <w:rsid w:val="00720487"/>
    <w:rsid w:val="00721A72"/>
    <w:rsid w:val="0072215B"/>
    <w:rsid w:val="00722B88"/>
    <w:rsid w:val="0072304C"/>
    <w:rsid w:val="0072368F"/>
    <w:rsid w:val="00723EC1"/>
    <w:rsid w:val="00724552"/>
    <w:rsid w:val="00724C1C"/>
    <w:rsid w:val="00727C09"/>
    <w:rsid w:val="00727D9C"/>
    <w:rsid w:val="00730089"/>
    <w:rsid w:val="00730250"/>
    <w:rsid w:val="00730453"/>
    <w:rsid w:val="00731079"/>
    <w:rsid w:val="007310C1"/>
    <w:rsid w:val="0073118F"/>
    <w:rsid w:val="0073182F"/>
    <w:rsid w:val="0073212F"/>
    <w:rsid w:val="0073215C"/>
    <w:rsid w:val="007324A9"/>
    <w:rsid w:val="007332CB"/>
    <w:rsid w:val="00734300"/>
    <w:rsid w:val="0073439D"/>
    <w:rsid w:val="00734795"/>
    <w:rsid w:val="00736F71"/>
    <w:rsid w:val="00740A21"/>
    <w:rsid w:val="00740D93"/>
    <w:rsid w:val="007426D1"/>
    <w:rsid w:val="007431C9"/>
    <w:rsid w:val="0074323E"/>
    <w:rsid w:val="00743E50"/>
    <w:rsid w:val="00743F9C"/>
    <w:rsid w:val="00744412"/>
    <w:rsid w:val="00744BFA"/>
    <w:rsid w:val="00744DC2"/>
    <w:rsid w:val="00744E48"/>
    <w:rsid w:val="00744EED"/>
    <w:rsid w:val="00745290"/>
    <w:rsid w:val="007455AB"/>
    <w:rsid w:val="00745BE3"/>
    <w:rsid w:val="00746015"/>
    <w:rsid w:val="00746730"/>
    <w:rsid w:val="007469E4"/>
    <w:rsid w:val="00747293"/>
    <w:rsid w:val="00751243"/>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4C6"/>
    <w:rsid w:val="00760AB6"/>
    <w:rsid w:val="00760DD6"/>
    <w:rsid w:val="00761447"/>
    <w:rsid w:val="00761DF4"/>
    <w:rsid w:val="00762460"/>
    <w:rsid w:val="00762B44"/>
    <w:rsid w:val="00762B99"/>
    <w:rsid w:val="007656A2"/>
    <w:rsid w:val="00765A2B"/>
    <w:rsid w:val="00766389"/>
    <w:rsid w:val="007677CD"/>
    <w:rsid w:val="00767FE0"/>
    <w:rsid w:val="00770340"/>
    <w:rsid w:val="00770536"/>
    <w:rsid w:val="00770AC5"/>
    <w:rsid w:val="00770D7F"/>
    <w:rsid w:val="0077100C"/>
    <w:rsid w:val="007711A1"/>
    <w:rsid w:val="00771AF2"/>
    <w:rsid w:val="007722CF"/>
    <w:rsid w:val="00772E06"/>
    <w:rsid w:val="007730D4"/>
    <w:rsid w:val="00773C44"/>
    <w:rsid w:val="00774396"/>
    <w:rsid w:val="007743DD"/>
    <w:rsid w:val="007748B7"/>
    <w:rsid w:val="007748E4"/>
    <w:rsid w:val="007758EE"/>
    <w:rsid w:val="00775BD0"/>
    <w:rsid w:val="00775CDF"/>
    <w:rsid w:val="007779BF"/>
    <w:rsid w:val="007779F1"/>
    <w:rsid w:val="00777B9A"/>
    <w:rsid w:val="00777CFA"/>
    <w:rsid w:val="00777F6C"/>
    <w:rsid w:val="007806D4"/>
    <w:rsid w:val="00780D03"/>
    <w:rsid w:val="00781E84"/>
    <w:rsid w:val="00781EFF"/>
    <w:rsid w:val="00782019"/>
    <w:rsid w:val="007822F5"/>
    <w:rsid w:val="00782460"/>
    <w:rsid w:val="00782A21"/>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1B"/>
    <w:rsid w:val="00796AB8"/>
    <w:rsid w:val="00796CE5"/>
    <w:rsid w:val="007A0C87"/>
    <w:rsid w:val="007A0DD5"/>
    <w:rsid w:val="007A1877"/>
    <w:rsid w:val="007A1A79"/>
    <w:rsid w:val="007A29CB"/>
    <w:rsid w:val="007A367E"/>
    <w:rsid w:val="007A372A"/>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3C9"/>
    <w:rsid w:val="007B65D2"/>
    <w:rsid w:val="007B6608"/>
    <w:rsid w:val="007B6AD5"/>
    <w:rsid w:val="007C04A2"/>
    <w:rsid w:val="007C1271"/>
    <w:rsid w:val="007C1CCF"/>
    <w:rsid w:val="007C313D"/>
    <w:rsid w:val="007C3B2E"/>
    <w:rsid w:val="007C405D"/>
    <w:rsid w:val="007C4D7C"/>
    <w:rsid w:val="007C5545"/>
    <w:rsid w:val="007C587A"/>
    <w:rsid w:val="007C6DD8"/>
    <w:rsid w:val="007C79F5"/>
    <w:rsid w:val="007C7A6B"/>
    <w:rsid w:val="007D0423"/>
    <w:rsid w:val="007D0A0F"/>
    <w:rsid w:val="007D131D"/>
    <w:rsid w:val="007D1719"/>
    <w:rsid w:val="007D1E0C"/>
    <w:rsid w:val="007D303D"/>
    <w:rsid w:val="007D3563"/>
    <w:rsid w:val="007D3939"/>
    <w:rsid w:val="007D3BCC"/>
    <w:rsid w:val="007D3CE0"/>
    <w:rsid w:val="007D404D"/>
    <w:rsid w:val="007D44B7"/>
    <w:rsid w:val="007D45CB"/>
    <w:rsid w:val="007D4645"/>
    <w:rsid w:val="007D493C"/>
    <w:rsid w:val="007D5692"/>
    <w:rsid w:val="007D5CCD"/>
    <w:rsid w:val="007D6461"/>
    <w:rsid w:val="007D7816"/>
    <w:rsid w:val="007E1A9F"/>
    <w:rsid w:val="007E2C90"/>
    <w:rsid w:val="007E3210"/>
    <w:rsid w:val="007E32FC"/>
    <w:rsid w:val="007E4266"/>
    <w:rsid w:val="007E4EA5"/>
    <w:rsid w:val="007E5A5C"/>
    <w:rsid w:val="007E6EC7"/>
    <w:rsid w:val="007E6FD6"/>
    <w:rsid w:val="007E7816"/>
    <w:rsid w:val="007E7A9C"/>
    <w:rsid w:val="007F0BA9"/>
    <w:rsid w:val="007F14CC"/>
    <w:rsid w:val="007F17A3"/>
    <w:rsid w:val="007F1A1A"/>
    <w:rsid w:val="007F1ECE"/>
    <w:rsid w:val="007F2DD4"/>
    <w:rsid w:val="007F2E3D"/>
    <w:rsid w:val="007F3272"/>
    <w:rsid w:val="007F35C6"/>
    <w:rsid w:val="007F3BF0"/>
    <w:rsid w:val="007F3D21"/>
    <w:rsid w:val="007F425D"/>
    <w:rsid w:val="007F4946"/>
    <w:rsid w:val="007F4B42"/>
    <w:rsid w:val="007F5B11"/>
    <w:rsid w:val="007F7957"/>
    <w:rsid w:val="007F7CB7"/>
    <w:rsid w:val="007F7F91"/>
    <w:rsid w:val="008003EB"/>
    <w:rsid w:val="00800C46"/>
    <w:rsid w:val="00801A10"/>
    <w:rsid w:val="00801BEA"/>
    <w:rsid w:val="00801F35"/>
    <w:rsid w:val="00803391"/>
    <w:rsid w:val="00803D63"/>
    <w:rsid w:val="00805B95"/>
    <w:rsid w:val="008061D6"/>
    <w:rsid w:val="008068C9"/>
    <w:rsid w:val="00806D14"/>
    <w:rsid w:val="0080728A"/>
    <w:rsid w:val="00807D76"/>
    <w:rsid w:val="00811182"/>
    <w:rsid w:val="00811407"/>
    <w:rsid w:val="00811B44"/>
    <w:rsid w:val="008122E4"/>
    <w:rsid w:val="00812C99"/>
    <w:rsid w:val="00812D5A"/>
    <w:rsid w:val="00813494"/>
    <w:rsid w:val="00813755"/>
    <w:rsid w:val="008161D5"/>
    <w:rsid w:val="00817062"/>
    <w:rsid w:val="00817A06"/>
    <w:rsid w:val="0082001A"/>
    <w:rsid w:val="008205D0"/>
    <w:rsid w:val="0082070E"/>
    <w:rsid w:val="00820D99"/>
    <w:rsid w:val="00820E06"/>
    <w:rsid w:val="008211F5"/>
    <w:rsid w:val="00821FB2"/>
    <w:rsid w:val="0082284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1DD"/>
    <w:rsid w:val="008357D2"/>
    <w:rsid w:val="008370CF"/>
    <w:rsid w:val="00837CEF"/>
    <w:rsid w:val="00840C89"/>
    <w:rsid w:val="0084114B"/>
    <w:rsid w:val="00842756"/>
    <w:rsid w:val="008429EC"/>
    <w:rsid w:val="008430AD"/>
    <w:rsid w:val="008433AE"/>
    <w:rsid w:val="0084355F"/>
    <w:rsid w:val="00843D17"/>
    <w:rsid w:val="0084703C"/>
    <w:rsid w:val="008473A8"/>
    <w:rsid w:val="00847424"/>
    <w:rsid w:val="00847B25"/>
    <w:rsid w:val="00850259"/>
    <w:rsid w:val="008504C8"/>
    <w:rsid w:val="00851000"/>
    <w:rsid w:val="00851789"/>
    <w:rsid w:val="00852028"/>
    <w:rsid w:val="00852F24"/>
    <w:rsid w:val="00854886"/>
    <w:rsid w:val="00854E2E"/>
    <w:rsid w:val="00855029"/>
    <w:rsid w:val="0085507C"/>
    <w:rsid w:val="0085563E"/>
    <w:rsid w:val="00855B11"/>
    <w:rsid w:val="00856EE4"/>
    <w:rsid w:val="008601DA"/>
    <w:rsid w:val="00861653"/>
    <w:rsid w:val="00861978"/>
    <w:rsid w:val="008625C0"/>
    <w:rsid w:val="00863418"/>
    <w:rsid w:val="008634C5"/>
    <w:rsid w:val="0086393B"/>
    <w:rsid w:val="00863FB1"/>
    <w:rsid w:val="00864F72"/>
    <w:rsid w:val="00865B42"/>
    <w:rsid w:val="0086631D"/>
    <w:rsid w:val="00866DED"/>
    <w:rsid w:val="00866DF0"/>
    <w:rsid w:val="008672F5"/>
    <w:rsid w:val="00867EBD"/>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0D7E"/>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614"/>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1864"/>
    <w:rsid w:val="008A23DD"/>
    <w:rsid w:val="008A249E"/>
    <w:rsid w:val="008A4EE6"/>
    <w:rsid w:val="008A6544"/>
    <w:rsid w:val="008A65C4"/>
    <w:rsid w:val="008A73E0"/>
    <w:rsid w:val="008A7EC3"/>
    <w:rsid w:val="008A7F72"/>
    <w:rsid w:val="008B037E"/>
    <w:rsid w:val="008B06CC"/>
    <w:rsid w:val="008B0AD8"/>
    <w:rsid w:val="008B1D4F"/>
    <w:rsid w:val="008B299F"/>
    <w:rsid w:val="008B2A33"/>
    <w:rsid w:val="008B2E3E"/>
    <w:rsid w:val="008B3030"/>
    <w:rsid w:val="008B32AC"/>
    <w:rsid w:val="008B33CF"/>
    <w:rsid w:val="008B43C8"/>
    <w:rsid w:val="008B458E"/>
    <w:rsid w:val="008B4EBC"/>
    <w:rsid w:val="008B5073"/>
    <w:rsid w:val="008B5200"/>
    <w:rsid w:val="008B5DFE"/>
    <w:rsid w:val="008B604B"/>
    <w:rsid w:val="008B60DF"/>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7A"/>
    <w:rsid w:val="008C4DA7"/>
    <w:rsid w:val="008C4DD6"/>
    <w:rsid w:val="008C4FF7"/>
    <w:rsid w:val="008C508D"/>
    <w:rsid w:val="008C50D4"/>
    <w:rsid w:val="008C5220"/>
    <w:rsid w:val="008C5A45"/>
    <w:rsid w:val="008C5EFD"/>
    <w:rsid w:val="008C65C9"/>
    <w:rsid w:val="008C7C52"/>
    <w:rsid w:val="008D105A"/>
    <w:rsid w:val="008D1236"/>
    <w:rsid w:val="008D1EDE"/>
    <w:rsid w:val="008D2040"/>
    <w:rsid w:val="008D29C9"/>
    <w:rsid w:val="008D32AD"/>
    <w:rsid w:val="008D3620"/>
    <w:rsid w:val="008D458F"/>
    <w:rsid w:val="008D4B95"/>
    <w:rsid w:val="008D52D9"/>
    <w:rsid w:val="008D64B4"/>
    <w:rsid w:val="008D6772"/>
    <w:rsid w:val="008D7AC6"/>
    <w:rsid w:val="008D7AD1"/>
    <w:rsid w:val="008D7D92"/>
    <w:rsid w:val="008E02E6"/>
    <w:rsid w:val="008E08A8"/>
    <w:rsid w:val="008E0B04"/>
    <w:rsid w:val="008E0F19"/>
    <w:rsid w:val="008E15B5"/>
    <w:rsid w:val="008E2B42"/>
    <w:rsid w:val="008E350D"/>
    <w:rsid w:val="008E3B36"/>
    <w:rsid w:val="008E3CEC"/>
    <w:rsid w:val="008E480F"/>
    <w:rsid w:val="008E4A67"/>
    <w:rsid w:val="008E5D00"/>
    <w:rsid w:val="008E5F5D"/>
    <w:rsid w:val="008E77EB"/>
    <w:rsid w:val="008F0205"/>
    <w:rsid w:val="008F0DCC"/>
    <w:rsid w:val="008F1EB2"/>
    <w:rsid w:val="008F284E"/>
    <w:rsid w:val="008F2BAD"/>
    <w:rsid w:val="008F2CAE"/>
    <w:rsid w:val="008F39F2"/>
    <w:rsid w:val="008F4303"/>
    <w:rsid w:val="008F45EB"/>
    <w:rsid w:val="008F4E1B"/>
    <w:rsid w:val="008F52F4"/>
    <w:rsid w:val="008F733A"/>
    <w:rsid w:val="008F743B"/>
    <w:rsid w:val="009011B4"/>
    <w:rsid w:val="0090168E"/>
    <w:rsid w:val="00901AE0"/>
    <w:rsid w:val="009020E0"/>
    <w:rsid w:val="00902FFF"/>
    <w:rsid w:val="00903485"/>
    <w:rsid w:val="00903765"/>
    <w:rsid w:val="00903E8E"/>
    <w:rsid w:val="009043A8"/>
    <w:rsid w:val="00904997"/>
    <w:rsid w:val="00905373"/>
    <w:rsid w:val="00905410"/>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71"/>
    <w:rsid w:val="00921E9D"/>
    <w:rsid w:val="009220E0"/>
    <w:rsid w:val="0092244D"/>
    <w:rsid w:val="00922FD0"/>
    <w:rsid w:val="0092383C"/>
    <w:rsid w:val="00923E83"/>
    <w:rsid w:val="00923FD8"/>
    <w:rsid w:val="009250CB"/>
    <w:rsid w:val="00926AC7"/>
    <w:rsid w:val="00926FCD"/>
    <w:rsid w:val="00927607"/>
    <w:rsid w:val="00931718"/>
    <w:rsid w:val="00931D14"/>
    <w:rsid w:val="009322BE"/>
    <w:rsid w:val="00932FC8"/>
    <w:rsid w:val="00933060"/>
    <w:rsid w:val="00933673"/>
    <w:rsid w:val="00934282"/>
    <w:rsid w:val="00934719"/>
    <w:rsid w:val="00934B4F"/>
    <w:rsid w:val="00935C0C"/>
    <w:rsid w:val="00935DC1"/>
    <w:rsid w:val="009366C4"/>
    <w:rsid w:val="00936747"/>
    <w:rsid w:val="0093762C"/>
    <w:rsid w:val="00937A05"/>
    <w:rsid w:val="00937A28"/>
    <w:rsid w:val="00937B14"/>
    <w:rsid w:val="00937D05"/>
    <w:rsid w:val="009401E4"/>
    <w:rsid w:val="0094044A"/>
    <w:rsid w:val="00940ADB"/>
    <w:rsid w:val="00940C5D"/>
    <w:rsid w:val="00941603"/>
    <w:rsid w:val="00941839"/>
    <w:rsid w:val="00942CAB"/>
    <w:rsid w:val="00942E61"/>
    <w:rsid w:val="0094372E"/>
    <w:rsid w:val="00944AC5"/>
    <w:rsid w:val="00945295"/>
    <w:rsid w:val="0094562D"/>
    <w:rsid w:val="009456CF"/>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794"/>
    <w:rsid w:val="00952E94"/>
    <w:rsid w:val="00953386"/>
    <w:rsid w:val="00954F7D"/>
    <w:rsid w:val="00955095"/>
    <w:rsid w:val="00955D30"/>
    <w:rsid w:val="00956727"/>
    <w:rsid w:val="00957249"/>
    <w:rsid w:val="009576A0"/>
    <w:rsid w:val="00957E51"/>
    <w:rsid w:val="009608E8"/>
    <w:rsid w:val="00960E04"/>
    <w:rsid w:val="0096112B"/>
    <w:rsid w:val="00961517"/>
    <w:rsid w:val="009629EE"/>
    <w:rsid w:val="0096309B"/>
    <w:rsid w:val="00964A87"/>
    <w:rsid w:val="00964CE3"/>
    <w:rsid w:val="00965204"/>
    <w:rsid w:val="00965931"/>
    <w:rsid w:val="00965DB7"/>
    <w:rsid w:val="009663A9"/>
    <w:rsid w:val="00966C28"/>
    <w:rsid w:val="009700BB"/>
    <w:rsid w:val="0097057E"/>
    <w:rsid w:val="00971321"/>
    <w:rsid w:val="00971B8B"/>
    <w:rsid w:val="00972B61"/>
    <w:rsid w:val="009730F2"/>
    <w:rsid w:val="00973F60"/>
    <w:rsid w:val="00974250"/>
    <w:rsid w:val="00974F50"/>
    <w:rsid w:val="009756EC"/>
    <w:rsid w:val="009757EE"/>
    <w:rsid w:val="0097584C"/>
    <w:rsid w:val="00976FCC"/>
    <w:rsid w:val="0097768E"/>
    <w:rsid w:val="009818A2"/>
    <w:rsid w:val="009829E2"/>
    <w:rsid w:val="00982E33"/>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5E4"/>
    <w:rsid w:val="0099490A"/>
    <w:rsid w:val="0099690A"/>
    <w:rsid w:val="00997136"/>
    <w:rsid w:val="0099718D"/>
    <w:rsid w:val="009971A7"/>
    <w:rsid w:val="009A2051"/>
    <w:rsid w:val="009A33BE"/>
    <w:rsid w:val="009A3F67"/>
    <w:rsid w:val="009B0212"/>
    <w:rsid w:val="009B0C38"/>
    <w:rsid w:val="009B1120"/>
    <w:rsid w:val="009B127F"/>
    <w:rsid w:val="009B15EE"/>
    <w:rsid w:val="009B19C2"/>
    <w:rsid w:val="009B1BF1"/>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25CD"/>
    <w:rsid w:val="009C3841"/>
    <w:rsid w:val="009C607A"/>
    <w:rsid w:val="009C6929"/>
    <w:rsid w:val="009C6A52"/>
    <w:rsid w:val="009C6AF9"/>
    <w:rsid w:val="009C72C2"/>
    <w:rsid w:val="009C78CF"/>
    <w:rsid w:val="009D183B"/>
    <w:rsid w:val="009D20C4"/>
    <w:rsid w:val="009D2378"/>
    <w:rsid w:val="009D267D"/>
    <w:rsid w:val="009D30C1"/>
    <w:rsid w:val="009D3356"/>
    <w:rsid w:val="009D3709"/>
    <w:rsid w:val="009D3CB7"/>
    <w:rsid w:val="009D3DBF"/>
    <w:rsid w:val="009D4901"/>
    <w:rsid w:val="009D4C43"/>
    <w:rsid w:val="009D5068"/>
    <w:rsid w:val="009D5281"/>
    <w:rsid w:val="009D5AC5"/>
    <w:rsid w:val="009D5D6A"/>
    <w:rsid w:val="009D6532"/>
    <w:rsid w:val="009D6566"/>
    <w:rsid w:val="009D6EC6"/>
    <w:rsid w:val="009D7058"/>
    <w:rsid w:val="009D76EB"/>
    <w:rsid w:val="009D7E4B"/>
    <w:rsid w:val="009E0336"/>
    <w:rsid w:val="009E10EC"/>
    <w:rsid w:val="009E10F6"/>
    <w:rsid w:val="009E1628"/>
    <w:rsid w:val="009E1C4A"/>
    <w:rsid w:val="009E2B95"/>
    <w:rsid w:val="009E2F5D"/>
    <w:rsid w:val="009E3347"/>
    <w:rsid w:val="009E34FA"/>
    <w:rsid w:val="009E3D69"/>
    <w:rsid w:val="009E3DB9"/>
    <w:rsid w:val="009E4B0C"/>
    <w:rsid w:val="009E4B72"/>
    <w:rsid w:val="009E646B"/>
    <w:rsid w:val="009E67C9"/>
    <w:rsid w:val="009E7B07"/>
    <w:rsid w:val="009F0232"/>
    <w:rsid w:val="009F050C"/>
    <w:rsid w:val="009F0DA0"/>
    <w:rsid w:val="009F1587"/>
    <w:rsid w:val="009F344F"/>
    <w:rsid w:val="009F3537"/>
    <w:rsid w:val="009F3962"/>
    <w:rsid w:val="009F3A8E"/>
    <w:rsid w:val="009F3B12"/>
    <w:rsid w:val="009F422B"/>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515"/>
    <w:rsid w:val="00A12661"/>
    <w:rsid w:val="00A12D31"/>
    <w:rsid w:val="00A12F8B"/>
    <w:rsid w:val="00A13C0F"/>
    <w:rsid w:val="00A13E82"/>
    <w:rsid w:val="00A15589"/>
    <w:rsid w:val="00A164A6"/>
    <w:rsid w:val="00A165FE"/>
    <w:rsid w:val="00A16EFC"/>
    <w:rsid w:val="00A17A7F"/>
    <w:rsid w:val="00A205C2"/>
    <w:rsid w:val="00A20FD0"/>
    <w:rsid w:val="00A21357"/>
    <w:rsid w:val="00A215C1"/>
    <w:rsid w:val="00A21B13"/>
    <w:rsid w:val="00A22381"/>
    <w:rsid w:val="00A2288C"/>
    <w:rsid w:val="00A23061"/>
    <w:rsid w:val="00A23D23"/>
    <w:rsid w:val="00A243B5"/>
    <w:rsid w:val="00A24A17"/>
    <w:rsid w:val="00A24B73"/>
    <w:rsid w:val="00A257A4"/>
    <w:rsid w:val="00A258BB"/>
    <w:rsid w:val="00A27138"/>
    <w:rsid w:val="00A302E3"/>
    <w:rsid w:val="00A30D30"/>
    <w:rsid w:val="00A31158"/>
    <w:rsid w:val="00A3192C"/>
    <w:rsid w:val="00A3215A"/>
    <w:rsid w:val="00A327BE"/>
    <w:rsid w:val="00A32881"/>
    <w:rsid w:val="00A3359F"/>
    <w:rsid w:val="00A33736"/>
    <w:rsid w:val="00A33F3B"/>
    <w:rsid w:val="00A352E3"/>
    <w:rsid w:val="00A35434"/>
    <w:rsid w:val="00A35446"/>
    <w:rsid w:val="00A3583F"/>
    <w:rsid w:val="00A3592E"/>
    <w:rsid w:val="00A367EE"/>
    <w:rsid w:val="00A36936"/>
    <w:rsid w:val="00A36CB0"/>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1AF3"/>
    <w:rsid w:val="00A5203E"/>
    <w:rsid w:val="00A52320"/>
    <w:rsid w:val="00A52762"/>
    <w:rsid w:val="00A52DDF"/>
    <w:rsid w:val="00A537AD"/>
    <w:rsid w:val="00A53DE2"/>
    <w:rsid w:val="00A54A2D"/>
    <w:rsid w:val="00A54AAC"/>
    <w:rsid w:val="00A55915"/>
    <w:rsid w:val="00A55A68"/>
    <w:rsid w:val="00A56094"/>
    <w:rsid w:val="00A5698E"/>
    <w:rsid w:val="00A56B70"/>
    <w:rsid w:val="00A575B4"/>
    <w:rsid w:val="00A57807"/>
    <w:rsid w:val="00A608CD"/>
    <w:rsid w:val="00A61F0F"/>
    <w:rsid w:val="00A62EFE"/>
    <w:rsid w:val="00A64280"/>
    <w:rsid w:val="00A64C7D"/>
    <w:rsid w:val="00A64E0F"/>
    <w:rsid w:val="00A654A2"/>
    <w:rsid w:val="00A654DF"/>
    <w:rsid w:val="00A655E9"/>
    <w:rsid w:val="00A66CB2"/>
    <w:rsid w:val="00A703F5"/>
    <w:rsid w:val="00A71119"/>
    <w:rsid w:val="00A71C37"/>
    <w:rsid w:val="00A72E3D"/>
    <w:rsid w:val="00A72EE1"/>
    <w:rsid w:val="00A73B00"/>
    <w:rsid w:val="00A745A0"/>
    <w:rsid w:val="00A746E4"/>
    <w:rsid w:val="00A761F4"/>
    <w:rsid w:val="00A77448"/>
    <w:rsid w:val="00A77669"/>
    <w:rsid w:val="00A77B65"/>
    <w:rsid w:val="00A77EC2"/>
    <w:rsid w:val="00A8007D"/>
    <w:rsid w:val="00A80761"/>
    <w:rsid w:val="00A80DC8"/>
    <w:rsid w:val="00A812F5"/>
    <w:rsid w:val="00A814C5"/>
    <w:rsid w:val="00A81C20"/>
    <w:rsid w:val="00A81C21"/>
    <w:rsid w:val="00A82953"/>
    <w:rsid w:val="00A82B2C"/>
    <w:rsid w:val="00A8339C"/>
    <w:rsid w:val="00A833A8"/>
    <w:rsid w:val="00A83D36"/>
    <w:rsid w:val="00A8427B"/>
    <w:rsid w:val="00A84B23"/>
    <w:rsid w:val="00A84B4C"/>
    <w:rsid w:val="00A85897"/>
    <w:rsid w:val="00A86E22"/>
    <w:rsid w:val="00A87141"/>
    <w:rsid w:val="00A87174"/>
    <w:rsid w:val="00A87279"/>
    <w:rsid w:val="00A87E95"/>
    <w:rsid w:val="00A900FE"/>
    <w:rsid w:val="00A92C9A"/>
    <w:rsid w:val="00A9370A"/>
    <w:rsid w:val="00A9440E"/>
    <w:rsid w:val="00A94E2C"/>
    <w:rsid w:val="00A94F2D"/>
    <w:rsid w:val="00A95DD5"/>
    <w:rsid w:val="00A96022"/>
    <w:rsid w:val="00A966F4"/>
    <w:rsid w:val="00A96770"/>
    <w:rsid w:val="00A97932"/>
    <w:rsid w:val="00AA0197"/>
    <w:rsid w:val="00AA029D"/>
    <w:rsid w:val="00AA0306"/>
    <w:rsid w:val="00AA11A2"/>
    <w:rsid w:val="00AA20E4"/>
    <w:rsid w:val="00AA221F"/>
    <w:rsid w:val="00AA2C0B"/>
    <w:rsid w:val="00AA2CA6"/>
    <w:rsid w:val="00AA3786"/>
    <w:rsid w:val="00AA38B9"/>
    <w:rsid w:val="00AA438D"/>
    <w:rsid w:val="00AA55E0"/>
    <w:rsid w:val="00AA5BC8"/>
    <w:rsid w:val="00AA61B7"/>
    <w:rsid w:val="00AA689B"/>
    <w:rsid w:val="00AA696C"/>
    <w:rsid w:val="00AA6E32"/>
    <w:rsid w:val="00AA7023"/>
    <w:rsid w:val="00AB00F1"/>
    <w:rsid w:val="00AB0CE7"/>
    <w:rsid w:val="00AB11B8"/>
    <w:rsid w:val="00AB1AAE"/>
    <w:rsid w:val="00AB22DC"/>
    <w:rsid w:val="00AB3569"/>
    <w:rsid w:val="00AB45BF"/>
    <w:rsid w:val="00AB511E"/>
    <w:rsid w:val="00AB5502"/>
    <w:rsid w:val="00AB5C16"/>
    <w:rsid w:val="00AB5C8E"/>
    <w:rsid w:val="00AB628D"/>
    <w:rsid w:val="00AB669C"/>
    <w:rsid w:val="00AB714B"/>
    <w:rsid w:val="00AC00B1"/>
    <w:rsid w:val="00AC0229"/>
    <w:rsid w:val="00AC088E"/>
    <w:rsid w:val="00AC12CF"/>
    <w:rsid w:val="00AC154D"/>
    <w:rsid w:val="00AC2548"/>
    <w:rsid w:val="00AC3C32"/>
    <w:rsid w:val="00AC3DB8"/>
    <w:rsid w:val="00AC66DE"/>
    <w:rsid w:val="00AC7DD1"/>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98A"/>
    <w:rsid w:val="00AE5C7F"/>
    <w:rsid w:val="00AE612D"/>
    <w:rsid w:val="00AF1629"/>
    <w:rsid w:val="00AF2172"/>
    <w:rsid w:val="00AF345A"/>
    <w:rsid w:val="00AF34EE"/>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ACC"/>
    <w:rsid w:val="00B04123"/>
    <w:rsid w:val="00B04548"/>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E74"/>
    <w:rsid w:val="00B25FA6"/>
    <w:rsid w:val="00B26009"/>
    <w:rsid w:val="00B26215"/>
    <w:rsid w:val="00B26918"/>
    <w:rsid w:val="00B26C44"/>
    <w:rsid w:val="00B27702"/>
    <w:rsid w:val="00B30025"/>
    <w:rsid w:val="00B30D14"/>
    <w:rsid w:val="00B31114"/>
    <w:rsid w:val="00B313D0"/>
    <w:rsid w:val="00B3156A"/>
    <w:rsid w:val="00B315E1"/>
    <w:rsid w:val="00B315F4"/>
    <w:rsid w:val="00B317DD"/>
    <w:rsid w:val="00B33EBC"/>
    <w:rsid w:val="00B33FC4"/>
    <w:rsid w:val="00B34E8B"/>
    <w:rsid w:val="00B34EFE"/>
    <w:rsid w:val="00B368B1"/>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62D1"/>
    <w:rsid w:val="00B501F4"/>
    <w:rsid w:val="00B50446"/>
    <w:rsid w:val="00B5051E"/>
    <w:rsid w:val="00B51B10"/>
    <w:rsid w:val="00B523E5"/>
    <w:rsid w:val="00B528A3"/>
    <w:rsid w:val="00B52E31"/>
    <w:rsid w:val="00B5349D"/>
    <w:rsid w:val="00B534E9"/>
    <w:rsid w:val="00B54031"/>
    <w:rsid w:val="00B54BDD"/>
    <w:rsid w:val="00B54ECC"/>
    <w:rsid w:val="00B54EE3"/>
    <w:rsid w:val="00B5501D"/>
    <w:rsid w:val="00B55733"/>
    <w:rsid w:val="00B558B6"/>
    <w:rsid w:val="00B55AEC"/>
    <w:rsid w:val="00B55C20"/>
    <w:rsid w:val="00B56166"/>
    <w:rsid w:val="00B565A9"/>
    <w:rsid w:val="00B5681F"/>
    <w:rsid w:val="00B56F11"/>
    <w:rsid w:val="00B57010"/>
    <w:rsid w:val="00B60E54"/>
    <w:rsid w:val="00B6152A"/>
    <w:rsid w:val="00B61A36"/>
    <w:rsid w:val="00B6219D"/>
    <w:rsid w:val="00B6283D"/>
    <w:rsid w:val="00B62B0D"/>
    <w:rsid w:val="00B62E87"/>
    <w:rsid w:val="00B635E2"/>
    <w:rsid w:val="00B636E6"/>
    <w:rsid w:val="00B64DB8"/>
    <w:rsid w:val="00B65087"/>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58D9"/>
    <w:rsid w:val="00B86386"/>
    <w:rsid w:val="00B8650B"/>
    <w:rsid w:val="00B868FA"/>
    <w:rsid w:val="00B86B3C"/>
    <w:rsid w:val="00B876BF"/>
    <w:rsid w:val="00B87BE7"/>
    <w:rsid w:val="00B87E94"/>
    <w:rsid w:val="00B90116"/>
    <w:rsid w:val="00B90ED9"/>
    <w:rsid w:val="00B911CD"/>
    <w:rsid w:val="00B91714"/>
    <w:rsid w:val="00B923B6"/>
    <w:rsid w:val="00B9293A"/>
    <w:rsid w:val="00B93021"/>
    <w:rsid w:val="00B93BE3"/>
    <w:rsid w:val="00B95FE2"/>
    <w:rsid w:val="00B962EE"/>
    <w:rsid w:val="00B97246"/>
    <w:rsid w:val="00B9725F"/>
    <w:rsid w:val="00B972B2"/>
    <w:rsid w:val="00B97390"/>
    <w:rsid w:val="00BA03EE"/>
    <w:rsid w:val="00BA095C"/>
    <w:rsid w:val="00BA1836"/>
    <w:rsid w:val="00BA18D4"/>
    <w:rsid w:val="00BA224E"/>
    <w:rsid w:val="00BA258A"/>
    <w:rsid w:val="00BA2A3D"/>
    <w:rsid w:val="00BA31EF"/>
    <w:rsid w:val="00BA3973"/>
    <w:rsid w:val="00BA42E0"/>
    <w:rsid w:val="00BA5246"/>
    <w:rsid w:val="00BA59AD"/>
    <w:rsid w:val="00BA5A7D"/>
    <w:rsid w:val="00BA63BB"/>
    <w:rsid w:val="00BA65C8"/>
    <w:rsid w:val="00BA6A89"/>
    <w:rsid w:val="00BA6F7A"/>
    <w:rsid w:val="00BA735D"/>
    <w:rsid w:val="00BA79B7"/>
    <w:rsid w:val="00BB0B76"/>
    <w:rsid w:val="00BB0D35"/>
    <w:rsid w:val="00BB13C5"/>
    <w:rsid w:val="00BB1812"/>
    <w:rsid w:val="00BB23CB"/>
    <w:rsid w:val="00BB2532"/>
    <w:rsid w:val="00BB2686"/>
    <w:rsid w:val="00BB37EA"/>
    <w:rsid w:val="00BB3A96"/>
    <w:rsid w:val="00BB4D08"/>
    <w:rsid w:val="00BB51D8"/>
    <w:rsid w:val="00BB6A68"/>
    <w:rsid w:val="00BB739C"/>
    <w:rsid w:val="00BB7905"/>
    <w:rsid w:val="00BC0108"/>
    <w:rsid w:val="00BC088B"/>
    <w:rsid w:val="00BC1305"/>
    <w:rsid w:val="00BC1C76"/>
    <w:rsid w:val="00BC2587"/>
    <w:rsid w:val="00BC2854"/>
    <w:rsid w:val="00BC342A"/>
    <w:rsid w:val="00BC3C15"/>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3C9D"/>
    <w:rsid w:val="00BE4773"/>
    <w:rsid w:val="00BE4FDC"/>
    <w:rsid w:val="00BE5DFA"/>
    <w:rsid w:val="00BE6056"/>
    <w:rsid w:val="00BE6217"/>
    <w:rsid w:val="00BE7C10"/>
    <w:rsid w:val="00BF01B9"/>
    <w:rsid w:val="00BF0D7C"/>
    <w:rsid w:val="00BF1235"/>
    <w:rsid w:val="00BF1F39"/>
    <w:rsid w:val="00BF2AD9"/>
    <w:rsid w:val="00BF2FDA"/>
    <w:rsid w:val="00BF5877"/>
    <w:rsid w:val="00BF68A1"/>
    <w:rsid w:val="00BF71B2"/>
    <w:rsid w:val="00BF7AC5"/>
    <w:rsid w:val="00C006E1"/>
    <w:rsid w:val="00C007BB"/>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E4F"/>
    <w:rsid w:val="00C11D9D"/>
    <w:rsid w:val="00C11DA4"/>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10E"/>
    <w:rsid w:val="00C2196F"/>
    <w:rsid w:val="00C219E2"/>
    <w:rsid w:val="00C21C4E"/>
    <w:rsid w:val="00C21D0A"/>
    <w:rsid w:val="00C22D5B"/>
    <w:rsid w:val="00C22D64"/>
    <w:rsid w:val="00C22F22"/>
    <w:rsid w:val="00C2345B"/>
    <w:rsid w:val="00C2365F"/>
    <w:rsid w:val="00C23BF3"/>
    <w:rsid w:val="00C23DFE"/>
    <w:rsid w:val="00C23FDB"/>
    <w:rsid w:val="00C24B6B"/>
    <w:rsid w:val="00C25A02"/>
    <w:rsid w:val="00C268F6"/>
    <w:rsid w:val="00C26C87"/>
    <w:rsid w:val="00C2779B"/>
    <w:rsid w:val="00C27A33"/>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4DB6"/>
    <w:rsid w:val="00C45268"/>
    <w:rsid w:val="00C455CD"/>
    <w:rsid w:val="00C45BBF"/>
    <w:rsid w:val="00C46708"/>
    <w:rsid w:val="00C474EF"/>
    <w:rsid w:val="00C47B12"/>
    <w:rsid w:val="00C500D2"/>
    <w:rsid w:val="00C50922"/>
    <w:rsid w:val="00C51440"/>
    <w:rsid w:val="00C52089"/>
    <w:rsid w:val="00C536E7"/>
    <w:rsid w:val="00C53E87"/>
    <w:rsid w:val="00C54E60"/>
    <w:rsid w:val="00C55CDE"/>
    <w:rsid w:val="00C565E5"/>
    <w:rsid w:val="00C56885"/>
    <w:rsid w:val="00C56AE3"/>
    <w:rsid w:val="00C56D20"/>
    <w:rsid w:val="00C57069"/>
    <w:rsid w:val="00C57680"/>
    <w:rsid w:val="00C57997"/>
    <w:rsid w:val="00C60857"/>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298C"/>
    <w:rsid w:val="00C732D8"/>
    <w:rsid w:val="00C7377B"/>
    <w:rsid w:val="00C737D7"/>
    <w:rsid w:val="00C73886"/>
    <w:rsid w:val="00C73BEE"/>
    <w:rsid w:val="00C73DC4"/>
    <w:rsid w:val="00C74D41"/>
    <w:rsid w:val="00C756FD"/>
    <w:rsid w:val="00C75775"/>
    <w:rsid w:val="00C75C57"/>
    <w:rsid w:val="00C75E60"/>
    <w:rsid w:val="00C76261"/>
    <w:rsid w:val="00C76E4E"/>
    <w:rsid w:val="00C80261"/>
    <w:rsid w:val="00C808D5"/>
    <w:rsid w:val="00C810FC"/>
    <w:rsid w:val="00C812F8"/>
    <w:rsid w:val="00C83651"/>
    <w:rsid w:val="00C83754"/>
    <w:rsid w:val="00C83F2B"/>
    <w:rsid w:val="00C84998"/>
    <w:rsid w:val="00C855DB"/>
    <w:rsid w:val="00C85B9D"/>
    <w:rsid w:val="00C8664F"/>
    <w:rsid w:val="00C9056B"/>
    <w:rsid w:val="00C9111E"/>
    <w:rsid w:val="00C91446"/>
    <w:rsid w:val="00C919AB"/>
    <w:rsid w:val="00C92681"/>
    <w:rsid w:val="00C94994"/>
    <w:rsid w:val="00C94C04"/>
    <w:rsid w:val="00C94ED1"/>
    <w:rsid w:val="00C951C1"/>
    <w:rsid w:val="00C95675"/>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35C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9BA"/>
    <w:rsid w:val="00CC1DB2"/>
    <w:rsid w:val="00CC25C8"/>
    <w:rsid w:val="00CC2D5A"/>
    <w:rsid w:val="00CC367C"/>
    <w:rsid w:val="00CC3FEE"/>
    <w:rsid w:val="00CC416D"/>
    <w:rsid w:val="00CC45E5"/>
    <w:rsid w:val="00CC466F"/>
    <w:rsid w:val="00CC55E8"/>
    <w:rsid w:val="00CC5DF0"/>
    <w:rsid w:val="00CC66BB"/>
    <w:rsid w:val="00CC71C6"/>
    <w:rsid w:val="00CC7477"/>
    <w:rsid w:val="00CC7E7D"/>
    <w:rsid w:val="00CD0231"/>
    <w:rsid w:val="00CD04B5"/>
    <w:rsid w:val="00CD0968"/>
    <w:rsid w:val="00CD1491"/>
    <w:rsid w:val="00CD2580"/>
    <w:rsid w:val="00CD3218"/>
    <w:rsid w:val="00CD3739"/>
    <w:rsid w:val="00CD3AE0"/>
    <w:rsid w:val="00CD3B16"/>
    <w:rsid w:val="00CD3B6F"/>
    <w:rsid w:val="00CD3FB2"/>
    <w:rsid w:val="00CD4B83"/>
    <w:rsid w:val="00CD5020"/>
    <w:rsid w:val="00CD58BA"/>
    <w:rsid w:val="00CD6145"/>
    <w:rsid w:val="00CD64DE"/>
    <w:rsid w:val="00CD6D50"/>
    <w:rsid w:val="00CD7638"/>
    <w:rsid w:val="00CD7E95"/>
    <w:rsid w:val="00CE049D"/>
    <w:rsid w:val="00CE0D1A"/>
    <w:rsid w:val="00CE123E"/>
    <w:rsid w:val="00CE140B"/>
    <w:rsid w:val="00CE2476"/>
    <w:rsid w:val="00CE25CA"/>
    <w:rsid w:val="00CE2CBA"/>
    <w:rsid w:val="00CE302C"/>
    <w:rsid w:val="00CE31BD"/>
    <w:rsid w:val="00CE449A"/>
    <w:rsid w:val="00CE451E"/>
    <w:rsid w:val="00CE4619"/>
    <w:rsid w:val="00CE4BF2"/>
    <w:rsid w:val="00CE5169"/>
    <w:rsid w:val="00CE5E91"/>
    <w:rsid w:val="00CE6556"/>
    <w:rsid w:val="00CF01EA"/>
    <w:rsid w:val="00CF10EF"/>
    <w:rsid w:val="00CF1F53"/>
    <w:rsid w:val="00CF1FAE"/>
    <w:rsid w:val="00CF3BED"/>
    <w:rsid w:val="00CF4A6D"/>
    <w:rsid w:val="00CF593F"/>
    <w:rsid w:val="00CF5B89"/>
    <w:rsid w:val="00CF6459"/>
    <w:rsid w:val="00CF6510"/>
    <w:rsid w:val="00CF65E5"/>
    <w:rsid w:val="00CF66B8"/>
    <w:rsid w:val="00CF6971"/>
    <w:rsid w:val="00CF6D04"/>
    <w:rsid w:val="00CF7327"/>
    <w:rsid w:val="00CF779F"/>
    <w:rsid w:val="00CF7C57"/>
    <w:rsid w:val="00D000D1"/>
    <w:rsid w:val="00D0041D"/>
    <w:rsid w:val="00D0074A"/>
    <w:rsid w:val="00D00AC1"/>
    <w:rsid w:val="00D00D3F"/>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79"/>
    <w:rsid w:val="00D113FF"/>
    <w:rsid w:val="00D11E7B"/>
    <w:rsid w:val="00D12C52"/>
    <w:rsid w:val="00D12D84"/>
    <w:rsid w:val="00D12F80"/>
    <w:rsid w:val="00D14D31"/>
    <w:rsid w:val="00D14E13"/>
    <w:rsid w:val="00D16547"/>
    <w:rsid w:val="00D20368"/>
    <w:rsid w:val="00D209D8"/>
    <w:rsid w:val="00D20B6C"/>
    <w:rsid w:val="00D20DAB"/>
    <w:rsid w:val="00D2186C"/>
    <w:rsid w:val="00D229C4"/>
    <w:rsid w:val="00D239A5"/>
    <w:rsid w:val="00D24260"/>
    <w:rsid w:val="00D2457A"/>
    <w:rsid w:val="00D25024"/>
    <w:rsid w:val="00D25A36"/>
    <w:rsid w:val="00D26250"/>
    <w:rsid w:val="00D2737B"/>
    <w:rsid w:val="00D3007F"/>
    <w:rsid w:val="00D30447"/>
    <w:rsid w:val="00D306F5"/>
    <w:rsid w:val="00D30DBA"/>
    <w:rsid w:val="00D30EC7"/>
    <w:rsid w:val="00D33362"/>
    <w:rsid w:val="00D33C0D"/>
    <w:rsid w:val="00D34C41"/>
    <w:rsid w:val="00D35BC6"/>
    <w:rsid w:val="00D3635F"/>
    <w:rsid w:val="00D36532"/>
    <w:rsid w:val="00D366AA"/>
    <w:rsid w:val="00D367F9"/>
    <w:rsid w:val="00D37FBA"/>
    <w:rsid w:val="00D40A87"/>
    <w:rsid w:val="00D40D10"/>
    <w:rsid w:val="00D418AA"/>
    <w:rsid w:val="00D41CA2"/>
    <w:rsid w:val="00D42026"/>
    <w:rsid w:val="00D424A2"/>
    <w:rsid w:val="00D4251B"/>
    <w:rsid w:val="00D42ECA"/>
    <w:rsid w:val="00D44BD1"/>
    <w:rsid w:val="00D45073"/>
    <w:rsid w:val="00D45359"/>
    <w:rsid w:val="00D47125"/>
    <w:rsid w:val="00D47AB6"/>
    <w:rsid w:val="00D507D9"/>
    <w:rsid w:val="00D50BC3"/>
    <w:rsid w:val="00D51FA2"/>
    <w:rsid w:val="00D52E63"/>
    <w:rsid w:val="00D53E86"/>
    <w:rsid w:val="00D545A8"/>
    <w:rsid w:val="00D548A5"/>
    <w:rsid w:val="00D548E5"/>
    <w:rsid w:val="00D55BD9"/>
    <w:rsid w:val="00D56163"/>
    <w:rsid w:val="00D566F5"/>
    <w:rsid w:val="00D56BF3"/>
    <w:rsid w:val="00D60503"/>
    <w:rsid w:val="00D61FE3"/>
    <w:rsid w:val="00D62605"/>
    <w:rsid w:val="00D63073"/>
    <w:rsid w:val="00D630C0"/>
    <w:rsid w:val="00D6362A"/>
    <w:rsid w:val="00D63DA5"/>
    <w:rsid w:val="00D641BC"/>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01F"/>
    <w:rsid w:val="00D7536B"/>
    <w:rsid w:val="00D75AD5"/>
    <w:rsid w:val="00D81033"/>
    <w:rsid w:val="00D81136"/>
    <w:rsid w:val="00D815F0"/>
    <w:rsid w:val="00D81DB6"/>
    <w:rsid w:val="00D8200C"/>
    <w:rsid w:val="00D82C07"/>
    <w:rsid w:val="00D82CE9"/>
    <w:rsid w:val="00D8317A"/>
    <w:rsid w:val="00D84964"/>
    <w:rsid w:val="00D84AEE"/>
    <w:rsid w:val="00D8502A"/>
    <w:rsid w:val="00D850ED"/>
    <w:rsid w:val="00D85E53"/>
    <w:rsid w:val="00D865D9"/>
    <w:rsid w:val="00D86B99"/>
    <w:rsid w:val="00D874E3"/>
    <w:rsid w:val="00D90CED"/>
    <w:rsid w:val="00D9154A"/>
    <w:rsid w:val="00D923F4"/>
    <w:rsid w:val="00D93271"/>
    <w:rsid w:val="00D93F15"/>
    <w:rsid w:val="00D9475D"/>
    <w:rsid w:val="00D95A96"/>
    <w:rsid w:val="00D96319"/>
    <w:rsid w:val="00D9673D"/>
    <w:rsid w:val="00D9727B"/>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5E8"/>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99F"/>
    <w:rsid w:val="00DC1C5C"/>
    <w:rsid w:val="00DC2465"/>
    <w:rsid w:val="00DC252B"/>
    <w:rsid w:val="00DC2811"/>
    <w:rsid w:val="00DC458D"/>
    <w:rsid w:val="00DC4BE1"/>
    <w:rsid w:val="00DC5054"/>
    <w:rsid w:val="00DC596B"/>
    <w:rsid w:val="00DC5F95"/>
    <w:rsid w:val="00DC78C5"/>
    <w:rsid w:val="00DC78FE"/>
    <w:rsid w:val="00DC7910"/>
    <w:rsid w:val="00DC7CCB"/>
    <w:rsid w:val="00DD016C"/>
    <w:rsid w:val="00DD054C"/>
    <w:rsid w:val="00DD0B1B"/>
    <w:rsid w:val="00DD0CEE"/>
    <w:rsid w:val="00DD1994"/>
    <w:rsid w:val="00DD1BAF"/>
    <w:rsid w:val="00DD2585"/>
    <w:rsid w:val="00DD2826"/>
    <w:rsid w:val="00DD2D97"/>
    <w:rsid w:val="00DD32BB"/>
    <w:rsid w:val="00DD3AC7"/>
    <w:rsid w:val="00DD3C71"/>
    <w:rsid w:val="00DD3CA3"/>
    <w:rsid w:val="00DD3CB3"/>
    <w:rsid w:val="00DD3D23"/>
    <w:rsid w:val="00DD424A"/>
    <w:rsid w:val="00DD476F"/>
    <w:rsid w:val="00DD4E98"/>
    <w:rsid w:val="00DD53B6"/>
    <w:rsid w:val="00DD5490"/>
    <w:rsid w:val="00DD58B8"/>
    <w:rsid w:val="00DD5EFB"/>
    <w:rsid w:val="00DD618F"/>
    <w:rsid w:val="00DD6784"/>
    <w:rsid w:val="00DD71CD"/>
    <w:rsid w:val="00DD7A5E"/>
    <w:rsid w:val="00DD7A78"/>
    <w:rsid w:val="00DE00F6"/>
    <w:rsid w:val="00DE1132"/>
    <w:rsid w:val="00DE1694"/>
    <w:rsid w:val="00DE1E31"/>
    <w:rsid w:val="00DE2C26"/>
    <w:rsid w:val="00DE2CFB"/>
    <w:rsid w:val="00DE414D"/>
    <w:rsid w:val="00DE4B00"/>
    <w:rsid w:val="00DE5048"/>
    <w:rsid w:val="00DE5EAD"/>
    <w:rsid w:val="00DE68DD"/>
    <w:rsid w:val="00DE77DC"/>
    <w:rsid w:val="00DF0FAE"/>
    <w:rsid w:val="00DF10C1"/>
    <w:rsid w:val="00DF1506"/>
    <w:rsid w:val="00DF1F74"/>
    <w:rsid w:val="00DF206D"/>
    <w:rsid w:val="00DF2FA1"/>
    <w:rsid w:val="00DF45E0"/>
    <w:rsid w:val="00DF5862"/>
    <w:rsid w:val="00DF5E93"/>
    <w:rsid w:val="00DF66BB"/>
    <w:rsid w:val="00DF7D55"/>
    <w:rsid w:val="00E004E6"/>
    <w:rsid w:val="00E00E3A"/>
    <w:rsid w:val="00E013E9"/>
    <w:rsid w:val="00E013EF"/>
    <w:rsid w:val="00E017F2"/>
    <w:rsid w:val="00E01B2C"/>
    <w:rsid w:val="00E0267C"/>
    <w:rsid w:val="00E02932"/>
    <w:rsid w:val="00E02CE1"/>
    <w:rsid w:val="00E03960"/>
    <w:rsid w:val="00E03B4B"/>
    <w:rsid w:val="00E043FA"/>
    <w:rsid w:val="00E0468C"/>
    <w:rsid w:val="00E04ACE"/>
    <w:rsid w:val="00E04E12"/>
    <w:rsid w:val="00E069C1"/>
    <w:rsid w:val="00E0725D"/>
    <w:rsid w:val="00E07973"/>
    <w:rsid w:val="00E1063D"/>
    <w:rsid w:val="00E10676"/>
    <w:rsid w:val="00E10E12"/>
    <w:rsid w:val="00E119EA"/>
    <w:rsid w:val="00E11DFA"/>
    <w:rsid w:val="00E123BB"/>
    <w:rsid w:val="00E12B19"/>
    <w:rsid w:val="00E12DB1"/>
    <w:rsid w:val="00E13363"/>
    <w:rsid w:val="00E1374F"/>
    <w:rsid w:val="00E13856"/>
    <w:rsid w:val="00E13E2F"/>
    <w:rsid w:val="00E13E64"/>
    <w:rsid w:val="00E143AB"/>
    <w:rsid w:val="00E14C82"/>
    <w:rsid w:val="00E14DC7"/>
    <w:rsid w:val="00E15278"/>
    <w:rsid w:val="00E156FD"/>
    <w:rsid w:val="00E1582A"/>
    <w:rsid w:val="00E15846"/>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794"/>
    <w:rsid w:val="00E25917"/>
    <w:rsid w:val="00E261E0"/>
    <w:rsid w:val="00E26580"/>
    <w:rsid w:val="00E2721C"/>
    <w:rsid w:val="00E27B4B"/>
    <w:rsid w:val="00E311CE"/>
    <w:rsid w:val="00E31BB4"/>
    <w:rsid w:val="00E31D2B"/>
    <w:rsid w:val="00E31E30"/>
    <w:rsid w:val="00E31E40"/>
    <w:rsid w:val="00E33520"/>
    <w:rsid w:val="00E33741"/>
    <w:rsid w:val="00E33D3D"/>
    <w:rsid w:val="00E34263"/>
    <w:rsid w:val="00E35EC1"/>
    <w:rsid w:val="00E35F95"/>
    <w:rsid w:val="00E3623E"/>
    <w:rsid w:val="00E369E0"/>
    <w:rsid w:val="00E36F87"/>
    <w:rsid w:val="00E36FAF"/>
    <w:rsid w:val="00E37775"/>
    <w:rsid w:val="00E37879"/>
    <w:rsid w:val="00E37E3F"/>
    <w:rsid w:val="00E4029A"/>
    <w:rsid w:val="00E410B5"/>
    <w:rsid w:val="00E41A0A"/>
    <w:rsid w:val="00E41DFA"/>
    <w:rsid w:val="00E4205C"/>
    <w:rsid w:val="00E42264"/>
    <w:rsid w:val="00E42D1E"/>
    <w:rsid w:val="00E433EA"/>
    <w:rsid w:val="00E43435"/>
    <w:rsid w:val="00E4394F"/>
    <w:rsid w:val="00E44850"/>
    <w:rsid w:val="00E44A2E"/>
    <w:rsid w:val="00E455A1"/>
    <w:rsid w:val="00E45841"/>
    <w:rsid w:val="00E45DF0"/>
    <w:rsid w:val="00E45F05"/>
    <w:rsid w:val="00E46A3A"/>
    <w:rsid w:val="00E47A30"/>
    <w:rsid w:val="00E50E09"/>
    <w:rsid w:val="00E52D23"/>
    <w:rsid w:val="00E538E8"/>
    <w:rsid w:val="00E540CA"/>
    <w:rsid w:val="00E5440E"/>
    <w:rsid w:val="00E54462"/>
    <w:rsid w:val="00E54583"/>
    <w:rsid w:val="00E55F46"/>
    <w:rsid w:val="00E5633C"/>
    <w:rsid w:val="00E56E97"/>
    <w:rsid w:val="00E56EE4"/>
    <w:rsid w:val="00E60661"/>
    <w:rsid w:val="00E60A17"/>
    <w:rsid w:val="00E621FE"/>
    <w:rsid w:val="00E62CBA"/>
    <w:rsid w:val="00E648F7"/>
    <w:rsid w:val="00E64CC9"/>
    <w:rsid w:val="00E65099"/>
    <w:rsid w:val="00E65E40"/>
    <w:rsid w:val="00E6690D"/>
    <w:rsid w:val="00E67861"/>
    <w:rsid w:val="00E67D3C"/>
    <w:rsid w:val="00E702B9"/>
    <w:rsid w:val="00E71269"/>
    <w:rsid w:val="00E71EAE"/>
    <w:rsid w:val="00E72CD5"/>
    <w:rsid w:val="00E735E9"/>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BB7"/>
    <w:rsid w:val="00E86711"/>
    <w:rsid w:val="00E86798"/>
    <w:rsid w:val="00E90506"/>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144E"/>
    <w:rsid w:val="00EA2148"/>
    <w:rsid w:val="00EA2C19"/>
    <w:rsid w:val="00EA3031"/>
    <w:rsid w:val="00EA3072"/>
    <w:rsid w:val="00EA3728"/>
    <w:rsid w:val="00EA3B39"/>
    <w:rsid w:val="00EA3BBF"/>
    <w:rsid w:val="00EA3EA7"/>
    <w:rsid w:val="00EA4F63"/>
    <w:rsid w:val="00EA689E"/>
    <w:rsid w:val="00EA7BE2"/>
    <w:rsid w:val="00EA7C5F"/>
    <w:rsid w:val="00EA7FAC"/>
    <w:rsid w:val="00EB0480"/>
    <w:rsid w:val="00EB0E25"/>
    <w:rsid w:val="00EB1A72"/>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0EFF"/>
    <w:rsid w:val="00ED18EC"/>
    <w:rsid w:val="00ED2378"/>
    <w:rsid w:val="00ED29A6"/>
    <w:rsid w:val="00ED35F3"/>
    <w:rsid w:val="00ED3C6C"/>
    <w:rsid w:val="00ED525B"/>
    <w:rsid w:val="00ED5337"/>
    <w:rsid w:val="00ED59E7"/>
    <w:rsid w:val="00ED638C"/>
    <w:rsid w:val="00ED72E4"/>
    <w:rsid w:val="00ED7403"/>
    <w:rsid w:val="00ED7AA8"/>
    <w:rsid w:val="00ED7E25"/>
    <w:rsid w:val="00EE057C"/>
    <w:rsid w:val="00EE0690"/>
    <w:rsid w:val="00EE0858"/>
    <w:rsid w:val="00EE236A"/>
    <w:rsid w:val="00EE2649"/>
    <w:rsid w:val="00EE296D"/>
    <w:rsid w:val="00EE3015"/>
    <w:rsid w:val="00EE31AF"/>
    <w:rsid w:val="00EE3279"/>
    <w:rsid w:val="00EE34A1"/>
    <w:rsid w:val="00EE41A1"/>
    <w:rsid w:val="00EE50C5"/>
    <w:rsid w:val="00EE536C"/>
    <w:rsid w:val="00EE53E7"/>
    <w:rsid w:val="00EE71BF"/>
    <w:rsid w:val="00EE73E5"/>
    <w:rsid w:val="00EE7B44"/>
    <w:rsid w:val="00EE7D04"/>
    <w:rsid w:val="00EE7FB9"/>
    <w:rsid w:val="00EF09AC"/>
    <w:rsid w:val="00EF14D1"/>
    <w:rsid w:val="00EF1DD2"/>
    <w:rsid w:val="00EF39CA"/>
    <w:rsid w:val="00EF4735"/>
    <w:rsid w:val="00EF58D9"/>
    <w:rsid w:val="00EF58F2"/>
    <w:rsid w:val="00EF60C8"/>
    <w:rsid w:val="00EF6733"/>
    <w:rsid w:val="00EF6AD7"/>
    <w:rsid w:val="00F006A9"/>
    <w:rsid w:val="00F009EB"/>
    <w:rsid w:val="00F00F0F"/>
    <w:rsid w:val="00F01700"/>
    <w:rsid w:val="00F017FB"/>
    <w:rsid w:val="00F01F7A"/>
    <w:rsid w:val="00F02736"/>
    <w:rsid w:val="00F02A35"/>
    <w:rsid w:val="00F02DE0"/>
    <w:rsid w:val="00F030A2"/>
    <w:rsid w:val="00F0344E"/>
    <w:rsid w:val="00F03930"/>
    <w:rsid w:val="00F04327"/>
    <w:rsid w:val="00F04DD4"/>
    <w:rsid w:val="00F053FC"/>
    <w:rsid w:val="00F05564"/>
    <w:rsid w:val="00F06302"/>
    <w:rsid w:val="00F06444"/>
    <w:rsid w:val="00F079CC"/>
    <w:rsid w:val="00F104BA"/>
    <w:rsid w:val="00F127F0"/>
    <w:rsid w:val="00F13509"/>
    <w:rsid w:val="00F1360C"/>
    <w:rsid w:val="00F1390D"/>
    <w:rsid w:val="00F13B53"/>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A7C"/>
    <w:rsid w:val="00F26E77"/>
    <w:rsid w:val="00F26F0E"/>
    <w:rsid w:val="00F2789C"/>
    <w:rsid w:val="00F310A3"/>
    <w:rsid w:val="00F31B8A"/>
    <w:rsid w:val="00F31FDD"/>
    <w:rsid w:val="00F323A8"/>
    <w:rsid w:val="00F334EB"/>
    <w:rsid w:val="00F339B3"/>
    <w:rsid w:val="00F34104"/>
    <w:rsid w:val="00F34DC1"/>
    <w:rsid w:val="00F34DEA"/>
    <w:rsid w:val="00F353FC"/>
    <w:rsid w:val="00F35DBE"/>
    <w:rsid w:val="00F36B23"/>
    <w:rsid w:val="00F370C9"/>
    <w:rsid w:val="00F37101"/>
    <w:rsid w:val="00F377CE"/>
    <w:rsid w:val="00F40094"/>
    <w:rsid w:val="00F40646"/>
    <w:rsid w:val="00F41B36"/>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42F"/>
    <w:rsid w:val="00F64C5A"/>
    <w:rsid w:val="00F65A95"/>
    <w:rsid w:val="00F66D81"/>
    <w:rsid w:val="00F67C3E"/>
    <w:rsid w:val="00F70281"/>
    <w:rsid w:val="00F707C2"/>
    <w:rsid w:val="00F707EE"/>
    <w:rsid w:val="00F710EA"/>
    <w:rsid w:val="00F711DC"/>
    <w:rsid w:val="00F71CBD"/>
    <w:rsid w:val="00F73249"/>
    <w:rsid w:val="00F74615"/>
    <w:rsid w:val="00F74CF0"/>
    <w:rsid w:val="00F75115"/>
    <w:rsid w:val="00F75D29"/>
    <w:rsid w:val="00F75F03"/>
    <w:rsid w:val="00F77624"/>
    <w:rsid w:val="00F80108"/>
    <w:rsid w:val="00F804E8"/>
    <w:rsid w:val="00F80DF4"/>
    <w:rsid w:val="00F8181F"/>
    <w:rsid w:val="00F81B8A"/>
    <w:rsid w:val="00F8258C"/>
    <w:rsid w:val="00F826FD"/>
    <w:rsid w:val="00F82789"/>
    <w:rsid w:val="00F82BC8"/>
    <w:rsid w:val="00F82E77"/>
    <w:rsid w:val="00F838C1"/>
    <w:rsid w:val="00F83C99"/>
    <w:rsid w:val="00F84C3A"/>
    <w:rsid w:val="00F85662"/>
    <w:rsid w:val="00F86E1B"/>
    <w:rsid w:val="00F902E3"/>
    <w:rsid w:val="00F921D2"/>
    <w:rsid w:val="00F92334"/>
    <w:rsid w:val="00F925E7"/>
    <w:rsid w:val="00F926AE"/>
    <w:rsid w:val="00F937E1"/>
    <w:rsid w:val="00F93EFB"/>
    <w:rsid w:val="00F94647"/>
    <w:rsid w:val="00F94E54"/>
    <w:rsid w:val="00F9524E"/>
    <w:rsid w:val="00F958CB"/>
    <w:rsid w:val="00F95BEE"/>
    <w:rsid w:val="00F95E73"/>
    <w:rsid w:val="00F95E95"/>
    <w:rsid w:val="00F966D6"/>
    <w:rsid w:val="00F96B6E"/>
    <w:rsid w:val="00F971CA"/>
    <w:rsid w:val="00F97B8D"/>
    <w:rsid w:val="00FA001C"/>
    <w:rsid w:val="00FA0211"/>
    <w:rsid w:val="00FA035D"/>
    <w:rsid w:val="00FA062E"/>
    <w:rsid w:val="00FA197C"/>
    <w:rsid w:val="00FA1B8A"/>
    <w:rsid w:val="00FA2900"/>
    <w:rsid w:val="00FA39AD"/>
    <w:rsid w:val="00FA3C84"/>
    <w:rsid w:val="00FA46ED"/>
    <w:rsid w:val="00FA4A5E"/>
    <w:rsid w:val="00FA4B22"/>
    <w:rsid w:val="00FA5829"/>
    <w:rsid w:val="00FA6825"/>
    <w:rsid w:val="00FA746C"/>
    <w:rsid w:val="00FA7B8D"/>
    <w:rsid w:val="00FB0C83"/>
    <w:rsid w:val="00FB1043"/>
    <w:rsid w:val="00FB20F3"/>
    <w:rsid w:val="00FB43AC"/>
    <w:rsid w:val="00FB47EA"/>
    <w:rsid w:val="00FB4B1B"/>
    <w:rsid w:val="00FB567E"/>
    <w:rsid w:val="00FB7C38"/>
    <w:rsid w:val="00FB7F1F"/>
    <w:rsid w:val="00FC054A"/>
    <w:rsid w:val="00FC0790"/>
    <w:rsid w:val="00FC0A0D"/>
    <w:rsid w:val="00FC0F4A"/>
    <w:rsid w:val="00FC1289"/>
    <w:rsid w:val="00FC16C4"/>
    <w:rsid w:val="00FC2A6F"/>
    <w:rsid w:val="00FC2C91"/>
    <w:rsid w:val="00FC3400"/>
    <w:rsid w:val="00FC3459"/>
    <w:rsid w:val="00FC387F"/>
    <w:rsid w:val="00FC4C6D"/>
    <w:rsid w:val="00FC4DC2"/>
    <w:rsid w:val="00FC4F3E"/>
    <w:rsid w:val="00FC525C"/>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CFD"/>
    <w:rsid w:val="00FD4F18"/>
    <w:rsid w:val="00FD559A"/>
    <w:rsid w:val="00FD5D4A"/>
    <w:rsid w:val="00FD5E7F"/>
    <w:rsid w:val="00FD6B5B"/>
    <w:rsid w:val="00FE05FC"/>
    <w:rsid w:val="00FE0693"/>
    <w:rsid w:val="00FE086E"/>
    <w:rsid w:val="00FE0AF4"/>
    <w:rsid w:val="00FE127F"/>
    <w:rsid w:val="00FE27EE"/>
    <w:rsid w:val="00FE30E1"/>
    <w:rsid w:val="00FE5141"/>
    <w:rsid w:val="00FE520C"/>
    <w:rsid w:val="00FE6556"/>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776"/>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CED"/>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microsoft.com/office/2007/relationships/hdphoto" Target="media/hdphoto1.wdp"/></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9F2E3-414D-4DD7-B695-941EF7692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15</Pages>
  <Words>5462</Words>
  <Characters>30041</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tjao_personal</cp:lastModifiedBy>
  <cp:revision>30</cp:revision>
  <cp:lastPrinted>2022-06-24T19:43:00Z</cp:lastPrinted>
  <dcterms:created xsi:type="dcterms:W3CDTF">2023-08-31T21:18:00Z</dcterms:created>
  <dcterms:modified xsi:type="dcterms:W3CDTF">2023-10-24T17:46:00Z</dcterms:modified>
</cp:coreProperties>
</file>