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D16A3" w14:textId="77777777" w:rsidR="00270F0A" w:rsidRDefault="00725FA7">
      <w:pPr>
        <w:ind w:left="3261" w:right="51"/>
        <w:jc w:val="both"/>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RECURSO DE REVISIÓN: </w:t>
      </w:r>
      <w:r>
        <w:rPr>
          <w:rFonts w:ascii="Century Gothic" w:eastAsia="Century Gothic" w:hAnsi="Century Gothic" w:cs="Century Gothic"/>
          <w:sz w:val="24"/>
          <w:szCs w:val="24"/>
        </w:rPr>
        <w:t>0149/2023.</w:t>
      </w:r>
    </w:p>
    <w:p w14:paraId="125A1BB2" w14:textId="77777777" w:rsidR="00270F0A" w:rsidRDefault="00725FA7">
      <w:pPr>
        <w:ind w:left="3261" w:right="51"/>
        <w:jc w:val="both"/>
        <w:rPr>
          <w:rFonts w:ascii="Century Gothic" w:eastAsia="Century Gothic" w:hAnsi="Century Gothic" w:cs="Century Gothic"/>
          <w:b/>
          <w:sz w:val="24"/>
          <w:szCs w:val="24"/>
        </w:rPr>
      </w:pPr>
      <w:bookmarkStart w:id="0" w:name="_heading=h.gjdgxs" w:colFirst="0" w:colLast="0"/>
      <w:bookmarkEnd w:id="0"/>
      <w:r>
        <w:rPr>
          <w:rFonts w:ascii="Century Gothic" w:eastAsia="Century Gothic" w:hAnsi="Century Gothic" w:cs="Century Gothic"/>
          <w:b/>
          <w:sz w:val="24"/>
          <w:szCs w:val="24"/>
        </w:rPr>
        <w:t>JUICIO DE NULIDAD:</w:t>
      </w:r>
      <w:r>
        <w:rPr>
          <w:rFonts w:ascii="Century Gothic" w:eastAsia="Century Gothic" w:hAnsi="Century Gothic" w:cs="Century Gothic"/>
          <w:sz w:val="24"/>
          <w:szCs w:val="24"/>
        </w:rPr>
        <w:t xml:space="preserve"> </w:t>
      </w:r>
      <w:r>
        <w:rPr>
          <w:rFonts w:ascii="Century Gothic" w:eastAsia="Century Gothic" w:hAnsi="Century Gothic" w:cs="Century Gothic"/>
          <w:b/>
          <w:sz w:val="24"/>
          <w:szCs w:val="24"/>
        </w:rPr>
        <w:t xml:space="preserve">139/2020 DE LA SEGUNDA SALA UNITARIA DE PRIMERA INSTANCIA. </w:t>
      </w:r>
    </w:p>
    <w:p w14:paraId="25E54326" w14:textId="77777777" w:rsidR="00270F0A" w:rsidRDefault="00725FA7">
      <w:pPr>
        <w:ind w:left="3261" w:right="51"/>
        <w:jc w:val="both"/>
        <w:rPr>
          <w:rFonts w:ascii="Century Gothic" w:eastAsia="Century Gothic" w:hAnsi="Century Gothic" w:cs="Century Gothic"/>
          <w:sz w:val="24"/>
          <w:szCs w:val="24"/>
        </w:rPr>
      </w:pPr>
      <w:r>
        <w:rPr>
          <w:rFonts w:ascii="Century Gothic" w:eastAsia="Century Gothic" w:hAnsi="Century Gothic" w:cs="Century Gothic"/>
          <w:b/>
          <w:sz w:val="24"/>
          <w:szCs w:val="24"/>
        </w:rPr>
        <w:t>RECURRENTE:</w:t>
      </w:r>
      <w:r>
        <w:rPr>
          <w:rFonts w:ascii="Century Gothic" w:eastAsia="Century Gothic" w:hAnsi="Century Gothic" w:cs="Century Gothic"/>
          <w:sz w:val="24"/>
          <w:szCs w:val="24"/>
        </w:rPr>
        <w:t xml:space="preserve"> REYNALDO GUZMÁN CANSECO, EN SU CARÁCTER DE POLICÍA TERCERO VIAL CON NÚMERO ESTADÍSTICO P.V.-012 ADSCRITO A LA DIRECCIÓN DE MOVILIDAD DEL MUNICIPIO DE OAXACA DE JUÁREZ.</w:t>
      </w:r>
    </w:p>
    <w:p w14:paraId="674DC738" w14:textId="77777777" w:rsidR="00270F0A" w:rsidRDefault="00725FA7">
      <w:pPr>
        <w:ind w:left="3261" w:right="51"/>
        <w:jc w:val="both"/>
        <w:rPr>
          <w:rFonts w:ascii="Century Gothic" w:eastAsia="Century Gothic" w:hAnsi="Century Gothic" w:cs="Century Gothic"/>
          <w:sz w:val="24"/>
          <w:szCs w:val="24"/>
        </w:rPr>
      </w:pPr>
      <w:r>
        <w:rPr>
          <w:rFonts w:ascii="Century Gothic" w:eastAsia="Century Gothic" w:hAnsi="Century Gothic" w:cs="Century Gothic"/>
          <w:b/>
          <w:sz w:val="24"/>
          <w:szCs w:val="24"/>
        </w:rPr>
        <w:t>PONENTE:</w:t>
      </w:r>
      <w:r>
        <w:rPr>
          <w:rFonts w:ascii="Century Gothic" w:eastAsia="Century Gothic" w:hAnsi="Century Gothic" w:cs="Century Gothic"/>
          <w:sz w:val="24"/>
          <w:szCs w:val="24"/>
        </w:rPr>
        <w:t xml:space="preserve"> MAGISTRADA CRUZ ITZEL ESPINOSA ROJAS.</w:t>
      </w:r>
    </w:p>
    <w:p w14:paraId="2DE094F3" w14:textId="77777777" w:rsidR="00270F0A" w:rsidRDefault="00270F0A">
      <w:pPr>
        <w:spacing w:after="0"/>
        <w:ind w:left="2694" w:right="51"/>
        <w:jc w:val="both"/>
        <w:rPr>
          <w:rFonts w:ascii="Century Gothic" w:eastAsia="Century Gothic" w:hAnsi="Century Gothic" w:cs="Century Gothic"/>
          <w:sz w:val="24"/>
          <w:szCs w:val="24"/>
        </w:rPr>
      </w:pPr>
    </w:p>
    <w:p w14:paraId="1BBEED72" w14:textId="017F1B1B" w:rsidR="00270F0A" w:rsidRDefault="00725FA7">
      <w:pPr>
        <w:widowControl w:val="0"/>
        <w:spacing w:line="360" w:lineRule="auto"/>
        <w:ind w:right="51" w:firstLine="709"/>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OAXACA DE JUÁREZ, OAXACA, A VEINTI</w:t>
      </w:r>
      <w:r w:rsidR="00B76B6D">
        <w:rPr>
          <w:rFonts w:ascii="Century Gothic" w:eastAsia="Century Gothic" w:hAnsi="Century Gothic" w:cs="Century Gothic"/>
          <w:b/>
          <w:sz w:val="24"/>
          <w:szCs w:val="24"/>
        </w:rPr>
        <w:t>OCHO</w:t>
      </w:r>
      <w:r>
        <w:rPr>
          <w:rFonts w:ascii="Century Gothic" w:eastAsia="Century Gothic" w:hAnsi="Century Gothic" w:cs="Century Gothic"/>
          <w:b/>
          <w:sz w:val="24"/>
          <w:szCs w:val="24"/>
        </w:rPr>
        <w:t xml:space="preserve"> DE SEPTIEMBRE DE DOS MIL VEINTITRÉS. - - - - - - - - - - - - - - - - - - - - - - - - - - - - - - - - - - - -</w:t>
      </w:r>
    </w:p>
    <w:p w14:paraId="06A7E69D" w14:textId="1F14F808" w:rsidR="00270F0A" w:rsidRDefault="00725FA7">
      <w:pPr>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 </w:t>
      </w:r>
      <w:r>
        <w:rPr>
          <w:rFonts w:ascii="Century Gothic" w:eastAsia="Century Gothic" w:hAnsi="Century Gothic" w:cs="Century Gothic"/>
          <w:b/>
          <w:sz w:val="24"/>
          <w:szCs w:val="24"/>
        </w:rPr>
        <w:t>ÚNICO. Remisión del recurso</w:t>
      </w:r>
      <w:r>
        <w:rPr>
          <w:rFonts w:ascii="Century Gothic" w:eastAsia="Century Gothic" w:hAnsi="Century Gothic" w:cs="Century Gothic"/>
          <w:sz w:val="24"/>
          <w:szCs w:val="24"/>
        </w:rPr>
        <w:t xml:space="preserve">. Se tiene por recibido el cuaderno de revisión </w:t>
      </w:r>
      <w:r>
        <w:rPr>
          <w:rFonts w:ascii="Century Gothic" w:eastAsia="Century Gothic" w:hAnsi="Century Gothic" w:cs="Century Gothic"/>
          <w:b/>
          <w:sz w:val="24"/>
          <w:szCs w:val="24"/>
        </w:rPr>
        <w:t>0149/2023</w:t>
      </w:r>
      <w:r>
        <w:rPr>
          <w:rFonts w:ascii="Century Gothic" w:eastAsia="Century Gothic" w:hAnsi="Century Gothic" w:cs="Century Gothic"/>
          <w:sz w:val="24"/>
          <w:szCs w:val="24"/>
        </w:rPr>
        <w:t xml:space="preserve"> que remite la Secretaría General de Acuerdos, con motivo del recurso de revisión interpuesto por </w:t>
      </w:r>
      <w:r>
        <w:rPr>
          <w:rFonts w:ascii="Century Gothic" w:eastAsia="Century Gothic" w:hAnsi="Century Gothic" w:cs="Century Gothic"/>
          <w:b/>
          <w:sz w:val="24"/>
          <w:szCs w:val="24"/>
        </w:rPr>
        <w:t>REYNALDO GUZMÁN CANSECO, en su carácter de Policía Tercero Vial con número estadístico P.V.-012, adscrito a la Dirección de  Movilidad del Municipio de Oaxaca de Juárez, Oaxaca,</w:t>
      </w:r>
      <w:r>
        <w:rPr>
          <w:rFonts w:ascii="Century Gothic" w:eastAsia="Century Gothic" w:hAnsi="Century Gothic" w:cs="Century Gothic"/>
          <w:sz w:val="24"/>
          <w:szCs w:val="24"/>
        </w:rPr>
        <w:t xml:space="preserve"> en contra de la sentencia de fecha tres de febrero de dos mil veintitrés, dictada en el expediente </w:t>
      </w:r>
      <w:r>
        <w:rPr>
          <w:rFonts w:ascii="Century Gothic" w:eastAsia="Century Gothic" w:hAnsi="Century Gothic" w:cs="Century Gothic"/>
          <w:b/>
          <w:sz w:val="24"/>
          <w:szCs w:val="24"/>
        </w:rPr>
        <w:t>139/2020 del Índice de la Segunda Sala Unitaria de Primera Instancia del extinto Tribunal de Justicia Administrativa del Estado de Oaxaca ahora Tribunal de Justicia Administrativa y Combate a la Corrupción del Estado de Oaxaca,</w:t>
      </w:r>
      <w:r>
        <w:rPr>
          <w:rFonts w:ascii="Century Gothic" w:eastAsia="Century Gothic" w:hAnsi="Century Gothic" w:cs="Century Gothic"/>
          <w:sz w:val="24"/>
          <w:szCs w:val="24"/>
        </w:rPr>
        <w:t xml:space="preserve"> relativo al juicio de nulidad promovido por</w:t>
      </w:r>
      <w:r w:rsidR="005E6524">
        <w:rPr>
          <w:rFonts w:ascii="Century Gothic" w:eastAsia="Century Gothic" w:hAnsi="Century Gothic" w:cs="Century Gothic"/>
          <w:b/>
          <w:sz w:val="24"/>
          <w:szCs w:val="24"/>
        </w:rPr>
        <w:t xml:space="preserve"> ***********</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por lo que, con fundamento en los artículos 236 y 238 de la Ley de Procedimiento, y 23, fracciones I y IV de la Ley Orgánica del Tribunal de Justicia Administrativa y Combate a la Corrupción del Estado de Oaxaca, se procede a dictar resolución en los siguientes términos:- - - - -</w:t>
      </w:r>
    </w:p>
    <w:p w14:paraId="7246D15A" w14:textId="77777777" w:rsidR="00270F0A" w:rsidRDefault="00725FA7">
      <w:pPr>
        <w:tabs>
          <w:tab w:val="center" w:pos="4418"/>
          <w:tab w:val="left" w:pos="6330"/>
        </w:tabs>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GLOSARIO:</w:t>
      </w:r>
    </w:p>
    <w:tbl>
      <w:tblPr>
        <w:tblStyle w:val="a1"/>
        <w:tblW w:w="84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40"/>
        <w:gridCol w:w="5135"/>
      </w:tblGrid>
      <w:tr w:rsidR="00270F0A" w14:paraId="4B5B7616" w14:textId="77777777">
        <w:trPr>
          <w:trHeight w:val="583"/>
        </w:trPr>
        <w:tc>
          <w:tcPr>
            <w:tcW w:w="3340" w:type="dxa"/>
          </w:tcPr>
          <w:p w14:paraId="21DA4C01" w14:textId="77777777" w:rsidR="00270F0A" w:rsidRDefault="00725FA7">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Constitución Federal:</w:t>
            </w:r>
          </w:p>
        </w:tc>
        <w:tc>
          <w:tcPr>
            <w:tcW w:w="5135" w:type="dxa"/>
          </w:tcPr>
          <w:p w14:paraId="4EA281D4" w14:textId="77777777" w:rsidR="00270F0A" w:rsidRDefault="00725FA7">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Constitución Política de los Estados Unidos Mexicanos.</w:t>
            </w:r>
          </w:p>
        </w:tc>
      </w:tr>
      <w:tr w:rsidR="00270F0A" w14:paraId="23469F44" w14:textId="77777777">
        <w:trPr>
          <w:trHeight w:val="601"/>
        </w:trPr>
        <w:tc>
          <w:tcPr>
            <w:tcW w:w="3340" w:type="dxa"/>
          </w:tcPr>
          <w:p w14:paraId="0ECDFC31" w14:textId="77777777" w:rsidR="00270F0A" w:rsidRDefault="00725FA7">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Constitución Local:</w:t>
            </w:r>
          </w:p>
        </w:tc>
        <w:tc>
          <w:tcPr>
            <w:tcW w:w="5135" w:type="dxa"/>
          </w:tcPr>
          <w:p w14:paraId="0F50A13F" w14:textId="77777777" w:rsidR="00270F0A" w:rsidRDefault="00725FA7">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Constitución Política del Estado Libre y Soberano de Oaxaca.</w:t>
            </w:r>
          </w:p>
        </w:tc>
      </w:tr>
      <w:tr w:rsidR="00270F0A" w14:paraId="33ED44BD" w14:textId="77777777">
        <w:trPr>
          <w:trHeight w:val="895"/>
        </w:trPr>
        <w:tc>
          <w:tcPr>
            <w:tcW w:w="3340" w:type="dxa"/>
          </w:tcPr>
          <w:p w14:paraId="6758C213" w14:textId="77777777" w:rsidR="00270F0A" w:rsidRDefault="00725FA7">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Ley de Procedimiento:</w:t>
            </w:r>
          </w:p>
        </w:tc>
        <w:tc>
          <w:tcPr>
            <w:tcW w:w="5135" w:type="dxa"/>
          </w:tcPr>
          <w:p w14:paraId="531A52F4" w14:textId="77777777" w:rsidR="00270F0A" w:rsidRDefault="00725FA7">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Ley de Procedimiento y Justicia Administrativa para el Estado de Oaxaca.</w:t>
            </w:r>
          </w:p>
        </w:tc>
      </w:tr>
      <w:tr w:rsidR="00270F0A" w14:paraId="7BE05600" w14:textId="77777777">
        <w:trPr>
          <w:trHeight w:val="588"/>
        </w:trPr>
        <w:tc>
          <w:tcPr>
            <w:tcW w:w="3340" w:type="dxa"/>
          </w:tcPr>
          <w:p w14:paraId="3072E84B" w14:textId="77777777" w:rsidR="00270F0A" w:rsidRDefault="00725FA7">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Reglamento:</w:t>
            </w:r>
          </w:p>
        </w:tc>
        <w:tc>
          <w:tcPr>
            <w:tcW w:w="5135" w:type="dxa"/>
          </w:tcPr>
          <w:p w14:paraId="434652B9" w14:textId="77777777" w:rsidR="00270F0A" w:rsidRDefault="00725FA7">
            <w:pPr>
              <w:tabs>
                <w:tab w:val="center" w:pos="4418"/>
                <w:tab w:val="left" w:pos="6330"/>
              </w:tabs>
              <w:jc w:val="center"/>
              <w:rPr>
                <w:rFonts w:ascii="Century Gothic" w:eastAsia="Century Gothic" w:hAnsi="Century Gothic" w:cs="Century Gothic"/>
                <w:b/>
              </w:rPr>
            </w:pPr>
            <w:r>
              <w:rPr>
                <w:rFonts w:ascii="Century Gothic" w:eastAsia="Century Gothic" w:hAnsi="Century Gothic" w:cs="Century Gothic"/>
              </w:rPr>
              <w:t>Reglamento de Vialidad para el Municipio de Oaxaca de Juárez</w:t>
            </w:r>
          </w:p>
        </w:tc>
      </w:tr>
      <w:tr w:rsidR="00270F0A" w14:paraId="151EF9C7" w14:textId="77777777">
        <w:trPr>
          <w:trHeight w:val="588"/>
        </w:trPr>
        <w:tc>
          <w:tcPr>
            <w:tcW w:w="3340" w:type="dxa"/>
          </w:tcPr>
          <w:p w14:paraId="68503330" w14:textId="77777777" w:rsidR="00270F0A" w:rsidRDefault="00725FA7">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Tribunal:</w:t>
            </w:r>
          </w:p>
        </w:tc>
        <w:tc>
          <w:tcPr>
            <w:tcW w:w="5135" w:type="dxa"/>
          </w:tcPr>
          <w:p w14:paraId="67C89592" w14:textId="77777777" w:rsidR="00270F0A" w:rsidRDefault="00725FA7">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Tribunal de Justicia Administrativa y Combate a la Corrupción del Estado de Oaxaca</w:t>
            </w:r>
          </w:p>
        </w:tc>
      </w:tr>
    </w:tbl>
    <w:p w14:paraId="606104CF" w14:textId="77777777" w:rsidR="00270F0A" w:rsidRDefault="00725FA7">
      <w:pPr>
        <w:ind w:firstLine="708"/>
        <w:jc w:val="both"/>
        <w:rPr>
          <w:rFonts w:ascii="Century Gothic" w:eastAsia="Century Gothic" w:hAnsi="Century Gothic" w:cs="Century Gothic"/>
          <w:b/>
          <w:sz w:val="24"/>
          <w:szCs w:val="24"/>
        </w:rPr>
      </w:pPr>
      <w:r>
        <w:rPr>
          <w:rFonts w:ascii="Century Gothic" w:eastAsia="Century Gothic" w:hAnsi="Century Gothic" w:cs="Century Gothic"/>
          <w:sz w:val="24"/>
          <w:szCs w:val="24"/>
        </w:rPr>
        <w:t xml:space="preserve"> </w:t>
      </w:r>
    </w:p>
    <w:p w14:paraId="26D12BB6" w14:textId="77777777" w:rsidR="00AF3DE0" w:rsidRDefault="00AF3DE0">
      <w:pPr>
        <w:ind w:firstLine="708"/>
        <w:jc w:val="center"/>
        <w:rPr>
          <w:rFonts w:ascii="Century Gothic" w:eastAsia="Century Gothic" w:hAnsi="Century Gothic" w:cs="Century Gothic"/>
          <w:b/>
          <w:sz w:val="24"/>
          <w:szCs w:val="24"/>
        </w:rPr>
      </w:pPr>
    </w:p>
    <w:p w14:paraId="050257EA" w14:textId="286ADDF1" w:rsidR="00270F0A" w:rsidRDefault="00725FA7">
      <w:pPr>
        <w:ind w:firstLine="708"/>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lastRenderedPageBreak/>
        <w:t>R E S U L T A N D O</w:t>
      </w:r>
    </w:p>
    <w:p w14:paraId="45F34FE6" w14:textId="77777777" w:rsidR="00270F0A" w:rsidRDefault="00725FA7">
      <w:pPr>
        <w:spacing w:after="120"/>
        <w:ind w:right="-376"/>
        <w:jc w:val="both"/>
        <w:rPr>
          <w:rFonts w:ascii="Century Gothic" w:eastAsia="Century Gothic" w:hAnsi="Century Gothic" w:cs="Century Gothic"/>
          <w:sz w:val="24"/>
          <w:szCs w:val="24"/>
        </w:rPr>
      </w:pPr>
      <w:r>
        <w:rPr>
          <w:rFonts w:ascii="Century Gothic" w:eastAsia="Century Gothic" w:hAnsi="Century Gothic" w:cs="Century Gothic"/>
          <w:b/>
          <w:sz w:val="24"/>
          <w:szCs w:val="24"/>
        </w:rPr>
        <w:t>PRIMERO. Antecedentes</w:t>
      </w:r>
      <w:r>
        <w:rPr>
          <w:rFonts w:ascii="Century Gothic" w:eastAsia="Century Gothic" w:hAnsi="Century Gothic" w:cs="Century Gothic"/>
          <w:sz w:val="24"/>
          <w:szCs w:val="24"/>
        </w:rPr>
        <w:t>.</w:t>
      </w:r>
    </w:p>
    <w:p w14:paraId="224D049F" w14:textId="77777777" w:rsidR="00270F0A" w:rsidRDefault="00270F0A">
      <w:pPr>
        <w:pBdr>
          <w:top w:val="nil"/>
          <w:left w:val="nil"/>
          <w:bottom w:val="nil"/>
          <w:right w:val="nil"/>
          <w:between w:val="nil"/>
        </w:pBdr>
        <w:spacing w:after="0"/>
        <w:ind w:left="851" w:right="-376"/>
        <w:jc w:val="both"/>
        <w:rPr>
          <w:rFonts w:ascii="Century Gothic" w:eastAsia="Century Gothic" w:hAnsi="Century Gothic" w:cs="Century Gothic"/>
          <w:color w:val="000000"/>
          <w:sz w:val="24"/>
          <w:szCs w:val="24"/>
        </w:rPr>
      </w:pPr>
    </w:p>
    <w:p w14:paraId="7FB707F9" w14:textId="6B54776F" w:rsidR="00270F0A" w:rsidRDefault="00725FA7">
      <w:pPr>
        <w:widowControl w:val="0"/>
        <w:numPr>
          <w:ilvl w:val="0"/>
          <w:numId w:val="2"/>
        </w:numPr>
        <w:pBdr>
          <w:top w:val="nil"/>
          <w:left w:val="nil"/>
          <w:bottom w:val="nil"/>
          <w:right w:val="nil"/>
          <w:between w:val="nil"/>
        </w:pBdr>
        <w:spacing w:after="0"/>
        <w:ind w:right="51"/>
        <w:jc w:val="both"/>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 xml:space="preserve">Por medio de escrito de </w:t>
      </w:r>
      <w:r>
        <w:rPr>
          <w:rFonts w:ascii="Century Gothic" w:eastAsia="Century Gothic" w:hAnsi="Century Gothic" w:cs="Century Gothic"/>
          <w:color w:val="000000"/>
          <w:sz w:val="24"/>
          <w:szCs w:val="24"/>
        </w:rPr>
        <w:t xml:space="preserve">ocho de septiembre de dos mil veinte, recibido en la Oficialía de Partes Común de Primera Instancia de este Tribunal el diez de septiembre de dos mil veinte, se tuvo a la </w:t>
      </w:r>
      <w:r>
        <w:rPr>
          <w:rFonts w:ascii="Century Gothic" w:eastAsia="Century Gothic" w:hAnsi="Century Gothic" w:cs="Century Gothic"/>
          <w:b/>
          <w:color w:val="000000"/>
          <w:sz w:val="24"/>
          <w:szCs w:val="24"/>
        </w:rPr>
        <w:t xml:space="preserve">C. </w:t>
      </w:r>
      <w:r w:rsidR="005E6524">
        <w:rPr>
          <w:rFonts w:ascii="Century Gothic" w:eastAsia="Century Gothic" w:hAnsi="Century Gothic" w:cs="Century Gothic"/>
          <w:b/>
          <w:color w:val="000000"/>
          <w:sz w:val="24"/>
          <w:szCs w:val="24"/>
        </w:rPr>
        <w:t>**********</w:t>
      </w:r>
      <w:r>
        <w:rPr>
          <w:rFonts w:ascii="Century Gothic" w:eastAsia="Century Gothic" w:hAnsi="Century Gothic" w:cs="Century Gothic"/>
          <w:color w:val="000000"/>
          <w:sz w:val="24"/>
          <w:szCs w:val="24"/>
        </w:rPr>
        <w:t xml:space="preserve">, interponiendo juicio de nulidad en contra de los actos emitidos por </w:t>
      </w:r>
      <w:r>
        <w:rPr>
          <w:rFonts w:ascii="Century Gothic" w:eastAsia="Century Gothic" w:hAnsi="Century Gothic" w:cs="Century Gothic"/>
          <w:b/>
          <w:color w:val="000000"/>
          <w:sz w:val="24"/>
          <w:szCs w:val="24"/>
        </w:rPr>
        <w:t xml:space="preserve">FERNANDO GUZMÁN  </w:t>
      </w:r>
      <w:r>
        <w:rPr>
          <w:rFonts w:ascii="Century Gothic" w:eastAsia="Century Gothic" w:hAnsi="Century Gothic" w:cs="Century Gothic"/>
          <w:color w:val="000000"/>
          <w:sz w:val="24"/>
          <w:szCs w:val="24"/>
        </w:rPr>
        <w:t>en su carácter de Policía Vial con número estadístico PV-12 adscrito a la Dirección de Movilidad del Municipio de Oaxaca de Juárez; consistentes en el acta de infracción con número de folio 22214 de catorce de marzo de dos mil veinte; formándose al respecto el expediente 0139/2020 del índice de la entonces Segunda Sala Unitaria de Primera Instancia de este Tribunal.</w:t>
      </w:r>
    </w:p>
    <w:p w14:paraId="2BB9CED9" w14:textId="77777777" w:rsidR="00270F0A" w:rsidRDefault="00725FA7">
      <w:pPr>
        <w:numPr>
          <w:ilvl w:val="0"/>
          <w:numId w:val="2"/>
        </w:numPr>
        <w:pBdr>
          <w:top w:val="nil"/>
          <w:left w:val="nil"/>
          <w:bottom w:val="nil"/>
          <w:right w:val="nil"/>
          <w:between w:val="nil"/>
        </w:pBdr>
        <w:spacing w:after="0"/>
        <w:ind w:right="-376"/>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Por auto de veinticuatro de marzo de dos mil veintiuno, se le requirió a la promovente para que dentro del plazo indicado acreditara su interés legítimo y jurídico para impugnar el acto recurrido, con el apercibimiento de no hacerlo se desecharía la demanda. </w:t>
      </w:r>
    </w:p>
    <w:p w14:paraId="12412A2F" w14:textId="65E2A652" w:rsidR="00270F0A" w:rsidRDefault="00725FA7">
      <w:pPr>
        <w:numPr>
          <w:ilvl w:val="0"/>
          <w:numId w:val="2"/>
        </w:numPr>
        <w:pBdr>
          <w:top w:val="nil"/>
          <w:left w:val="nil"/>
          <w:bottom w:val="nil"/>
          <w:right w:val="nil"/>
          <w:between w:val="nil"/>
        </w:pBdr>
        <w:spacing w:after="0"/>
        <w:ind w:right="-376"/>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Por acuerdo de veintiuno de junio de dos mil veintiuno, se admitió a trámite la demanda de nulidad de la C.</w:t>
      </w:r>
      <w:r w:rsidR="005E6524">
        <w:rPr>
          <w:rFonts w:ascii="Century Gothic" w:eastAsia="Century Gothic" w:hAnsi="Century Gothic" w:cs="Century Gothic"/>
          <w:b/>
          <w:color w:val="000000"/>
          <w:sz w:val="24"/>
          <w:szCs w:val="24"/>
        </w:rPr>
        <w:t>***********</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 xml:space="preserve"> en contra del Policía Tercero Vial con número estadístico PV-012, adscrito a la Dirección de Movilidad del Municipio de Oaxaca de Juárez, Oaxaca; ordenándose notificar, emplazar y correr traslado a dicha autoridad, para que dentro del plazo de nueve días hábiles produjera su contestación, con el apercibimiento que de no hacerlo dentro del plazo otorgado, se le tendría contestando en sentido afirmativo y de no referirse a todos los hechos, se le tendrían como ciertos.</w:t>
      </w:r>
    </w:p>
    <w:p w14:paraId="68FC0E42" w14:textId="77777777" w:rsidR="00270F0A" w:rsidRDefault="00725FA7">
      <w:pPr>
        <w:numPr>
          <w:ilvl w:val="0"/>
          <w:numId w:val="2"/>
        </w:numPr>
        <w:pBdr>
          <w:top w:val="nil"/>
          <w:left w:val="nil"/>
          <w:bottom w:val="nil"/>
          <w:right w:val="nil"/>
          <w:between w:val="nil"/>
        </w:pBdr>
        <w:spacing w:after="0"/>
        <w:ind w:right="-376"/>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Por auto de seis de octubre de dos mil veintiuno, se tuvo a la autoridad demandada contestando la demanda entablada en su contra, por ofrecidas y admitidas sus pruebas; se ordenó notificar y correr traslado a la parte actora, para los efectos legales.</w:t>
      </w:r>
    </w:p>
    <w:p w14:paraId="28BBFB3B" w14:textId="77777777" w:rsidR="00270F0A" w:rsidRDefault="00725FA7">
      <w:pPr>
        <w:numPr>
          <w:ilvl w:val="0"/>
          <w:numId w:val="2"/>
        </w:numPr>
        <w:pBdr>
          <w:top w:val="nil"/>
          <w:left w:val="nil"/>
          <w:bottom w:val="nil"/>
          <w:right w:val="nil"/>
          <w:between w:val="nil"/>
        </w:pBdr>
        <w:spacing w:after="0"/>
        <w:ind w:right="-376"/>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Por auto de dos de septiembre de dos mil veintidós, se señaló fecha y hora para la celebración de la audiencia final.</w:t>
      </w:r>
    </w:p>
    <w:p w14:paraId="4EA1C692" w14:textId="77777777" w:rsidR="00270F0A" w:rsidRDefault="00725FA7">
      <w:pPr>
        <w:numPr>
          <w:ilvl w:val="0"/>
          <w:numId w:val="2"/>
        </w:numPr>
        <w:pBdr>
          <w:top w:val="nil"/>
          <w:left w:val="nil"/>
          <w:bottom w:val="nil"/>
          <w:right w:val="nil"/>
          <w:between w:val="nil"/>
        </w:pBdr>
        <w:spacing w:after="0"/>
        <w:ind w:right="-376"/>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Con fecha tres de febrero de dos mil veintitrés, se emitió resolución dentro del expediente 0139/2020 de la Segunda Sala Unitaria de Primera Instancia del extinto Tribunal de Justicia Administrativa del Estado de Oaxaca, en la que se declaró la </w:t>
      </w:r>
      <w:r>
        <w:rPr>
          <w:rFonts w:ascii="Century Gothic" w:eastAsia="Century Gothic" w:hAnsi="Century Gothic" w:cs="Century Gothic"/>
          <w:b/>
          <w:color w:val="000000"/>
          <w:sz w:val="24"/>
          <w:szCs w:val="24"/>
        </w:rPr>
        <w:t>NULIDAD LISA Y LLANA</w:t>
      </w:r>
      <w:r>
        <w:rPr>
          <w:rFonts w:ascii="Century Gothic" w:eastAsia="Century Gothic" w:hAnsi="Century Gothic" w:cs="Century Gothic"/>
          <w:color w:val="000000"/>
          <w:sz w:val="24"/>
          <w:szCs w:val="24"/>
        </w:rPr>
        <w:t xml:space="preserve"> del acta de infracción con número de folio 22214 de catorce de marzo de dos mil veinte. </w:t>
      </w:r>
    </w:p>
    <w:p w14:paraId="2F4BBB76" w14:textId="77777777" w:rsidR="00270F0A" w:rsidRDefault="00725FA7">
      <w:pPr>
        <w:numPr>
          <w:ilvl w:val="0"/>
          <w:numId w:val="2"/>
        </w:numPr>
        <w:pBdr>
          <w:top w:val="nil"/>
          <w:left w:val="nil"/>
          <w:bottom w:val="nil"/>
          <w:right w:val="nil"/>
          <w:between w:val="nil"/>
        </w:pBdr>
        <w:spacing w:after="120"/>
        <w:ind w:right="-376"/>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Mediante auto de trece de marzo de dos mil veintitrés, se tuvo a Reynaldo Guzmán Canseco Policía Tercero Vial con número estadístico PV-012, adscrito a la Dirección de Movilidad del Municipio de Oaxaca de Juárez, Oaxaca, interponiendo recurso de revisión en contra de la sentencia de fecha tres de febrero de dos mil veintitrés emitida en el juicio de nulidad al rubro indicado.</w:t>
      </w:r>
    </w:p>
    <w:p w14:paraId="07637157" w14:textId="747902F8" w:rsidR="00270F0A" w:rsidRDefault="00725FA7">
      <w:pPr>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 xml:space="preserve">2. </w:t>
      </w:r>
      <w:r>
        <w:rPr>
          <w:rFonts w:ascii="Century Gothic" w:eastAsia="Century Gothic" w:hAnsi="Century Gothic" w:cs="Century Gothic"/>
          <w:b/>
          <w:sz w:val="24"/>
          <w:szCs w:val="24"/>
        </w:rPr>
        <w:t xml:space="preserve">SEGUNDO. Determinación recurrida. </w:t>
      </w:r>
      <w:r>
        <w:rPr>
          <w:rFonts w:ascii="Century Gothic" w:eastAsia="Century Gothic" w:hAnsi="Century Gothic" w:cs="Century Gothic"/>
          <w:sz w:val="24"/>
          <w:szCs w:val="24"/>
        </w:rPr>
        <w:t xml:space="preserve">Inconforme con la sentencia de fecha tres de febrero de dos mil veintitrés dictada dentro del juicio de nulidad con número de expediente </w:t>
      </w:r>
      <w:r w:rsidR="00F40B5B">
        <w:rPr>
          <w:rFonts w:ascii="Century Gothic" w:eastAsia="Century Gothic" w:hAnsi="Century Gothic" w:cs="Century Gothic"/>
          <w:sz w:val="24"/>
          <w:szCs w:val="24"/>
        </w:rPr>
        <w:t xml:space="preserve">139/2020 </w:t>
      </w:r>
      <w:r>
        <w:rPr>
          <w:rFonts w:ascii="Century Gothic" w:eastAsia="Century Gothic" w:hAnsi="Century Gothic" w:cs="Century Gothic"/>
          <w:sz w:val="24"/>
          <w:szCs w:val="24"/>
        </w:rPr>
        <w:t>de la Segunda Sala Unitaria de Primera Instancia del extinto Tribunal de Justicia Administrativa del Estado de Oaxaca, ahora Tribunal de Justicia Administrativa y Combate a la Corrupción del Estado de Oaxaca.</w:t>
      </w:r>
    </w:p>
    <w:p w14:paraId="0CFFD76C" w14:textId="77777777" w:rsidR="00270F0A" w:rsidRDefault="00725FA7">
      <w:pPr>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3. Los puntos resolutivos de la sentencia recurrida son los siguientes:</w:t>
      </w:r>
    </w:p>
    <w:p w14:paraId="4DF80248" w14:textId="77777777" w:rsidR="00270F0A" w:rsidRDefault="00725FA7">
      <w:pPr>
        <w:spacing w:after="0" w:line="240" w:lineRule="auto"/>
        <w:ind w:left="567" w:right="616" w:firstLine="283"/>
        <w:jc w:val="both"/>
        <w:rPr>
          <w:rFonts w:ascii="Century Gothic" w:eastAsia="Century Gothic" w:hAnsi="Century Gothic" w:cs="Century Gothic"/>
          <w:i/>
        </w:rPr>
      </w:pPr>
      <w:r>
        <w:rPr>
          <w:rFonts w:ascii="Century Gothic" w:eastAsia="Century Gothic" w:hAnsi="Century Gothic" w:cs="Century Gothic"/>
          <w:b/>
          <w:i/>
        </w:rPr>
        <w:t xml:space="preserve">“PRIMERO. </w:t>
      </w:r>
      <w:r>
        <w:rPr>
          <w:rFonts w:ascii="Century Gothic" w:eastAsia="Century Gothic" w:hAnsi="Century Gothic" w:cs="Century Gothic"/>
          <w:i/>
        </w:rPr>
        <w:t xml:space="preserve">Esta Segunda Sala Unitaria de Primera Instancia del Tribunal de Justicia Administrativa del Estado de Oaxaca, es competente para conocer y resolver del presente asunto. - - - </w:t>
      </w:r>
    </w:p>
    <w:p w14:paraId="3E7C58E7" w14:textId="77777777" w:rsidR="00270F0A" w:rsidRDefault="00725FA7">
      <w:pPr>
        <w:spacing w:after="0" w:line="240" w:lineRule="auto"/>
        <w:ind w:left="567" w:right="616" w:firstLine="283"/>
        <w:jc w:val="both"/>
        <w:rPr>
          <w:rFonts w:ascii="Century Gothic" w:eastAsia="Century Gothic" w:hAnsi="Century Gothic" w:cs="Century Gothic"/>
          <w:i/>
        </w:rPr>
      </w:pPr>
      <w:r>
        <w:rPr>
          <w:rFonts w:ascii="Century Gothic" w:eastAsia="Century Gothic" w:hAnsi="Century Gothic" w:cs="Century Gothic"/>
          <w:b/>
          <w:i/>
        </w:rPr>
        <w:t xml:space="preserve">SEGUNDO. </w:t>
      </w:r>
      <w:r>
        <w:rPr>
          <w:rFonts w:ascii="Century Gothic" w:eastAsia="Century Gothic" w:hAnsi="Century Gothic" w:cs="Century Gothic"/>
          <w:i/>
        </w:rPr>
        <w:t xml:space="preserve">La personalidad de las partes quedó asentada en autos, dentro del considerando SEGUNDO de la presente resolución. - - - - - - - - - - - - - - - - - - - - - - - - - - - - - - - - - - - - - - - - - - </w:t>
      </w:r>
    </w:p>
    <w:p w14:paraId="436B5A1A" w14:textId="77777777" w:rsidR="00270F0A" w:rsidRDefault="00725FA7">
      <w:pPr>
        <w:spacing w:after="0" w:line="240" w:lineRule="auto"/>
        <w:ind w:left="567" w:right="616" w:firstLine="283"/>
        <w:jc w:val="both"/>
        <w:rPr>
          <w:rFonts w:ascii="Century Gothic" w:eastAsia="Century Gothic" w:hAnsi="Century Gothic" w:cs="Century Gothic"/>
          <w:i/>
        </w:rPr>
      </w:pPr>
      <w:r>
        <w:rPr>
          <w:rFonts w:ascii="Century Gothic" w:eastAsia="Century Gothic" w:hAnsi="Century Gothic" w:cs="Century Gothic"/>
          <w:b/>
          <w:i/>
        </w:rPr>
        <w:t xml:space="preserve">TERCERO. </w:t>
      </w:r>
      <w:r>
        <w:rPr>
          <w:rFonts w:ascii="Century Gothic" w:eastAsia="Century Gothic" w:hAnsi="Century Gothic" w:cs="Century Gothic"/>
          <w:i/>
        </w:rPr>
        <w:t xml:space="preserve">Esta Sala advierte que, en el presente juicio no se configura alguna causal de improcedencia o sobreseimiento, por tanto, </w:t>
      </w:r>
      <w:r>
        <w:rPr>
          <w:rFonts w:ascii="Century Gothic" w:eastAsia="Century Gothic" w:hAnsi="Century Gothic" w:cs="Century Gothic"/>
          <w:b/>
          <w:i/>
        </w:rPr>
        <w:t>NO SE SOBRESEE</w:t>
      </w:r>
      <w:r>
        <w:rPr>
          <w:rFonts w:ascii="Century Gothic" w:eastAsia="Century Gothic" w:hAnsi="Century Gothic" w:cs="Century Gothic"/>
          <w:i/>
        </w:rPr>
        <w:t xml:space="preserve">. - - - - - - - - - - - - - - - - - - - - - - - - </w:t>
      </w:r>
    </w:p>
    <w:p w14:paraId="086C7C87" w14:textId="77777777" w:rsidR="00270F0A" w:rsidRDefault="00725FA7">
      <w:pPr>
        <w:spacing w:after="0" w:line="240" w:lineRule="auto"/>
        <w:ind w:left="567" w:right="616" w:firstLine="283"/>
        <w:jc w:val="both"/>
        <w:rPr>
          <w:rFonts w:ascii="Century Gothic" w:eastAsia="Century Gothic" w:hAnsi="Century Gothic" w:cs="Century Gothic"/>
          <w:i/>
        </w:rPr>
      </w:pPr>
      <w:r>
        <w:rPr>
          <w:rFonts w:ascii="Century Gothic" w:eastAsia="Century Gothic" w:hAnsi="Century Gothic" w:cs="Century Gothic"/>
          <w:b/>
          <w:i/>
        </w:rPr>
        <w:t xml:space="preserve">CUARTO. </w:t>
      </w:r>
      <w:r>
        <w:rPr>
          <w:rFonts w:ascii="Century Gothic" w:eastAsia="Century Gothic" w:hAnsi="Century Gothic" w:cs="Century Gothic"/>
          <w:i/>
        </w:rPr>
        <w:t xml:space="preserve">Se declara la </w:t>
      </w:r>
      <w:r>
        <w:rPr>
          <w:rFonts w:ascii="Century Gothic" w:eastAsia="Century Gothic" w:hAnsi="Century Gothic" w:cs="Century Gothic"/>
          <w:b/>
          <w:i/>
        </w:rPr>
        <w:t xml:space="preserve">NULIDAD LISA Y LLANA </w:t>
      </w:r>
      <w:r>
        <w:rPr>
          <w:rFonts w:ascii="Century Gothic" w:eastAsia="Century Gothic" w:hAnsi="Century Gothic" w:cs="Century Gothic"/>
          <w:i/>
        </w:rPr>
        <w:t>del acta de infracción de tránsito con número de folio 22214</w:t>
      </w:r>
      <w:r>
        <w:rPr>
          <w:rFonts w:ascii="Century Gothic" w:eastAsia="Century Gothic" w:hAnsi="Century Gothic" w:cs="Century Gothic"/>
          <w:b/>
          <w:i/>
        </w:rPr>
        <w:t xml:space="preserve">, </w:t>
      </w:r>
      <w:r>
        <w:rPr>
          <w:rFonts w:ascii="Century Gothic" w:eastAsia="Century Gothic" w:hAnsi="Century Gothic" w:cs="Century Gothic"/>
          <w:i/>
        </w:rPr>
        <w:t xml:space="preserve">de fecha catorce de marzo de dos mil veinte, emitida por Reynaldo Guzmán Canseco, Policía Vial con número estadístico PV-012, adscrito a la Subdirección de Tránsito y Movilidad del Municipio de Oaxaca de Juárez; en consecuencia, </w:t>
      </w:r>
      <w:r>
        <w:rPr>
          <w:rFonts w:ascii="Century Gothic" w:eastAsia="Century Gothic" w:hAnsi="Century Gothic" w:cs="Century Gothic"/>
          <w:i/>
          <w:u w:val="single"/>
        </w:rPr>
        <w:t xml:space="preserve">se ordena a esa autoridad demandada para que a través de </w:t>
      </w:r>
      <w:proofErr w:type="spellStart"/>
      <w:r>
        <w:rPr>
          <w:rFonts w:ascii="Century Gothic" w:eastAsia="Century Gothic" w:hAnsi="Century Gothic" w:cs="Century Gothic"/>
          <w:i/>
          <w:u w:val="single"/>
        </w:rPr>
        <w:t>si</w:t>
      </w:r>
      <w:proofErr w:type="spellEnd"/>
      <w:r>
        <w:rPr>
          <w:rFonts w:ascii="Century Gothic" w:eastAsia="Century Gothic" w:hAnsi="Century Gothic" w:cs="Century Gothic"/>
          <w:i/>
          <w:u w:val="single"/>
        </w:rPr>
        <w:t xml:space="preserve"> misma o de quien sea legalmente competente, realice baja de la citada acta de infracción del sistema electrónico y/o documental que para tal efecto lleve esa autoridad.</w:t>
      </w:r>
      <w:r>
        <w:rPr>
          <w:rFonts w:ascii="Century Gothic" w:eastAsia="Century Gothic" w:hAnsi="Century Gothic" w:cs="Century Gothic"/>
          <w:i/>
        </w:rPr>
        <w:t xml:space="preserve"> Por las razones ya expuestas en el considerando CUARTO de esta sentencia. - - - - - - - - - - - - - - - - - - - - - - - - - - - - - - - - - - - - - - - - - </w:t>
      </w:r>
    </w:p>
    <w:p w14:paraId="44F1FBCB" w14:textId="77777777" w:rsidR="00270F0A" w:rsidRDefault="00725FA7">
      <w:pPr>
        <w:spacing w:after="0" w:line="240" w:lineRule="auto"/>
        <w:ind w:left="567" w:right="616" w:firstLine="283"/>
        <w:jc w:val="both"/>
        <w:rPr>
          <w:rFonts w:ascii="Century Gothic" w:eastAsia="Century Gothic" w:hAnsi="Century Gothic" w:cs="Century Gothic"/>
          <w:b/>
          <w:i/>
        </w:rPr>
      </w:pPr>
      <w:r>
        <w:rPr>
          <w:rFonts w:ascii="Century Gothic" w:eastAsia="Century Gothic" w:hAnsi="Century Gothic" w:cs="Century Gothic"/>
          <w:b/>
          <w:i/>
        </w:rPr>
        <w:t>QUINTO. NOTIFÍQUESE y CÚMPLASE.</w:t>
      </w:r>
      <w:r>
        <w:rPr>
          <w:rFonts w:ascii="Century Gothic" w:eastAsia="Century Gothic" w:hAnsi="Century Gothic" w:cs="Century Gothic"/>
          <w:i/>
        </w:rPr>
        <w:t xml:space="preserve"> - - - - - - - - - - - - - - - - - - - - - -  - - - - - </w:t>
      </w:r>
      <w:r>
        <w:rPr>
          <w:rFonts w:ascii="Century Gothic" w:eastAsia="Century Gothic" w:hAnsi="Century Gothic" w:cs="Century Gothic"/>
          <w:b/>
          <w:i/>
        </w:rPr>
        <w:t>”</w:t>
      </w:r>
    </w:p>
    <w:p w14:paraId="12556FCB" w14:textId="77777777" w:rsidR="00270F0A" w:rsidRDefault="00725FA7">
      <w:pPr>
        <w:widowControl w:val="0"/>
        <w:tabs>
          <w:tab w:val="left" w:pos="7938"/>
        </w:tabs>
        <w:spacing w:before="240" w:after="0"/>
        <w:ind w:left="1134" w:right="616"/>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C O N S I D E R A N D O</w:t>
      </w:r>
    </w:p>
    <w:p w14:paraId="72AE7870" w14:textId="77777777" w:rsidR="00270F0A" w:rsidRDefault="00725FA7">
      <w:pPr>
        <w:widowControl w:val="0"/>
        <w:pBdr>
          <w:top w:val="nil"/>
          <w:left w:val="nil"/>
          <w:bottom w:val="nil"/>
          <w:right w:val="nil"/>
          <w:between w:val="nil"/>
        </w:pBdr>
        <w:spacing w:before="240" w:after="0"/>
        <w:ind w:right="18" w:firstLine="708"/>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PRIMERO. Jurisdicción y Competencia</w:t>
      </w:r>
      <w:r>
        <w:rPr>
          <w:rFonts w:ascii="Century Gothic" w:eastAsia="Century Gothic" w:hAnsi="Century Gothic" w:cs="Century Gothic"/>
          <w:color w:val="000000"/>
          <w:sz w:val="24"/>
          <w:szCs w:val="24"/>
        </w:rPr>
        <w:t>.</w:t>
      </w:r>
    </w:p>
    <w:p w14:paraId="2A4F5BA5" w14:textId="77777777" w:rsidR="00270F0A" w:rsidRDefault="00725FA7">
      <w:pPr>
        <w:widowControl w:val="0"/>
        <w:pBdr>
          <w:top w:val="nil"/>
          <w:left w:val="nil"/>
          <w:bottom w:val="nil"/>
          <w:right w:val="nil"/>
          <w:between w:val="nil"/>
        </w:pBdr>
        <w:spacing w:before="240" w:after="0"/>
        <w:ind w:right="18" w:firstLine="708"/>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4. El Tribunal de Justicia Administrativa y Combate a la Corrupción del Estado de Oaxaca ejerce jurisdicción y esta Sala Superior es competente para conocer del presente asunto, conforme a lo dispuesto por los artículos 114 Quáter  de la Constitución </w:t>
      </w:r>
      <w:r>
        <w:rPr>
          <w:rFonts w:ascii="Century Gothic" w:eastAsia="Century Gothic" w:hAnsi="Century Gothic" w:cs="Century Gothic"/>
          <w:sz w:val="24"/>
          <w:szCs w:val="24"/>
        </w:rPr>
        <w:t>Local</w:t>
      </w:r>
      <w:r>
        <w:rPr>
          <w:rFonts w:ascii="Century Gothic" w:eastAsia="Century Gothic" w:hAnsi="Century Gothic" w:cs="Century Gothic"/>
          <w:color w:val="000000"/>
          <w:sz w:val="24"/>
          <w:szCs w:val="24"/>
          <w:vertAlign w:val="superscript"/>
        </w:rPr>
        <w:footnoteReference w:id="1"/>
      </w:r>
      <w:r>
        <w:rPr>
          <w:rFonts w:ascii="Century Gothic" w:eastAsia="Century Gothic" w:hAnsi="Century Gothic" w:cs="Century Gothic"/>
          <w:color w:val="000000"/>
          <w:sz w:val="24"/>
          <w:szCs w:val="24"/>
        </w:rPr>
        <w:t xml:space="preserve">; 1, 2, 4, fracción VI, 22, 23 fracciones I y IV, 24, fracción I y 26 de la </w:t>
      </w:r>
      <w:r>
        <w:rPr>
          <w:rFonts w:ascii="Century Gothic" w:eastAsia="Century Gothic" w:hAnsi="Century Gothic" w:cs="Century Gothic"/>
          <w:sz w:val="24"/>
          <w:szCs w:val="24"/>
        </w:rPr>
        <w:t>Ley Orgánica del Tribunal de Justicia Administrativa y Combate a la Corrupción del Estado de Oaxaca</w:t>
      </w:r>
      <w:r>
        <w:rPr>
          <w:rFonts w:ascii="Century Gothic" w:eastAsia="Century Gothic" w:hAnsi="Century Gothic" w:cs="Century Gothic"/>
          <w:color w:val="000000"/>
          <w:sz w:val="24"/>
          <w:szCs w:val="24"/>
        </w:rPr>
        <w:t xml:space="preserve">, vigente; 120, 125, 127, 129,130, fracción l, 131, 201, 236, fracción VII y 238 de la Ley de Procedimiento, dado que se trata de </w:t>
      </w:r>
      <w:r>
        <w:rPr>
          <w:rFonts w:ascii="Century Gothic" w:eastAsia="Century Gothic" w:hAnsi="Century Gothic" w:cs="Century Gothic"/>
          <w:color w:val="000000"/>
          <w:sz w:val="24"/>
          <w:szCs w:val="24"/>
        </w:rPr>
        <w:lastRenderedPageBreak/>
        <w:t xml:space="preserve">un recurso de revisión interpuesto en contra de la sentencia de fecha tres de febrero de dos mil veintitrés, dictada en el juicio de nulidad con número de  expediente 0139/2020 de la Segunda Sala Unitaria de Primera Instancia de este Tribunal.  </w:t>
      </w:r>
    </w:p>
    <w:p w14:paraId="417BA5A1" w14:textId="77777777" w:rsidR="00270F0A" w:rsidRDefault="00725FA7">
      <w:pPr>
        <w:spacing w:before="240"/>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SEGUNDO. Requisitos de procedencia. </w:t>
      </w:r>
    </w:p>
    <w:p w14:paraId="3F8DDF6A" w14:textId="77777777" w:rsidR="00270F0A" w:rsidRDefault="00725FA7">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5. Se tienen por satisfechos los requisitos de procedencia previstos en los artículos 236 y 237 de la Ley de Procedimiento.</w:t>
      </w:r>
    </w:p>
    <w:p w14:paraId="40C0BBC0" w14:textId="77777777" w:rsidR="00270F0A" w:rsidRDefault="00725FA7">
      <w:pPr>
        <w:numPr>
          <w:ilvl w:val="0"/>
          <w:numId w:val="1"/>
        </w:numPr>
        <w:pBdr>
          <w:top w:val="nil"/>
          <w:left w:val="nil"/>
          <w:bottom w:val="nil"/>
          <w:right w:val="nil"/>
          <w:between w:val="nil"/>
        </w:pBdr>
        <w:spacing w:before="240" w:after="0"/>
        <w:ind w:left="0" w:firstLine="426"/>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Forma. </w:t>
      </w:r>
      <w:r>
        <w:rPr>
          <w:rFonts w:ascii="Century Gothic" w:eastAsia="Century Gothic" w:hAnsi="Century Gothic" w:cs="Century Gothic"/>
          <w:color w:val="000000"/>
          <w:sz w:val="24"/>
          <w:szCs w:val="24"/>
        </w:rPr>
        <w:t>Se observa que el</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recurso se efectuó conforme a los lineamientos que exige el artículo 23</w:t>
      </w:r>
      <w:r>
        <w:rPr>
          <w:rFonts w:ascii="Century Gothic" w:eastAsia="Century Gothic" w:hAnsi="Century Gothic" w:cs="Century Gothic"/>
          <w:sz w:val="24"/>
          <w:szCs w:val="24"/>
        </w:rPr>
        <w:t>7</w:t>
      </w:r>
      <w:r>
        <w:rPr>
          <w:rFonts w:ascii="Century Gothic" w:eastAsia="Century Gothic" w:hAnsi="Century Gothic" w:cs="Century Gothic"/>
          <w:color w:val="000000"/>
          <w:sz w:val="24"/>
          <w:szCs w:val="24"/>
        </w:rPr>
        <w:t xml:space="preserve"> de la Ley de Procedimiento, ya que se presentó por escrito, con la expresión de agravios ante la Sala que dictó la sentencia que se impugna.</w:t>
      </w:r>
    </w:p>
    <w:p w14:paraId="3CEF9136" w14:textId="77777777" w:rsidR="00270F0A" w:rsidRDefault="00725FA7">
      <w:pPr>
        <w:numPr>
          <w:ilvl w:val="0"/>
          <w:numId w:val="1"/>
        </w:numPr>
        <w:pBdr>
          <w:top w:val="nil"/>
          <w:left w:val="nil"/>
          <w:bottom w:val="nil"/>
          <w:right w:val="nil"/>
          <w:between w:val="nil"/>
        </w:pBdr>
        <w:spacing w:after="0"/>
        <w:ind w:left="0" w:firstLine="426"/>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Oportunidad. </w:t>
      </w:r>
      <w:r>
        <w:rPr>
          <w:rFonts w:ascii="Century Gothic" w:eastAsia="Century Gothic" w:hAnsi="Century Gothic" w:cs="Century Gothic"/>
          <w:color w:val="000000"/>
          <w:sz w:val="24"/>
          <w:szCs w:val="24"/>
        </w:rPr>
        <w:t>Se cumple tal requisito, toda vez que el acto impugnado fue notificado al recurrente, el veinticuatro de febrero de dos mil veintitrés, en tanto el correspondiente recurso se interpuso el día tres de marzo del mismo año, siendo éste dentro del plazo de cinco días previsto en el artículo 237 de la Ley de Procedimiento, en virtud que el día lunes veintisiete de febrero del año en curso surtió efectos, empezando a correr el conteo a partir del día martes veintiocho al lunes seis de marzo de dos mil veintitrés (sin ser contados los días sábado y domingo por ser inhábiles, de conformidad con el artículo 39 de la Ley de Procedimiento</w:t>
      </w:r>
      <w:r>
        <w:rPr>
          <w:rFonts w:ascii="Century Gothic" w:eastAsia="Century Gothic" w:hAnsi="Century Gothic" w:cs="Century Gothic"/>
          <w:color w:val="000000"/>
          <w:sz w:val="24"/>
          <w:szCs w:val="24"/>
          <w:vertAlign w:val="superscript"/>
        </w:rPr>
        <w:footnoteReference w:id="2"/>
      </w:r>
      <w:r>
        <w:rPr>
          <w:rFonts w:ascii="Century Gothic" w:eastAsia="Century Gothic" w:hAnsi="Century Gothic" w:cs="Century Gothic"/>
          <w:color w:val="000000"/>
          <w:sz w:val="24"/>
          <w:szCs w:val="24"/>
        </w:rPr>
        <w:t>).</w:t>
      </w:r>
    </w:p>
    <w:p w14:paraId="4DA2A400" w14:textId="77777777" w:rsidR="00270F0A" w:rsidRDefault="00725FA7">
      <w:pPr>
        <w:numPr>
          <w:ilvl w:val="0"/>
          <w:numId w:val="1"/>
        </w:numPr>
        <w:pBdr>
          <w:top w:val="nil"/>
          <w:left w:val="nil"/>
          <w:bottom w:val="nil"/>
          <w:right w:val="nil"/>
          <w:between w:val="nil"/>
        </w:pBdr>
        <w:spacing w:after="0"/>
        <w:ind w:left="0" w:firstLine="426"/>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Legitimación. </w:t>
      </w:r>
      <w:r>
        <w:rPr>
          <w:rFonts w:ascii="Century Gothic" w:eastAsia="Century Gothic" w:hAnsi="Century Gothic" w:cs="Century Gothic"/>
          <w:color w:val="000000"/>
          <w:sz w:val="24"/>
          <w:szCs w:val="24"/>
        </w:rPr>
        <w:t>El presente recurso fue interpuesto por parte legítima. Ello, porque de conformidad con señalado en el artículo 236, de la Ley de Procedimiento, el recurso de revisión en que se actúa puede ser impugnado por las partes.</w:t>
      </w:r>
    </w:p>
    <w:p w14:paraId="737A769A" w14:textId="77777777" w:rsidR="00270F0A" w:rsidRDefault="00725FA7">
      <w:pPr>
        <w:numPr>
          <w:ilvl w:val="0"/>
          <w:numId w:val="1"/>
        </w:numPr>
        <w:pBdr>
          <w:top w:val="nil"/>
          <w:left w:val="nil"/>
          <w:bottom w:val="nil"/>
          <w:right w:val="nil"/>
          <w:between w:val="nil"/>
        </w:pBdr>
        <w:ind w:left="0" w:firstLine="426"/>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Idoneidad. </w:t>
      </w:r>
      <w:r>
        <w:rPr>
          <w:rFonts w:ascii="Century Gothic" w:eastAsia="Century Gothic" w:hAnsi="Century Gothic" w:cs="Century Gothic"/>
          <w:color w:val="000000"/>
          <w:sz w:val="24"/>
          <w:szCs w:val="24"/>
        </w:rPr>
        <w:t xml:space="preserve">Ahora, por lo que hace a este requisito, éste se cumple, en virtud que la determinación de la Sala Unitaria de Primera Instancia que fue recurrida es la declaración de la </w:t>
      </w:r>
      <w:r>
        <w:rPr>
          <w:rFonts w:ascii="Century Gothic" w:eastAsia="Century Gothic" w:hAnsi="Century Gothic" w:cs="Century Gothic"/>
          <w:b/>
          <w:color w:val="000000"/>
          <w:sz w:val="24"/>
          <w:szCs w:val="24"/>
        </w:rPr>
        <w:t xml:space="preserve">NULIDAD LISA Y LLANA </w:t>
      </w:r>
      <w:r>
        <w:rPr>
          <w:rFonts w:ascii="Century Gothic" w:eastAsia="Century Gothic" w:hAnsi="Century Gothic" w:cs="Century Gothic"/>
          <w:color w:val="000000"/>
          <w:sz w:val="24"/>
          <w:szCs w:val="24"/>
        </w:rPr>
        <w:t>del acta de infracción de tránsito con número de folio 22214</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de fecha catorce de marzo de dos mil veinte y, en consecuencia, se le restituye en el pleno goce de sus derechos afectados, por ende, se encuentra dentro de ese catálogo que enlista el numeral 236 fracción VII, de la Ley de Procedimiento, por lo cual procede el recurso de revisión.</w:t>
      </w:r>
    </w:p>
    <w:p w14:paraId="3C24F3A6" w14:textId="77777777" w:rsidR="00270F0A" w:rsidRDefault="00725FA7">
      <w:pPr>
        <w:spacing w:before="240" w:after="0"/>
        <w:ind w:right="49"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TERCERO. Agravios.</w:t>
      </w:r>
      <w:r>
        <w:rPr>
          <w:rFonts w:ascii="Century Gothic" w:eastAsia="Century Gothic" w:hAnsi="Century Gothic" w:cs="Century Gothic"/>
          <w:sz w:val="24"/>
          <w:szCs w:val="24"/>
        </w:rPr>
        <w:t xml:space="preserve"> </w:t>
      </w:r>
    </w:p>
    <w:p w14:paraId="70A3EAF6" w14:textId="77777777" w:rsidR="00270F0A" w:rsidRDefault="00725FA7">
      <w:pPr>
        <w:spacing w:before="240" w:after="0"/>
        <w:ind w:right="49"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6. Los agravios hechos valer se encuentran expuestos en el escrito respectivo del recurrente, por lo que no existe necesidad de transcribirlos, al no transgredírsele derecho alguno, como tampoco se vulnera disposición expresa que imponga tal obligación.</w:t>
      </w:r>
    </w:p>
    <w:p w14:paraId="5B79E064" w14:textId="77777777" w:rsidR="00270F0A" w:rsidRDefault="00725FA7">
      <w:pPr>
        <w:widowControl w:val="0"/>
        <w:tabs>
          <w:tab w:val="left" w:pos="7938"/>
          <w:tab w:val="left" w:pos="8222"/>
        </w:tabs>
        <w:spacing w:before="240"/>
        <w:ind w:right="49" w:firstLine="851"/>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7. Se invoca en apoyo, la Jurisprudencia en materia común, número 2a./J. 58/2010, de la Novena Época, emitida por la Segunda Sala de la Suprema Corte de Justicia de la Nación, con número de registro digital 164618, publicada en el Semanario Judicial de la Federación y su Gaceta. En el Tomo XXXI, </w:t>
      </w:r>
      <w:proofErr w:type="gramStart"/>
      <w:r>
        <w:rPr>
          <w:rFonts w:ascii="Century Gothic" w:eastAsia="Century Gothic" w:hAnsi="Century Gothic" w:cs="Century Gothic"/>
          <w:sz w:val="24"/>
          <w:szCs w:val="24"/>
        </w:rPr>
        <w:t>Mayo</w:t>
      </w:r>
      <w:proofErr w:type="gramEnd"/>
      <w:r>
        <w:rPr>
          <w:rFonts w:ascii="Century Gothic" w:eastAsia="Century Gothic" w:hAnsi="Century Gothic" w:cs="Century Gothic"/>
          <w:sz w:val="24"/>
          <w:szCs w:val="24"/>
        </w:rPr>
        <w:t xml:space="preserve"> de 2010, visible a página 830, bajo el rubro y texto siguiente: </w:t>
      </w:r>
    </w:p>
    <w:p w14:paraId="6DA25470" w14:textId="77777777" w:rsidR="00270F0A" w:rsidRDefault="00725FA7">
      <w:pPr>
        <w:spacing w:before="240"/>
        <w:ind w:left="567" w:right="616"/>
        <w:jc w:val="both"/>
        <w:rPr>
          <w:rFonts w:ascii="Century Gothic" w:eastAsia="Century Gothic" w:hAnsi="Century Gothic" w:cs="Century Gothic"/>
          <w:i/>
          <w:sz w:val="24"/>
          <w:szCs w:val="24"/>
        </w:rPr>
      </w:pPr>
      <w:r>
        <w:rPr>
          <w:rFonts w:ascii="Century Gothic" w:eastAsia="Century Gothic" w:hAnsi="Century Gothic" w:cs="Century Gothic"/>
          <w:b/>
          <w:i/>
          <w:sz w:val="24"/>
          <w:szCs w:val="24"/>
        </w:rPr>
        <w:t xml:space="preserve">“CONCEPTOS DE VIOLACIÓN O AGRAVIOS. PARA CUMPLIR CON LOS PRINCIPIOS DE CONGRUENCIA Y EXHAUSTIVIDAD EN LAS SENTENCIAS DE AMPARO ES INNECESARIA SU TRANSCRIPCIÓN”. </w:t>
      </w:r>
      <w:r>
        <w:rPr>
          <w:rFonts w:ascii="Century Gothic" w:eastAsia="Century Gothic" w:hAnsi="Century Gothic" w:cs="Century Gothic"/>
          <w:b/>
          <w:i/>
          <w:sz w:val="24"/>
          <w:szCs w:val="24"/>
          <w:vertAlign w:val="superscript"/>
        </w:rPr>
        <w:footnoteReference w:id="3"/>
      </w:r>
    </w:p>
    <w:p w14:paraId="078E2D0D" w14:textId="77777777" w:rsidR="00270F0A" w:rsidRDefault="00725FA7">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CUARTO. Estudio y análisis de los agravios</w:t>
      </w:r>
      <w:r>
        <w:rPr>
          <w:rFonts w:ascii="Century Gothic" w:eastAsia="Century Gothic" w:hAnsi="Century Gothic" w:cs="Century Gothic"/>
          <w:sz w:val="24"/>
          <w:szCs w:val="24"/>
        </w:rPr>
        <w:t xml:space="preserve">. </w:t>
      </w:r>
    </w:p>
    <w:p w14:paraId="7462EF9C" w14:textId="77777777" w:rsidR="00270F0A" w:rsidRDefault="00725FA7">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8. Del análisis del </w:t>
      </w:r>
      <w:r>
        <w:rPr>
          <w:rFonts w:ascii="Century Gothic" w:eastAsia="Century Gothic" w:hAnsi="Century Gothic" w:cs="Century Gothic"/>
          <w:b/>
          <w:sz w:val="24"/>
          <w:szCs w:val="24"/>
        </w:rPr>
        <w:t>PRIMER AGRAVIO</w:t>
      </w:r>
      <w:r>
        <w:rPr>
          <w:rFonts w:ascii="Century Gothic" w:eastAsia="Century Gothic" w:hAnsi="Century Gothic" w:cs="Century Gothic"/>
          <w:sz w:val="24"/>
          <w:szCs w:val="24"/>
        </w:rPr>
        <w:t xml:space="preserve"> hecho por el recurrente, donde aduce que el considerando cuarto de la sentencia que combate, viola en perjuicio de la autoridad que representa los artículos 14 y 16 de la Constitución Política de los Estados Unidos Mexicanos y 207, fracción II de la Ley de Procedimiento, en virtud de que no está emitida de forma congruente con el acto impugnado, ya que a pesar de que quedó acreditada la correcta fundamentación y motivación del acto, y con ello la validez del mismo, el  Magistrado</w:t>
      </w:r>
      <w:r>
        <w:rPr>
          <w:rFonts w:ascii="Century Gothic" w:eastAsia="Century Gothic" w:hAnsi="Century Gothic" w:cs="Century Gothic"/>
          <w:i/>
          <w:sz w:val="24"/>
          <w:szCs w:val="24"/>
        </w:rPr>
        <w:t xml:space="preserve"> </w:t>
      </w:r>
      <w:r>
        <w:rPr>
          <w:rFonts w:ascii="Century Gothic" w:eastAsia="Century Gothic" w:hAnsi="Century Gothic" w:cs="Century Gothic"/>
          <w:sz w:val="24"/>
          <w:szCs w:val="24"/>
        </w:rPr>
        <w:t>omitió razonarla para declarar su nulidad lisa y llana.</w:t>
      </w:r>
    </w:p>
    <w:p w14:paraId="128F341A" w14:textId="77777777" w:rsidR="00270F0A" w:rsidRDefault="00725FA7">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9. Refiere que el entonces titular de la Segunda Sala Unitaria de Primera Instancia, le causa agravio a su investidura como Policía Vial Municipal, ya que en primer término en el acta de infracción con </w:t>
      </w:r>
      <w:r>
        <w:rPr>
          <w:rFonts w:ascii="Century Gothic" w:eastAsia="Century Gothic" w:hAnsi="Century Gothic" w:cs="Century Gothic"/>
          <w:sz w:val="24"/>
          <w:szCs w:val="24"/>
        </w:rPr>
        <w:lastRenderedPageBreak/>
        <w:t xml:space="preserve">número de folio 22214 de fecha catorce de marzo de dos mil veinte, se indicó como fundamentación el artículo, 86 fracción IX del Reglamento de Vialidad, que prevé la conducta ilegal del infractor por estacionarse en doble fila,  por lo que se hizo acreedor a una sanción como consecuencia de su conducta ilegal, de lo que se desprende la legalidad de la multa impuesta; por ello, la sentencia no está apegada a derecho, ni fundada ni motivada. </w:t>
      </w:r>
    </w:p>
    <w:p w14:paraId="1ACE89D0" w14:textId="77777777" w:rsidR="00270F0A" w:rsidRDefault="00725FA7">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10. Aunado a que en el acta de infracción se citaron las circunstancias de modo, tiempo y lugar, para cumplir con el requisito de fundamentación y motivación que exige el artículo 17, fracción V de la Ley de Procedimiento; que si bien es cierto que el artículo 16 de la Constitución Federal establece la obligación de las autoridades de fundar y motivar sus actos, desde el punto de vista formal, cuando se expresen las normas legales aplicables y los hechos que hacen que el caso encaje en las hipótesis normativas, basta el razonamiento sustancial, sin que pueda exigirse formalmente mayor amplitud o abundancia, para que se comprenda el argumento expresado; además que se debe resolver bajo la premisa de que todo acto de autoridad es válido hasta demostrar lo contrario, correspondiéndole al promovente aportar los elementos necesarios para que desvirtúen la legalidad del acto de autoridad.</w:t>
      </w:r>
    </w:p>
    <w:p w14:paraId="0089A52B" w14:textId="77777777" w:rsidR="00270F0A" w:rsidRDefault="00725FA7">
      <w:pPr>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11. Al caso,</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 xml:space="preserve"> el agravio expuesto por el recurrente resulta </w:t>
      </w:r>
      <w:r>
        <w:rPr>
          <w:rFonts w:ascii="Century Gothic" w:eastAsia="Century Gothic" w:hAnsi="Century Gothic" w:cs="Century Gothic"/>
          <w:b/>
          <w:color w:val="000000"/>
          <w:sz w:val="24"/>
          <w:szCs w:val="24"/>
        </w:rPr>
        <w:t xml:space="preserve">INOPERANTE, </w:t>
      </w:r>
      <w:r>
        <w:rPr>
          <w:rFonts w:ascii="Century Gothic" w:eastAsia="Century Gothic" w:hAnsi="Century Gothic" w:cs="Century Gothic"/>
          <w:color w:val="000000"/>
          <w:sz w:val="24"/>
          <w:szCs w:val="24"/>
        </w:rPr>
        <w:t xml:space="preserve">ya que </w:t>
      </w:r>
      <w:r>
        <w:rPr>
          <w:rFonts w:ascii="Century Gothic" w:eastAsia="Century Gothic" w:hAnsi="Century Gothic" w:cs="Century Gothic"/>
          <w:sz w:val="24"/>
          <w:szCs w:val="24"/>
        </w:rPr>
        <w:t xml:space="preserve">no basta que exprese de forma genérica y abstracta que en la sentencia en estudio se incurrió en indebida fundamentación y motivación, sino que debe exponer en forma precisa y razonada, los motivos concretos en los que explique el porqué de sus aseveraciones; es decir, debe señalar cual es el pronunciamiento específico de la sentencia en la que se incurrió en indebida fundamentación y motivación y relacionar sus razones de disenso con el perjuicio que se le cause, </w:t>
      </w:r>
      <w:r>
        <w:rPr>
          <w:rFonts w:ascii="Century Gothic" w:eastAsia="Century Gothic" w:hAnsi="Century Gothic" w:cs="Century Gothic"/>
          <w:sz w:val="24"/>
          <w:szCs w:val="24"/>
          <w:highlight w:val="white"/>
        </w:rPr>
        <w:t xml:space="preserve">pues es obvio que el hoy recurrente como autoridad demandada en el juicio natural, le corresponde exponer razonadamente por qué estima ilegal el acto que recurre, debiendo señalar la parte de la sentencia que considera se encuentra indebidamente fundada y motivada, más no expresar simples aseveraciones con la finalidad de que esta Sala Superior emprenda el examen de legalidad de la sentencia recurrida con base en tales manifestaciones; consecuentemente, al no controvertir </w:t>
      </w:r>
      <w:r>
        <w:rPr>
          <w:rFonts w:ascii="Century Gothic" w:eastAsia="Century Gothic" w:hAnsi="Century Gothic" w:cs="Century Gothic"/>
          <w:sz w:val="24"/>
          <w:szCs w:val="24"/>
        </w:rPr>
        <w:t xml:space="preserve">de forma adecuada los fundamentos legales y las consideraciones de la Primera Instancia plasmadas en la sentencia impugnada, es que resulta </w:t>
      </w:r>
      <w:r>
        <w:rPr>
          <w:rFonts w:ascii="Century Gothic" w:eastAsia="Century Gothic" w:hAnsi="Century Gothic" w:cs="Century Gothic"/>
          <w:b/>
          <w:sz w:val="24"/>
          <w:szCs w:val="24"/>
        </w:rPr>
        <w:t>inoperante</w:t>
      </w:r>
      <w:r>
        <w:rPr>
          <w:rFonts w:ascii="Century Gothic" w:eastAsia="Century Gothic" w:hAnsi="Century Gothic" w:cs="Century Gothic"/>
          <w:sz w:val="24"/>
          <w:szCs w:val="24"/>
        </w:rPr>
        <w:t xml:space="preserve"> lo alegado por el recurrente en el agravio analizado. </w:t>
      </w:r>
    </w:p>
    <w:p w14:paraId="3B92035E" w14:textId="77777777" w:rsidR="00270F0A" w:rsidRDefault="00725FA7">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12. De igual forma el citado agravio resulta infundado, toda vez que contrario a lo manifestado por el recurrente del análisis del acta de infracción, destacan puntos importantes que la Sala de Primera Instancia valoro al momento de emitir la resolución recurrida:</w:t>
      </w:r>
    </w:p>
    <w:p w14:paraId="6B97EF16" w14:textId="77777777" w:rsidR="00270F0A" w:rsidRDefault="00725FA7">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lastRenderedPageBreak/>
        <w:t>a)</w:t>
      </w:r>
      <w:r>
        <w:rPr>
          <w:rFonts w:ascii="Century Gothic" w:eastAsia="Century Gothic" w:hAnsi="Century Gothic" w:cs="Century Gothic"/>
          <w:sz w:val="24"/>
          <w:szCs w:val="24"/>
        </w:rPr>
        <w:t xml:space="preserve"> El acta de infracción fue emitida por un Policía Vial el cual cuenta con las atribuciones y obligaciones para formular actas de infracción cometidas por los conductores que infrinjan el Reglamento, pero estas deben estar debidamente fundadas y motivadas correctamente.</w:t>
      </w:r>
    </w:p>
    <w:p w14:paraId="3EBBFE4D" w14:textId="77777777" w:rsidR="00270F0A" w:rsidRDefault="00725FA7">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b)</w:t>
      </w:r>
      <w:r>
        <w:rPr>
          <w:rFonts w:ascii="Century Gothic" w:eastAsia="Century Gothic" w:hAnsi="Century Gothic" w:cs="Century Gothic"/>
          <w:sz w:val="24"/>
          <w:szCs w:val="24"/>
        </w:rPr>
        <w:t xml:space="preserve"> El acta de infracción no se encuentra debidamente sustentada, pues en el apartado de motivación del acta de infracción, la autoridad vial se limitó a indicar “</w:t>
      </w:r>
      <w:r>
        <w:rPr>
          <w:rFonts w:ascii="Century Gothic" w:eastAsia="Century Gothic" w:hAnsi="Century Gothic" w:cs="Century Gothic"/>
          <w:i/>
          <w:sz w:val="24"/>
          <w:szCs w:val="24"/>
        </w:rPr>
        <w:t>ESTACIONARSE EN DOBLE FILA</w:t>
      </w:r>
      <w:r>
        <w:rPr>
          <w:rFonts w:ascii="Century Gothic" w:eastAsia="Century Gothic" w:hAnsi="Century Gothic" w:cs="Century Gothic"/>
          <w:sz w:val="24"/>
          <w:szCs w:val="24"/>
        </w:rPr>
        <w:t>”, así sin haber precisado las circunstancias de tiempo, modo y lugar, así como las razones particulares, causas inmediatas, motivos o circunstancias especiales que se ajustaron al “</w:t>
      </w:r>
      <w:r>
        <w:rPr>
          <w:rFonts w:ascii="Century Gothic" w:eastAsia="Century Gothic" w:hAnsi="Century Gothic" w:cs="Century Gothic"/>
          <w:i/>
          <w:sz w:val="24"/>
          <w:szCs w:val="24"/>
        </w:rPr>
        <w:t>ARTÍCULO 86 FRACCIÓN IX”</w:t>
      </w:r>
      <w:r>
        <w:rPr>
          <w:rFonts w:ascii="Century Gothic" w:eastAsia="Century Gothic" w:hAnsi="Century Gothic" w:cs="Century Gothic"/>
          <w:sz w:val="24"/>
          <w:szCs w:val="24"/>
        </w:rPr>
        <w:t>, escritos en el apartado de la fundamentación.</w:t>
      </w:r>
    </w:p>
    <w:p w14:paraId="4D17AB9C" w14:textId="77777777" w:rsidR="00270F0A" w:rsidRDefault="00725FA7">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c)</w:t>
      </w:r>
      <w:r>
        <w:rPr>
          <w:rFonts w:ascii="Century Gothic" w:eastAsia="Century Gothic" w:hAnsi="Century Gothic" w:cs="Century Gothic"/>
          <w:sz w:val="24"/>
          <w:szCs w:val="24"/>
        </w:rPr>
        <w:t xml:space="preserve"> El acta de infracción con número de folio 22214 de fecha catorce de marzo del año dos mil veinte, emitida por el Policía Tercero Vial REYNALDO GUZMÁN CANSECO, con número estadístico PV-012, adscrito a la Dirección de Movilidad del Municipio de Oaxaca de Juárez; en la parte inferior de la boleta de mérito se advierte la leyenda, "</w:t>
      </w:r>
      <w:r>
        <w:rPr>
          <w:rFonts w:ascii="Century Gothic" w:eastAsia="Century Gothic" w:hAnsi="Century Gothic" w:cs="Century Gothic"/>
          <w:b/>
          <w:sz w:val="24"/>
          <w:szCs w:val="24"/>
        </w:rPr>
        <w:t>Observaciones</w:t>
      </w:r>
      <w:r>
        <w:rPr>
          <w:rFonts w:ascii="Century Gothic" w:eastAsia="Century Gothic" w:hAnsi="Century Gothic" w:cs="Century Gothic"/>
          <w:sz w:val="24"/>
          <w:szCs w:val="24"/>
        </w:rPr>
        <w:t xml:space="preserve">", </w:t>
      </w:r>
      <w:r>
        <w:rPr>
          <w:rFonts w:ascii="Century Gothic" w:eastAsia="Century Gothic" w:hAnsi="Century Gothic" w:cs="Century Gothic"/>
          <w:b/>
          <w:sz w:val="24"/>
          <w:szCs w:val="24"/>
        </w:rPr>
        <w:t>sin que exista observaciones del funcionario emisor</w:t>
      </w:r>
      <w:r>
        <w:rPr>
          <w:rFonts w:ascii="Century Gothic" w:eastAsia="Century Gothic" w:hAnsi="Century Gothic" w:cs="Century Gothic"/>
          <w:sz w:val="24"/>
          <w:szCs w:val="24"/>
        </w:rPr>
        <w:t xml:space="preserve">, por lo que incumple con lo exigido por el artículo 17 fracción IV, de la Ley de Procedimiento. </w:t>
      </w:r>
    </w:p>
    <w:p w14:paraId="201F5F22" w14:textId="77777777" w:rsidR="00270F0A" w:rsidRDefault="00725FA7">
      <w:pPr>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13. De lo antes señalado se obtiene que el agravio hecho por el recurrente, resulta infundado ya que el Magistrado de Primera Instancia si resolvió con la debida congruencia y exhaustividad al analizar si el acto que motivo la controversia (acta de infracción) se encontraba debidamente fundado y motivado. </w:t>
      </w:r>
    </w:p>
    <w:p w14:paraId="6E915E8F" w14:textId="77777777" w:rsidR="00270F0A" w:rsidRDefault="00725FA7">
      <w:pPr>
        <w:widowControl w:val="0"/>
        <w:spacing w:before="240" w:after="0"/>
        <w:ind w:firstLine="567"/>
        <w:jc w:val="both"/>
        <w:rPr>
          <w:rFonts w:ascii="Century Gothic" w:eastAsia="Century Gothic" w:hAnsi="Century Gothic" w:cs="Century Gothic"/>
          <w:sz w:val="24"/>
          <w:szCs w:val="24"/>
        </w:rPr>
      </w:pPr>
      <w:r>
        <w:rPr>
          <w:rFonts w:ascii="Century Gothic" w:eastAsia="Century Gothic" w:hAnsi="Century Gothic" w:cs="Century Gothic"/>
          <w:b/>
          <w:sz w:val="24"/>
          <w:szCs w:val="24"/>
        </w:rPr>
        <w:t>SEGUNDO AGRAVIO</w:t>
      </w:r>
      <w:r>
        <w:rPr>
          <w:rFonts w:ascii="Century Gothic" w:eastAsia="Century Gothic" w:hAnsi="Century Gothic" w:cs="Century Gothic"/>
          <w:sz w:val="24"/>
          <w:szCs w:val="24"/>
        </w:rPr>
        <w:t xml:space="preserve">. </w:t>
      </w:r>
    </w:p>
    <w:p w14:paraId="59E59187" w14:textId="77777777" w:rsidR="00270F0A" w:rsidRDefault="00725FA7">
      <w:pPr>
        <w:widowControl w:val="0"/>
        <w:spacing w:before="240" w:after="0"/>
        <w:ind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14. Ahora bien, respecto a lo manifestado por el recurrente, tocante a</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que la motivación en el acta de infracción fue correcta y los preceptos legales citados, son aplicables al caso particular, por lo que de ninguna manera se dejó al administrado en estado de indefensión, ya que se señalaron los  motivos, circunstancias especiales o razones particulares para determinar la conducta ilegal del infractor, así como los artículos invocados por el recurrente elementos suficientes para cumplir con los requisitos de fundamentación y motivación previsto por el artículo 17, fracción V de la Ley de Procedimiento; en ese tenor, es evidente que la sentencia que recurre fue dictada en contravención al artículo 207, fracción II de la Ley de la materia.</w:t>
      </w:r>
    </w:p>
    <w:p w14:paraId="570CD25D" w14:textId="77777777" w:rsidR="00270F0A" w:rsidRDefault="00725FA7">
      <w:pPr>
        <w:spacing w:before="240"/>
        <w:ind w:firstLine="708"/>
        <w:jc w:val="both"/>
        <w:rPr>
          <w:rFonts w:ascii="Century Gothic" w:eastAsia="Century Gothic" w:hAnsi="Century Gothic" w:cs="Century Gothic"/>
          <w:color w:val="FF0000"/>
          <w:sz w:val="24"/>
          <w:szCs w:val="24"/>
        </w:rPr>
      </w:pPr>
      <w:r>
        <w:rPr>
          <w:rFonts w:ascii="Century Gothic" w:eastAsia="Century Gothic" w:hAnsi="Century Gothic" w:cs="Century Gothic"/>
          <w:sz w:val="24"/>
          <w:szCs w:val="24"/>
        </w:rPr>
        <w:t xml:space="preserve">15. Es </w:t>
      </w:r>
      <w:r>
        <w:rPr>
          <w:rFonts w:ascii="Century Gothic" w:eastAsia="Century Gothic" w:hAnsi="Century Gothic" w:cs="Century Gothic"/>
          <w:b/>
          <w:sz w:val="24"/>
          <w:szCs w:val="24"/>
        </w:rPr>
        <w:t>INFUNDADO</w:t>
      </w:r>
      <w:r>
        <w:rPr>
          <w:rFonts w:ascii="Century Gothic" w:eastAsia="Century Gothic" w:hAnsi="Century Gothic" w:cs="Century Gothic"/>
          <w:sz w:val="24"/>
          <w:szCs w:val="24"/>
        </w:rPr>
        <w:t xml:space="preserve"> el agravio anterior, en razón del análisis de las constancias de autos que fueron remitidas para la substanciación del presente asunto, con valor probatorio pleno conforme lo dispuesto por el artículo 203, fracción I, de la Ley de Procedimiento, por tratarse de actuaciones judiciales; que de las fojas treinta ocho a la foja cuarenta y </w:t>
      </w:r>
      <w:r>
        <w:rPr>
          <w:rFonts w:ascii="Century Gothic" w:eastAsia="Century Gothic" w:hAnsi="Century Gothic" w:cs="Century Gothic"/>
          <w:sz w:val="24"/>
          <w:szCs w:val="24"/>
        </w:rPr>
        <w:lastRenderedPageBreak/>
        <w:t xml:space="preserve">uno, se advierte la sentencia impugnada en cuya parte que interesa del considerando Cuarto, el  Magistrado de la Segunda Sala Unitaria de Primera Instancia determinó lo siguiente: </w:t>
      </w:r>
    </w:p>
    <w:p w14:paraId="21EF3053" w14:textId="77777777" w:rsidR="00270F0A" w:rsidRDefault="00725FA7">
      <w:pPr>
        <w:ind w:left="567" w:right="616" w:firstLine="283"/>
        <w:jc w:val="both"/>
        <w:rPr>
          <w:rFonts w:ascii="Century Gothic" w:eastAsia="Century Gothic" w:hAnsi="Century Gothic" w:cs="Century Gothic"/>
          <w:b/>
          <w:i/>
        </w:rPr>
      </w:pPr>
      <w:r>
        <w:rPr>
          <w:rFonts w:ascii="Century Gothic" w:eastAsia="Century Gothic" w:hAnsi="Century Gothic" w:cs="Century Gothic"/>
          <w:i/>
        </w:rPr>
        <w:t>“</w:t>
      </w:r>
      <w:r>
        <w:rPr>
          <w:rFonts w:ascii="Century Gothic" w:eastAsia="Century Gothic" w:hAnsi="Century Gothic" w:cs="Century Gothic"/>
          <w:b/>
          <w:i/>
        </w:rPr>
        <w:t>Cuarto (…)</w:t>
      </w:r>
    </w:p>
    <w:p w14:paraId="701DA143" w14:textId="77777777" w:rsidR="00270F0A" w:rsidRDefault="00725FA7">
      <w:pPr>
        <w:ind w:left="567" w:right="616" w:firstLine="283"/>
        <w:jc w:val="both"/>
        <w:rPr>
          <w:rFonts w:ascii="Century Gothic" w:eastAsia="Century Gothic" w:hAnsi="Century Gothic" w:cs="Century Gothic"/>
          <w:i/>
        </w:rPr>
      </w:pPr>
      <w:r>
        <w:rPr>
          <w:rFonts w:ascii="Century Gothic" w:eastAsia="Century Gothic" w:hAnsi="Century Gothic" w:cs="Century Gothic"/>
          <w:i/>
        </w:rPr>
        <w:t xml:space="preserve">Resultan FUNDADOS los conceptos de impugnación hechos valer por la accionante, en el sentido que el acta de infracción impugnada no satisface el requisito de fundamentación y motivación exigible en la fracción V del </w:t>
      </w:r>
      <w:proofErr w:type="spellStart"/>
      <w:r>
        <w:rPr>
          <w:rFonts w:ascii="Century Gothic" w:eastAsia="Century Gothic" w:hAnsi="Century Gothic" w:cs="Century Gothic"/>
          <w:i/>
        </w:rPr>
        <w:t>articulo</w:t>
      </w:r>
      <w:proofErr w:type="spellEnd"/>
      <w:r>
        <w:rPr>
          <w:rFonts w:ascii="Century Gothic" w:eastAsia="Century Gothic" w:hAnsi="Century Gothic" w:cs="Century Gothic"/>
          <w:i/>
        </w:rPr>
        <w:t xml:space="preserve"> 17 de la Ley de Procedimiento, toda vez que dicho acto se señala que es levantada con fundamento en el Reglamento de Vialidad, dado que no señala las razones particulares, causas inmediatas y circunstancias de la forma que la autoridad arribó a la determinación del accionante, cometió la falta administrativa consistente en “estacionarse en doble fila” tipificada en los artículos 60 fracción II y 86 fracción IX del Reglamento de Vialidad, mismo que vendría a ser el hecho generador de la infracción.</w:t>
      </w:r>
    </w:p>
    <w:p w14:paraId="3BC081A0" w14:textId="77777777" w:rsidR="00270F0A" w:rsidRDefault="00725FA7">
      <w:pPr>
        <w:ind w:left="567" w:right="616" w:firstLine="283"/>
        <w:jc w:val="both"/>
        <w:rPr>
          <w:rFonts w:ascii="Century Gothic" w:eastAsia="Century Gothic" w:hAnsi="Century Gothic" w:cs="Century Gothic"/>
          <w:i/>
        </w:rPr>
      </w:pPr>
      <w:r>
        <w:rPr>
          <w:rFonts w:ascii="Century Gothic" w:eastAsia="Century Gothic" w:hAnsi="Century Gothic" w:cs="Century Gothic"/>
          <w:i/>
        </w:rPr>
        <w:t xml:space="preserve">Al no señalar las circunstancias de modo, tiempo y lugar, en que acontecieron los hechos, dicha acta resulta viciada, puesto que la autoridad únicamente se </w:t>
      </w:r>
      <w:proofErr w:type="spellStart"/>
      <w:r>
        <w:rPr>
          <w:rFonts w:ascii="Century Gothic" w:eastAsia="Century Gothic" w:hAnsi="Century Gothic" w:cs="Century Gothic"/>
          <w:i/>
        </w:rPr>
        <w:t>limito</w:t>
      </w:r>
      <w:proofErr w:type="spellEnd"/>
      <w:r>
        <w:rPr>
          <w:rFonts w:ascii="Century Gothic" w:eastAsia="Century Gothic" w:hAnsi="Century Gothic" w:cs="Century Gothic"/>
          <w:i/>
        </w:rPr>
        <w:t xml:space="preserve"> a señalar el motivo de la falta dentro del apartado de faltas administrativas en el formato, dejando a la actora en estado de indefensión al incumplir la obligación de fundar y motivar que le impone el artículo 17 de la Ley de Procedimiento.</w:t>
      </w:r>
    </w:p>
    <w:p w14:paraId="63399B62" w14:textId="77777777" w:rsidR="00270F0A" w:rsidRDefault="00725FA7">
      <w:pPr>
        <w:ind w:left="567" w:right="616" w:firstLine="283"/>
        <w:jc w:val="both"/>
        <w:rPr>
          <w:rFonts w:ascii="Century Gothic" w:eastAsia="Century Gothic" w:hAnsi="Century Gothic" w:cs="Century Gothic"/>
          <w:i/>
        </w:rPr>
      </w:pPr>
      <w:r>
        <w:rPr>
          <w:rFonts w:ascii="Century Gothic" w:eastAsia="Century Gothic" w:hAnsi="Century Gothic" w:cs="Century Gothic"/>
          <w:i/>
        </w:rPr>
        <w:t xml:space="preserve">Se advierte que la autoridad en la parte relativa a MOTIVACIÓN asentó;  “ESTACIONARSE EN DOBLE FILA”, en cuanto a FUNDAMENTACIÓN asentó; “ARTÍCULO 86- FRACCIÓN IX” y dentro de las observaciones “ No sentó texto alguno”, pone en manifiesto que el acta de infracción carece de debida motivación y  fundamentación para que la administrada esté en aptitud de poder hacer valer recurso alguno para su defensa de sus derechos, dado que el hecho debe ser claro, preciso y detallando de forma comprensible del porqué </w:t>
      </w:r>
      <w:proofErr w:type="spellStart"/>
      <w:r>
        <w:rPr>
          <w:rFonts w:ascii="Century Gothic" w:eastAsia="Century Gothic" w:hAnsi="Century Gothic" w:cs="Century Gothic"/>
          <w:i/>
        </w:rPr>
        <w:t>esta</w:t>
      </w:r>
      <w:proofErr w:type="spellEnd"/>
      <w:r>
        <w:rPr>
          <w:rFonts w:ascii="Century Gothic" w:eastAsia="Century Gothic" w:hAnsi="Century Gothic" w:cs="Century Gothic"/>
          <w:i/>
        </w:rPr>
        <w:t xml:space="preserve"> interfiriendo en su esfera jurídica de la infractora, que </w:t>
      </w:r>
      <w:proofErr w:type="spellStart"/>
      <w:r>
        <w:rPr>
          <w:rFonts w:ascii="Century Gothic" w:eastAsia="Century Gothic" w:hAnsi="Century Gothic" w:cs="Century Gothic"/>
          <w:i/>
        </w:rPr>
        <w:t>seria</w:t>
      </w:r>
      <w:proofErr w:type="spellEnd"/>
      <w:r>
        <w:rPr>
          <w:rFonts w:ascii="Century Gothic" w:eastAsia="Century Gothic" w:hAnsi="Century Gothic" w:cs="Century Gothic"/>
          <w:i/>
        </w:rPr>
        <w:t xml:space="preserve"> la conducta antijuridica y que norma resulta aplicable, lo que en este caso no acontece, si bien dentro del apartado de “FALTAS ADMINISTRATIVAS CONTEMPLADAS EN EL REGLAMENTO DE VIALIDAD PARA EL MUNICIPIO DE OAXACA DE JUÁREZ” señalo la conducta que se actualizaba, siendo innecesario que la volviera a estipular dentro del apartado de motivación, siendo omisa en plasmar los argumentos lógico-jurídicos y las circunstancias de modo, tiempo y lugar aplicables que generen incertidumbre de la forma en que el Policía Vial puedo apreciar a través de sus sentidos la comisión de dicha falta.</w:t>
      </w:r>
    </w:p>
    <w:p w14:paraId="340AEAA6" w14:textId="77777777" w:rsidR="00270F0A" w:rsidRDefault="00725FA7">
      <w:pPr>
        <w:ind w:left="567" w:right="616" w:firstLine="283"/>
        <w:jc w:val="both"/>
        <w:rPr>
          <w:rFonts w:ascii="Century Gothic" w:eastAsia="Century Gothic" w:hAnsi="Century Gothic" w:cs="Century Gothic"/>
          <w:i/>
        </w:rPr>
      </w:pPr>
      <w:r>
        <w:rPr>
          <w:rFonts w:ascii="Century Gothic" w:eastAsia="Century Gothic" w:hAnsi="Century Gothic" w:cs="Century Gothic"/>
          <w:i/>
        </w:rPr>
        <w:t xml:space="preserve">A lo anterior es que la autoridad haya sido omisa en detallar la motivación que debe estipular en todo acto administrativo, toda vez que dentro del apartado de motivación, deben plasmarse los argumentos lógicos- jurídicos y las circunstancias de modo, tiempo y lugar aplicables que generen certidumbre de la forma en que el </w:t>
      </w:r>
      <w:r>
        <w:rPr>
          <w:rFonts w:ascii="Century Gothic" w:eastAsia="Century Gothic" w:hAnsi="Century Gothic" w:cs="Century Gothic"/>
          <w:i/>
        </w:rPr>
        <w:lastRenderedPageBreak/>
        <w:t>policía vial  pudo apreciar a través de sus sentidos la comisión de dicha falta, luego al no haber una correcta motivación, se vulnero los derechos de la actora, por lo que en ese tenor, dicho acto de autoridad carece de una adecuada motivación y fundamentación.</w:t>
      </w:r>
    </w:p>
    <w:p w14:paraId="21D8B94C" w14:textId="77777777" w:rsidR="00270F0A" w:rsidRDefault="00725FA7">
      <w:pPr>
        <w:ind w:left="567" w:right="616" w:firstLine="283"/>
        <w:jc w:val="both"/>
        <w:rPr>
          <w:rFonts w:ascii="Century Gothic" w:eastAsia="Century Gothic" w:hAnsi="Century Gothic" w:cs="Century Gothic"/>
          <w:i/>
        </w:rPr>
      </w:pPr>
      <w:r>
        <w:rPr>
          <w:rFonts w:ascii="Century Gothic" w:eastAsia="Century Gothic" w:hAnsi="Century Gothic" w:cs="Century Gothic"/>
          <w:i/>
        </w:rPr>
        <w:t>Para que el presente caso tuviera validez el acto, se requiere la descripción clara y completa de la conducta que encuadra en la hipótesis normativa, lo que no se aprecia en este caso.</w:t>
      </w:r>
    </w:p>
    <w:p w14:paraId="12496E08" w14:textId="77777777" w:rsidR="00270F0A" w:rsidRDefault="00725FA7">
      <w:pPr>
        <w:ind w:left="567" w:right="616" w:firstLine="283"/>
        <w:jc w:val="both"/>
        <w:rPr>
          <w:rFonts w:ascii="Century Gothic" w:eastAsia="Century Gothic" w:hAnsi="Century Gothic" w:cs="Century Gothic"/>
          <w:i/>
          <w:u w:val="single"/>
        </w:rPr>
      </w:pPr>
      <w:r>
        <w:rPr>
          <w:rFonts w:ascii="Century Gothic" w:eastAsia="Century Gothic" w:hAnsi="Century Gothic" w:cs="Century Gothic"/>
          <w:i/>
        </w:rPr>
        <w:t xml:space="preserve">Por las razones esgrimidas, los conceptos de impugnación hechos valer por la actora resultan fundados; en consecuencia, se declara la NULIDAD LISA Y LLANA del acta de infracción con número de folio 22214, de fecha catorce de marzo de dos mil veinte, emitida por Reynaldo Guzmán Canseco, Policía Vial con número estadísticos PV-012, adscrito a la Subdirección de Transito y Movilidad del Municipio de Oaxaca de Juárez; en consecuencia, </w:t>
      </w:r>
      <w:r>
        <w:rPr>
          <w:rFonts w:ascii="Century Gothic" w:eastAsia="Century Gothic" w:hAnsi="Century Gothic" w:cs="Century Gothic"/>
          <w:i/>
          <w:u w:val="single"/>
        </w:rPr>
        <w:t xml:space="preserve">se ordena a esa autoridad demandada para que a través de </w:t>
      </w:r>
      <w:proofErr w:type="spellStart"/>
      <w:r>
        <w:rPr>
          <w:rFonts w:ascii="Century Gothic" w:eastAsia="Century Gothic" w:hAnsi="Century Gothic" w:cs="Century Gothic"/>
          <w:i/>
          <w:u w:val="single"/>
        </w:rPr>
        <w:t>si</w:t>
      </w:r>
      <w:proofErr w:type="spellEnd"/>
      <w:r>
        <w:rPr>
          <w:rFonts w:ascii="Century Gothic" w:eastAsia="Century Gothic" w:hAnsi="Century Gothic" w:cs="Century Gothic"/>
          <w:i/>
          <w:u w:val="single"/>
        </w:rPr>
        <w:t xml:space="preserve"> misma o de quien sea legalmente competente, realce la baja de la citada acta de infracción del sistema electrónico y/o documental que para tal efecto lleve esa autoridad.</w:t>
      </w:r>
    </w:p>
    <w:p w14:paraId="260EDF15" w14:textId="77777777" w:rsidR="00270F0A" w:rsidRDefault="00270F0A">
      <w:pPr>
        <w:spacing w:after="0"/>
        <w:ind w:right="616"/>
        <w:jc w:val="both"/>
        <w:rPr>
          <w:rFonts w:ascii="Century Gothic" w:eastAsia="Century Gothic" w:hAnsi="Century Gothic" w:cs="Century Gothic"/>
          <w:sz w:val="24"/>
          <w:szCs w:val="24"/>
        </w:rPr>
      </w:pPr>
    </w:p>
    <w:p w14:paraId="2390E89F" w14:textId="77777777" w:rsidR="00270F0A" w:rsidRDefault="00725FA7">
      <w:pPr>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16. De lo expuesto en el considerando Cuarto de la sentencia que nos ocupa, se advierte que </w:t>
      </w:r>
      <w:r>
        <w:rPr>
          <w:rFonts w:ascii="Century Gothic" w:eastAsia="Century Gothic" w:hAnsi="Century Gothic" w:cs="Century Gothic"/>
          <w:color w:val="000000"/>
          <w:sz w:val="24"/>
          <w:szCs w:val="24"/>
        </w:rPr>
        <w:t>contrario a lo que alega la autoridad recurrente, la Sala de Primera Instancia se abocó a analizar todas las constancias que integran el expediente, e hizo un análisis exhaustivo del acto administrativo impugnado</w:t>
      </w:r>
      <w:r>
        <w:rPr>
          <w:rFonts w:ascii="Century Gothic" w:eastAsia="Century Gothic" w:hAnsi="Century Gothic" w:cs="Century Gothic"/>
          <w:sz w:val="24"/>
          <w:szCs w:val="24"/>
        </w:rPr>
        <w:t xml:space="preserve">, para verter las consideraciones sustentadas en razonamientos debidamente fundados y motivados, que la llevaron a determinar la nulidad lisa y llana del acto de autoridad. </w:t>
      </w:r>
    </w:p>
    <w:p w14:paraId="0938D3E3" w14:textId="77777777" w:rsidR="00270F0A" w:rsidRDefault="00725FA7">
      <w:pPr>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17. Se dice lo anterior, porque en la foja seis de los autos, obra glosada el acta de infracción de folio 22214 de fecha catorce de marzo del año dos mil veinte, emitida por el Policía Vial recurrente, de cuyo texto se advierte que en el apartado relativo a todos los supuestos descritos como “Faltas Administrativas en relación al Reglamento de Vialidad para el Municipio de Oaxaca de Juárez”, remarcó la hipótesis que señala:</w:t>
      </w:r>
    </w:p>
    <w:p w14:paraId="642560D0" w14:textId="77777777" w:rsidR="00270F0A" w:rsidRDefault="00725FA7">
      <w:pPr>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“ESTACIONARSE EN DOBLE FILA. ARTÍCULOS 60 FRACCIÓN III Y 86 FRACCIÓN IX”</w:t>
      </w:r>
    </w:p>
    <w:p w14:paraId="08FFF1FE" w14:textId="77777777" w:rsidR="00270F0A" w:rsidRDefault="00725FA7">
      <w:pPr>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18. En el espacio reservado para la “MOTIVACIÓN” del acta de infracción plasmó:</w:t>
      </w:r>
    </w:p>
    <w:p w14:paraId="5DF35C5D" w14:textId="77777777" w:rsidR="00270F0A" w:rsidRDefault="00725FA7">
      <w:pPr>
        <w:spacing w:after="0"/>
        <w:ind w:left="851" w:right="616"/>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“ESTACIONARSE EN DOBLE FILA”</w:t>
      </w:r>
    </w:p>
    <w:p w14:paraId="5C2B3360" w14:textId="77777777" w:rsidR="00270F0A" w:rsidRDefault="00270F0A">
      <w:pPr>
        <w:ind w:firstLine="708"/>
        <w:jc w:val="both"/>
        <w:rPr>
          <w:rFonts w:ascii="Century Gothic" w:eastAsia="Century Gothic" w:hAnsi="Century Gothic" w:cs="Century Gothic"/>
          <w:sz w:val="24"/>
          <w:szCs w:val="24"/>
        </w:rPr>
      </w:pPr>
    </w:p>
    <w:p w14:paraId="005ED0AE" w14:textId="77777777" w:rsidR="00270F0A" w:rsidRDefault="00725FA7">
      <w:pPr>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19. En el recuadro relativo a la “Fundamentación”, se advierte el texto preestablecido en el formato del acta de infracción que versa lo siguiente: </w:t>
      </w:r>
    </w:p>
    <w:p w14:paraId="50785EC7" w14:textId="77777777" w:rsidR="00270F0A" w:rsidRDefault="00725FA7">
      <w:pPr>
        <w:spacing w:before="240" w:after="0"/>
        <w:ind w:firstLine="708"/>
        <w:jc w:val="both"/>
        <w:rPr>
          <w:rFonts w:ascii="Century Gothic" w:eastAsia="Century Gothic" w:hAnsi="Century Gothic" w:cs="Century Gothic"/>
          <w:b/>
          <w:sz w:val="24"/>
          <w:szCs w:val="24"/>
        </w:rPr>
      </w:pPr>
      <w:bookmarkStart w:id="1" w:name="_heading=h.30j0zll" w:colFirst="0" w:colLast="0"/>
      <w:bookmarkEnd w:id="1"/>
      <w:r>
        <w:rPr>
          <w:rFonts w:ascii="Century Gothic" w:eastAsia="Century Gothic" w:hAnsi="Century Gothic" w:cs="Century Gothic"/>
          <w:sz w:val="24"/>
          <w:szCs w:val="24"/>
        </w:rPr>
        <w:lastRenderedPageBreak/>
        <w:t>“</w:t>
      </w:r>
      <w:r>
        <w:rPr>
          <w:rFonts w:ascii="Century Gothic" w:eastAsia="Century Gothic" w:hAnsi="Century Gothic" w:cs="Century Gothic"/>
          <w:b/>
          <w:sz w:val="24"/>
          <w:szCs w:val="24"/>
        </w:rPr>
        <w:t xml:space="preserve">ARTÍCULO 86 FRACCIÓN IX” </w:t>
      </w:r>
    </w:p>
    <w:p w14:paraId="34D8E1A5" w14:textId="77777777" w:rsidR="00270F0A" w:rsidRDefault="00725FA7">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20. De lo anterior se advierte que la falta administrativa señalada en el acta motivo del juicio de nulidad, no se encuentra debidamente sustentada, pues en el apartado de motivación del acta de infracción, la autoridad vial se limitó a indicar “</w:t>
      </w:r>
      <w:r>
        <w:rPr>
          <w:rFonts w:ascii="Century Gothic" w:eastAsia="Century Gothic" w:hAnsi="Century Gothic" w:cs="Century Gothic"/>
          <w:i/>
          <w:sz w:val="24"/>
          <w:szCs w:val="24"/>
        </w:rPr>
        <w:t>ESTACIONARSE EN DOBLE FILA</w:t>
      </w:r>
      <w:r>
        <w:rPr>
          <w:rFonts w:ascii="Century Gothic" w:eastAsia="Century Gothic" w:hAnsi="Century Gothic" w:cs="Century Gothic"/>
          <w:sz w:val="24"/>
          <w:szCs w:val="24"/>
        </w:rPr>
        <w:t>”, sin haber precisado las circunstancias de tiempo, modo y lugar, así como las razones particulares, causas inmediatas, motivos o circunstancias especiales que se ajustaron el artículo “</w:t>
      </w:r>
      <w:r>
        <w:rPr>
          <w:rFonts w:ascii="Century Gothic" w:eastAsia="Century Gothic" w:hAnsi="Century Gothic" w:cs="Century Gothic"/>
          <w:i/>
          <w:sz w:val="24"/>
          <w:szCs w:val="24"/>
        </w:rPr>
        <w:t>ARTÍCULO 86 FRACCIÓN IX</w:t>
      </w:r>
      <w:r>
        <w:rPr>
          <w:rFonts w:ascii="Century Gothic" w:eastAsia="Century Gothic" w:hAnsi="Century Gothic" w:cs="Century Gothic"/>
          <w:sz w:val="24"/>
          <w:szCs w:val="24"/>
        </w:rPr>
        <w:t xml:space="preserve">”, escritos en el apartado de la fundamentación en el que se basa la falta administrativa motivo del acta de infracción, y en el apartado de motivación debió explicar la forma como se percató de que la unidad de motor del actor se encontraba estacionado en un lugar prohibido, por lo que se concluye que dicha acta contiene deficiente fundamentación y motivación </w:t>
      </w:r>
      <w:r>
        <w:rPr>
          <w:rFonts w:ascii="Century Gothic" w:eastAsia="Century Gothic" w:hAnsi="Century Gothic" w:cs="Century Gothic"/>
          <w:color w:val="000000"/>
          <w:sz w:val="24"/>
          <w:szCs w:val="24"/>
        </w:rPr>
        <w:t>al no constar de manera exhaustiva ni completa, las razones que permitan conocer el criterio utilizado por la autoridad demandada para considerar infringido el artículo 86 fracción IX”</w:t>
      </w:r>
    </w:p>
    <w:p w14:paraId="7F5547A3" w14:textId="77777777" w:rsidR="00270F0A" w:rsidRDefault="00725FA7">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21. Aunado a lo anterior, se tiene que el acta de infracción con número de folio 22214 de fecha catorce de marzo del año dos mil veinte, emitida por el Policía Vial Reynaldo Guzmán Canseco, con número estadístico PV-012, adscrito a la Dirección de Movilidad del Municipio de Oaxaca de Juárez; en la parte inferior de la boleta de mérito se advierte la leyenda, "</w:t>
      </w:r>
      <w:r>
        <w:rPr>
          <w:rFonts w:ascii="Century Gothic" w:eastAsia="Century Gothic" w:hAnsi="Century Gothic" w:cs="Century Gothic"/>
          <w:b/>
          <w:sz w:val="24"/>
          <w:szCs w:val="24"/>
        </w:rPr>
        <w:t>OBSERVACIONES</w:t>
      </w:r>
      <w:r>
        <w:rPr>
          <w:rFonts w:ascii="Century Gothic" w:eastAsia="Century Gothic" w:hAnsi="Century Gothic" w:cs="Century Gothic"/>
          <w:sz w:val="24"/>
          <w:szCs w:val="24"/>
        </w:rPr>
        <w:t>", sin que exista observaciones del funcionario emisor, por lo que incumple con lo exigido por el artículo 17 fracción IV, de la Ley de Procedimiento, el cual señala que uno de los elementos y requisitos de validez de los actos administrativos, es que estos deben de constar por escrito, lo que en el presente caso no sucedió.</w:t>
      </w:r>
    </w:p>
    <w:p w14:paraId="05AA2A1C" w14:textId="77777777" w:rsidR="00270F0A" w:rsidRDefault="00725FA7">
      <w:pPr>
        <w:spacing w:before="240"/>
        <w:ind w:firstLine="708"/>
        <w:jc w:val="both"/>
        <w:rPr>
          <w:rFonts w:ascii="Century Gothic" w:eastAsia="Century Gothic" w:hAnsi="Century Gothic" w:cs="Century Gothic"/>
          <w:sz w:val="24"/>
          <w:szCs w:val="24"/>
        </w:rPr>
      </w:pPr>
      <w:bookmarkStart w:id="2" w:name="_heading=h.1fob9te" w:colFirst="0" w:colLast="0"/>
      <w:bookmarkEnd w:id="2"/>
      <w:r>
        <w:rPr>
          <w:rFonts w:ascii="Century Gothic" w:eastAsia="Century Gothic" w:hAnsi="Century Gothic" w:cs="Century Gothic"/>
          <w:sz w:val="24"/>
          <w:szCs w:val="24"/>
        </w:rPr>
        <w:t>22. Por ello, para que un acto o resolución administrativa cumpla con las exigencias establecidas en el artículo 16 constitucional debe contener observaciones del funcionario emisor, por ser este signo gráfico el que otorga certeza y eficacia a los actos de autoridad ya que constituye la única forma en que puede asegurarse al particular que la autoridad emisora acepta su contenido.</w:t>
      </w:r>
    </w:p>
    <w:p w14:paraId="6C1E2B3E" w14:textId="77777777" w:rsidR="00270F0A" w:rsidRDefault="00725FA7">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23. Ahora bien, tomando en consideración que </w:t>
      </w:r>
      <w:r>
        <w:rPr>
          <w:rFonts w:ascii="Century Gothic" w:eastAsia="Century Gothic" w:hAnsi="Century Gothic" w:cs="Century Gothic"/>
          <w:b/>
          <w:sz w:val="24"/>
          <w:szCs w:val="24"/>
        </w:rPr>
        <w:t>REYNALDO GUZMÁN CANSECO, en su carácter de Policía Tercero Vial con número estadístico P.V.-012, adscrito a la Dirección de  Movilidad del Municipio de Oaxaca de Juárez, Oaxaca</w:t>
      </w:r>
      <w:r>
        <w:rPr>
          <w:rFonts w:ascii="Century Gothic" w:eastAsia="Century Gothic" w:hAnsi="Century Gothic" w:cs="Century Gothic"/>
          <w:sz w:val="24"/>
          <w:szCs w:val="24"/>
        </w:rPr>
        <w:t xml:space="preserve">, se encuentra investido con el carácter de autoridad, tiene la obligación de emitir actos debidamente fundados y motivados para legitimar su actuación; esto es, que debe precisar los numerales de la legislación aplicable al caso (fundamentación); y especificar las circunstancias de tiempo, modo y lugar, así como las razones particulares, causas inmediatas, motivos o </w:t>
      </w:r>
      <w:r>
        <w:rPr>
          <w:rFonts w:ascii="Century Gothic" w:eastAsia="Century Gothic" w:hAnsi="Century Gothic" w:cs="Century Gothic"/>
          <w:sz w:val="24"/>
          <w:szCs w:val="24"/>
        </w:rPr>
        <w:lastRenderedPageBreak/>
        <w:t xml:space="preserve">circunstancias especiales, que justifiquen la aplicación de los artículos al acto de molestia (motivación) e observaciones, y estos actos deben contener firma autógrafa del funcionario emisor, para  salvaguardar el principio de legalidad contenido del artículo 16 de la Constitución Política de los Estados Unidos Mexicanos; de lo contrario, es decir, de emitir actos indebidamente fundados y motivados en contra de los administrados, los colocará en estado de indefensión por impedirles conocer los motivos y fundamentos ejercidos en contra de ellos. </w:t>
      </w:r>
    </w:p>
    <w:p w14:paraId="5C6DD6C4" w14:textId="77777777" w:rsidR="00270F0A" w:rsidRDefault="00725FA7">
      <w:pPr>
        <w:tabs>
          <w:tab w:val="left" w:pos="0"/>
          <w:tab w:val="left" w:pos="5670"/>
        </w:tabs>
        <w:spacing w:before="240"/>
        <w:ind w:right="51" w:firstLine="709"/>
        <w:jc w:val="both"/>
        <w:rPr>
          <w:rFonts w:ascii="Century Gothic" w:eastAsia="Century Gothic" w:hAnsi="Century Gothic" w:cs="Century Gothic"/>
        </w:rPr>
      </w:pPr>
      <w:r>
        <w:rPr>
          <w:rFonts w:ascii="Century Gothic" w:eastAsia="Century Gothic" w:hAnsi="Century Gothic" w:cs="Century Gothic"/>
          <w:sz w:val="24"/>
          <w:szCs w:val="24"/>
        </w:rPr>
        <w:t xml:space="preserve">24. 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w:t>
      </w:r>
    </w:p>
    <w:p w14:paraId="7CD5171C" w14:textId="77777777" w:rsidR="00270F0A" w:rsidRDefault="00725FA7">
      <w:pPr>
        <w:tabs>
          <w:tab w:val="left" w:pos="0"/>
          <w:tab w:val="left" w:pos="5670"/>
        </w:tabs>
        <w:spacing w:before="240"/>
        <w:ind w:right="51"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25. Ahora bien, la debida fundamentación y motivación exige, además, que las razones otorgadas se adecuen a los fundamentos legales, porque de esta manera se asegura que dicho acto está apegado a derecho y, por tanto, se satisfacen los principios de certeza y seguridad jurídica, cumpliendo la autoridad con su obligación constitucional de garantizar que el acto emitido cumpla con los requisitos previstos en la ley. </w:t>
      </w:r>
    </w:p>
    <w:p w14:paraId="15E47B52" w14:textId="25CCB584" w:rsidR="00270F0A" w:rsidRDefault="00725FA7">
      <w:pPr>
        <w:tabs>
          <w:tab w:val="left" w:pos="0"/>
          <w:tab w:val="left" w:pos="5670"/>
        </w:tabs>
        <w:spacing w:before="240"/>
        <w:ind w:right="51"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26. En tal</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consideración,</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la emisión de un acto por una autoridad en el ejercicio de sus atribuciones, que incumpla con la debida fundamentación y motivación, es ilegal, porque transgrede los principios de legalidad y seguridad jurídica contenidos en el artículo 16 de la Constitución Federal, al colocar al afectado en estado de indefensión, ya que si los fundamentos legales y las razones otorgadas para la emisión del acto administrativo no están en concordancia, la defensa que se pretenda realizar en su contra será deficiente, además que el acto estará apartado de la obligación que tienen las autoridades de actuar en el estricto margen de la legalidad, atendiendo las disposiciones jurídicas al caso en concreto. Al caso resulta aplicable por analogía la Jurisprudencia en materia Administrativa, tesis:</w:t>
      </w:r>
      <w:r>
        <w:rPr>
          <w:rFonts w:ascii="Century Gothic" w:eastAsia="Century Gothic" w:hAnsi="Century Gothic" w:cs="Century Gothic"/>
          <w:i/>
          <w:sz w:val="24"/>
          <w:szCs w:val="24"/>
        </w:rPr>
        <w:t xml:space="preserve"> 2a./J. 57/2001</w:t>
      </w:r>
      <w:r>
        <w:rPr>
          <w:rFonts w:ascii="Century Gothic" w:eastAsia="Century Gothic" w:hAnsi="Century Gothic" w:cs="Century Gothic"/>
          <w:sz w:val="24"/>
          <w:szCs w:val="24"/>
        </w:rPr>
        <w:t xml:space="preserve">, con número de registro digital 188432, de la Novena Época, emitida por los Suprema Corte de Justicia de la Nación, publicado en el Semanario Judicial de la Federación y su Gaceta, Tomo XIV, </w:t>
      </w:r>
      <w:r w:rsidR="00AF3DE0">
        <w:rPr>
          <w:rFonts w:ascii="Century Gothic" w:eastAsia="Century Gothic" w:hAnsi="Century Gothic" w:cs="Century Gothic"/>
          <w:sz w:val="24"/>
          <w:szCs w:val="24"/>
        </w:rPr>
        <w:t>noviembre</w:t>
      </w:r>
      <w:r>
        <w:rPr>
          <w:rFonts w:ascii="Century Gothic" w:eastAsia="Century Gothic" w:hAnsi="Century Gothic" w:cs="Century Gothic"/>
          <w:sz w:val="24"/>
          <w:szCs w:val="24"/>
        </w:rPr>
        <w:t xml:space="preserve"> de 2001, página 31, de rubro y texto siguientes: </w:t>
      </w:r>
    </w:p>
    <w:p w14:paraId="795BACDC" w14:textId="77777777" w:rsidR="00270F0A" w:rsidRDefault="00725FA7">
      <w:pPr>
        <w:spacing w:after="240"/>
        <w:ind w:right="69" w:firstLine="708"/>
        <w:jc w:val="both"/>
        <w:rPr>
          <w:rFonts w:ascii="Century Gothic" w:eastAsia="Century Gothic" w:hAnsi="Century Gothic" w:cs="Century Gothic"/>
          <w:b/>
          <w:i/>
        </w:rPr>
      </w:pPr>
      <w:r>
        <w:rPr>
          <w:rFonts w:ascii="Century Gothic" w:eastAsia="Century Gothic" w:hAnsi="Century Gothic" w:cs="Century Gothic"/>
          <w:b/>
          <w:i/>
        </w:rPr>
        <w:t>“COMPETENCIA DE LAS AUTORIDADES ADMINISTRATIVAS. EN EL MANDAMIENTO ESCRITO QUE CONTIENE EL ACTO DE MOLESTIA, DEBE SEÑALARSE CON PRECISIÓN EL PRECEPTO LEGAL QUE LES OTORGUE LA ATRIBUCIÓN EJERCIDA Y, EN SU CASO, LA RESPECTIVA FRACCIÓN, INCISO Y SUBINCISO.</w:t>
      </w:r>
    </w:p>
    <w:p w14:paraId="4D037D57" w14:textId="77777777" w:rsidR="00270F0A" w:rsidRDefault="00725FA7">
      <w:pPr>
        <w:spacing w:after="240"/>
        <w:ind w:right="69" w:firstLine="708"/>
        <w:jc w:val="both"/>
        <w:rPr>
          <w:rFonts w:ascii="Century Gothic" w:eastAsia="Century Gothic" w:hAnsi="Century Gothic" w:cs="Century Gothic"/>
          <w:i/>
        </w:rPr>
      </w:pPr>
      <w:r>
        <w:rPr>
          <w:rFonts w:ascii="Century Gothic" w:eastAsia="Century Gothic" w:hAnsi="Century Gothic" w:cs="Century Gothic"/>
          <w:i/>
        </w:rPr>
        <w:lastRenderedPageBreak/>
        <w:t>De lo dispuesto en la tesis de jurisprudencia P./J. 10/94 del Tribunal Pleno de la Suprema Corte de Justicia de la Nación, publicada en la Gaceta del Semanario Judicial de la Federación, Número 77, mayo de 1994, página 12, de rubro: "</w:t>
      </w:r>
      <w:r>
        <w:rPr>
          <w:rFonts w:ascii="Century Gothic" w:eastAsia="Century Gothic" w:hAnsi="Century Gothic" w:cs="Century Gothic"/>
          <w:b/>
          <w:i/>
        </w:rPr>
        <w:t>COMPETENCIA. SU FUNDAMENTACIÓN ES REQUISITO ESENCIAL DEL ACTO DE AUTORIDAD</w:t>
      </w:r>
      <w:r>
        <w:rPr>
          <w:rFonts w:ascii="Century Gothic" w:eastAsia="Century Gothic" w:hAnsi="Century Gothic" w:cs="Century Gothic"/>
          <w:i/>
        </w:rPr>
        <w:t xml:space="preserve">.",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Pr>
          <w:rFonts w:ascii="Century Gothic" w:eastAsia="Century Gothic" w:hAnsi="Century Gothic" w:cs="Century Gothic"/>
          <w:i/>
        </w:rPr>
        <w:t>subincisos</w:t>
      </w:r>
      <w:proofErr w:type="spellEnd"/>
      <w:r>
        <w:rPr>
          <w:rFonts w:ascii="Century Gothic" w:eastAsia="Century Gothic" w:hAnsi="Century Gothic" w:cs="Century Gothic"/>
          <w:i/>
        </w:rPr>
        <w:t>,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w:t>
      </w:r>
    </w:p>
    <w:p w14:paraId="19EC518B" w14:textId="77777777" w:rsidR="00270F0A" w:rsidRDefault="00725FA7">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27. De lo antes expuesto, tenemos que el acto motivo del juicio de nulidad consistente en acta de infracción con número de folio </w:t>
      </w:r>
      <w:r>
        <w:rPr>
          <w:rFonts w:ascii="Century Gothic" w:eastAsia="Century Gothic" w:hAnsi="Century Gothic" w:cs="Century Gothic"/>
          <w:b/>
          <w:sz w:val="24"/>
          <w:szCs w:val="24"/>
        </w:rPr>
        <w:t>22214</w:t>
      </w:r>
      <w:r>
        <w:rPr>
          <w:rFonts w:ascii="Century Gothic" w:eastAsia="Century Gothic" w:hAnsi="Century Gothic" w:cs="Century Gothic"/>
          <w:sz w:val="24"/>
          <w:szCs w:val="24"/>
        </w:rPr>
        <w:t xml:space="preserve"> de fecha catorce de marzo del año dos mil veinte, emitida por el Policía Vial Reynaldo Guzmán Canseco, con número estadístico PV-012, adscrito a la Dirección de Movilidad del Municipio de Oaxaca de Juárez, contiene deficiente fundamentación y motivación, por tanto incumple el requisito de validez que exige la fracción V, del artículo 17 de la Ley de Procedimiento, </w:t>
      </w:r>
      <w:r>
        <w:rPr>
          <w:rFonts w:ascii="Century Gothic" w:eastAsia="Century Gothic" w:hAnsi="Century Gothic" w:cs="Century Gothic"/>
          <w:color w:val="000000"/>
          <w:sz w:val="24"/>
          <w:szCs w:val="24"/>
        </w:rPr>
        <w:t>lo que constituye un vicio de legalidad ostensible y particularmente grave que bajo ninguna circunstancia debe ser convalidado pues conlleva a que se declare su nulidad lisa y llana.</w:t>
      </w:r>
    </w:p>
    <w:p w14:paraId="1A00FA4B" w14:textId="248F623A" w:rsidR="00270F0A" w:rsidRDefault="00725FA7">
      <w:pPr>
        <w:shd w:val="clear" w:color="auto" w:fill="FFFFFF"/>
        <w:ind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28. Es aplicable al caso, la jurisprudencia en materia administrativa número I.7o.A. J./31, con número de registro digital 176913, de la Novena Época, emitida por los Tribunales Colegiados de Circuito, publicado en </w:t>
      </w:r>
      <w:r>
        <w:rPr>
          <w:rFonts w:ascii="Century Gothic" w:eastAsia="Century Gothic" w:hAnsi="Century Gothic" w:cs="Century Gothic"/>
          <w:sz w:val="24"/>
          <w:szCs w:val="24"/>
        </w:rPr>
        <w:lastRenderedPageBreak/>
        <w:t xml:space="preserve">el Semanario Judicial de la Federación y su Gaceta, Tomo XXII, </w:t>
      </w:r>
      <w:r w:rsidR="00AF3DE0">
        <w:rPr>
          <w:rFonts w:ascii="Century Gothic" w:eastAsia="Century Gothic" w:hAnsi="Century Gothic" w:cs="Century Gothic"/>
          <w:sz w:val="24"/>
          <w:szCs w:val="24"/>
        </w:rPr>
        <w:t>octubre</w:t>
      </w:r>
      <w:r>
        <w:rPr>
          <w:rFonts w:ascii="Century Gothic" w:eastAsia="Century Gothic" w:hAnsi="Century Gothic" w:cs="Century Gothic"/>
          <w:sz w:val="24"/>
          <w:szCs w:val="24"/>
        </w:rPr>
        <w:t xml:space="preserve"> de 2005, consultable a página 2212, de rubro y texto siguientes: </w:t>
      </w:r>
    </w:p>
    <w:p w14:paraId="328EDCF3" w14:textId="77777777" w:rsidR="00270F0A" w:rsidRDefault="00725FA7">
      <w:pPr>
        <w:spacing w:before="240"/>
        <w:ind w:left="567" w:right="616"/>
        <w:jc w:val="both"/>
        <w:rPr>
          <w:rFonts w:ascii="Century Gothic" w:eastAsia="Century Gothic" w:hAnsi="Century Gothic" w:cs="Century Gothic"/>
          <w:i/>
        </w:rPr>
      </w:pPr>
      <w:r>
        <w:rPr>
          <w:rFonts w:ascii="Century Gothic" w:eastAsia="Century Gothic" w:hAnsi="Century Gothic" w:cs="Century Gothic"/>
          <w:b/>
          <w:i/>
        </w:rPr>
        <w:t xml:space="preserve">“NULIDAD. REGLAS PARA SU DETERMINACIÓN EN EL JUICIO CONTENCIOSO ADMINISTRATIVO EN EL DISTRITO </w:t>
      </w:r>
      <w:proofErr w:type="gramStart"/>
      <w:r>
        <w:rPr>
          <w:rFonts w:ascii="Century Gothic" w:eastAsia="Century Gothic" w:hAnsi="Century Gothic" w:cs="Century Gothic"/>
          <w:b/>
          <w:i/>
        </w:rPr>
        <w:t>FEDERAL.</w:t>
      </w:r>
      <w:r>
        <w:rPr>
          <w:rFonts w:ascii="Century Gothic" w:eastAsia="Century Gothic" w:hAnsi="Century Gothic" w:cs="Century Gothic"/>
          <w:i/>
        </w:rPr>
        <w:t>.</w:t>
      </w:r>
      <w:proofErr w:type="gramEnd"/>
      <w:r>
        <w:rPr>
          <w:rFonts w:ascii="Century Gothic" w:eastAsia="Century Gothic" w:hAnsi="Century Gothic" w:cs="Century Gothic"/>
          <w:i/>
          <w:vertAlign w:val="superscript"/>
        </w:rPr>
        <w:footnoteReference w:id="4"/>
      </w:r>
      <w:r>
        <w:rPr>
          <w:rFonts w:ascii="Century Gothic" w:eastAsia="Century Gothic" w:hAnsi="Century Gothic" w:cs="Century Gothic"/>
          <w:i/>
        </w:rPr>
        <w:t>”</w:t>
      </w:r>
    </w:p>
    <w:p w14:paraId="2DBF179E" w14:textId="77777777" w:rsidR="00270F0A" w:rsidRDefault="00725FA7">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color w:val="000000"/>
          <w:sz w:val="24"/>
          <w:szCs w:val="24"/>
        </w:rPr>
        <w:t xml:space="preserve">29. De lo anterior expuesto, se concluye que en la sentencia en revisión fue dictada con apego a derecho, toda vez que, el Magistrado de origen, expuso sus razonamientos lógico-jurídicos que la condujeron a determinar la nulidad lisa y llana del acto administrativo de la autoridad; por ende, se califica como </w:t>
      </w:r>
      <w:r>
        <w:rPr>
          <w:rFonts w:ascii="Century Gothic" w:eastAsia="Century Gothic" w:hAnsi="Century Gothic" w:cs="Century Gothic"/>
          <w:b/>
          <w:color w:val="000000"/>
          <w:sz w:val="24"/>
          <w:szCs w:val="24"/>
        </w:rPr>
        <w:t>infundados los agravios expuestos</w:t>
      </w:r>
      <w:r>
        <w:rPr>
          <w:rFonts w:ascii="Century Gothic" w:eastAsia="Century Gothic" w:hAnsi="Century Gothic" w:cs="Century Gothic"/>
          <w:color w:val="000000"/>
          <w:sz w:val="24"/>
          <w:szCs w:val="24"/>
        </w:rPr>
        <w:t xml:space="preserve"> por la autoridad recurrente.</w:t>
      </w:r>
    </w:p>
    <w:p w14:paraId="16F9CADD" w14:textId="77777777" w:rsidR="00270F0A" w:rsidRDefault="00725FA7">
      <w:pPr>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30. En mérito de lo anterior, ante lo </w:t>
      </w:r>
      <w:r>
        <w:rPr>
          <w:rFonts w:ascii="Century Gothic" w:eastAsia="Century Gothic" w:hAnsi="Century Gothic" w:cs="Century Gothic"/>
          <w:b/>
          <w:sz w:val="24"/>
          <w:szCs w:val="24"/>
        </w:rPr>
        <w:t xml:space="preserve">inoperante e infundado </w:t>
      </w:r>
      <w:r>
        <w:rPr>
          <w:rFonts w:ascii="Century Gothic" w:eastAsia="Century Gothic" w:hAnsi="Century Gothic" w:cs="Century Gothic"/>
          <w:sz w:val="24"/>
          <w:szCs w:val="24"/>
        </w:rPr>
        <w:t xml:space="preserve">de los agravios expuestos por la autoridad recurrente, lo procedente es </w:t>
      </w:r>
      <w:r>
        <w:rPr>
          <w:rFonts w:ascii="Century Gothic" w:eastAsia="Century Gothic" w:hAnsi="Century Gothic" w:cs="Century Gothic"/>
          <w:b/>
          <w:sz w:val="24"/>
          <w:szCs w:val="24"/>
        </w:rPr>
        <w:t>confirmar</w:t>
      </w:r>
      <w:r>
        <w:rPr>
          <w:rFonts w:ascii="Century Gothic" w:eastAsia="Century Gothic" w:hAnsi="Century Gothic" w:cs="Century Gothic"/>
          <w:sz w:val="24"/>
          <w:szCs w:val="24"/>
        </w:rPr>
        <w:t xml:space="preserve"> la sentencia recurrida; en consecuencia, con fundamento en los artículos 236 y 238 de la Ley de Procedimiento, se: - - - - - - - - - - - - - - - </w:t>
      </w:r>
    </w:p>
    <w:p w14:paraId="07E8382F" w14:textId="77777777" w:rsidR="00270F0A" w:rsidRDefault="00725FA7">
      <w:pPr>
        <w:widowControl w:val="0"/>
        <w:tabs>
          <w:tab w:val="left" w:pos="0"/>
        </w:tabs>
        <w:spacing w:before="240" w:after="0"/>
        <w:ind w:right="18"/>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R E S U E L V E</w:t>
      </w:r>
    </w:p>
    <w:p w14:paraId="72C029E1" w14:textId="77777777" w:rsidR="00270F0A" w:rsidRDefault="00725FA7">
      <w:pPr>
        <w:widowControl w:val="0"/>
        <w:tabs>
          <w:tab w:val="left" w:pos="0"/>
        </w:tabs>
        <w:spacing w:before="240" w:after="0"/>
        <w:ind w:right="18"/>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ab/>
        <w:t>PRIMERO</w:t>
      </w:r>
      <w:r>
        <w:rPr>
          <w:rFonts w:ascii="Century Gothic" w:eastAsia="Century Gothic" w:hAnsi="Century Gothic" w:cs="Century Gothic"/>
          <w:color w:val="000000"/>
          <w:sz w:val="24"/>
          <w:szCs w:val="24"/>
        </w:rPr>
        <w:t xml:space="preserve">. Se </w:t>
      </w:r>
      <w:r>
        <w:rPr>
          <w:rFonts w:ascii="Century Gothic" w:eastAsia="Century Gothic" w:hAnsi="Century Gothic" w:cs="Century Gothic"/>
          <w:b/>
          <w:color w:val="000000"/>
          <w:sz w:val="24"/>
          <w:szCs w:val="24"/>
        </w:rPr>
        <w:t xml:space="preserve">CONFIRMA </w:t>
      </w:r>
      <w:r>
        <w:rPr>
          <w:rFonts w:ascii="Century Gothic" w:eastAsia="Century Gothic" w:hAnsi="Century Gothic" w:cs="Century Gothic"/>
          <w:color w:val="000000"/>
          <w:sz w:val="24"/>
          <w:szCs w:val="24"/>
        </w:rPr>
        <w:t xml:space="preserve">la </w:t>
      </w:r>
      <w:r>
        <w:rPr>
          <w:rFonts w:ascii="Century Gothic" w:eastAsia="Century Gothic" w:hAnsi="Century Gothic" w:cs="Century Gothic"/>
          <w:sz w:val="24"/>
          <w:szCs w:val="24"/>
        </w:rPr>
        <w:t xml:space="preserve">sentencia de </w:t>
      </w:r>
      <w:r>
        <w:rPr>
          <w:rFonts w:ascii="Century Gothic" w:eastAsia="Century Gothic" w:hAnsi="Century Gothic" w:cs="Century Gothic"/>
          <w:color w:val="000000"/>
          <w:sz w:val="24"/>
          <w:szCs w:val="24"/>
        </w:rPr>
        <w:t xml:space="preserve">fecha tres de febrero de dos mil veintitrés </w:t>
      </w:r>
      <w:r>
        <w:rPr>
          <w:rFonts w:ascii="Century Gothic" w:eastAsia="Century Gothic" w:hAnsi="Century Gothic" w:cs="Century Gothic"/>
          <w:sz w:val="24"/>
          <w:szCs w:val="24"/>
        </w:rPr>
        <w:t>dictada dentro del juicio de nulidad con número de expediente 0139/2020 de la Segunda Sala Unitaria de Primera Instancia de este Tribunal</w:t>
      </w:r>
      <w:r>
        <w:rPr>
          <w:rFonts w:ascii="Century Gothic" w:eastAsia="Century Gothic" w:hAnsi="Century Gothic" w:cs="Century Gothic"/>
          <w:color w:val="000000"/>
          <w:sz w:val="24"/>
          <w:szCs w:val="24"/>
        </w:rPr>
        <w:t>, por las razones expuestas en el considerando Cuarto</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de la presente resolución. - - - - - -</w:t>
      </w:r>
    </w:p>
    <w:p w14:paraId="51138F87" w14:textId="77777777" w:rsidR="00270F0A" w:rsidRDefault="00725FA7">
      <w:pPr>
        <w:pBdr>
          <w:top w:val="nil"/>
          <w:left w:val="nil"/>
          <w:bottom w:val="nil"/>
          <w:right w:val="nil"/>
          <w:between w:val="nil"/>
        </w:pBdr>
        <w:spacing w:before="240" w:after="240"/>
        <w:ind w:firstLine="708"/>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lastRenderedPageBreak/>
        <w:t>SEGUNDO. Notifíquese y cúmplase,</w:t>
      </w:r>
      <w:r>
        <w:rPr>
          <w:rFonts w:ascii="Century Gothic" w:eastAsia="Century Gothic" w:hAnsi="Century Gothic" w:cs="Century Gothic"/>
          <w:color w:val="000000"/>
          <w:sz w:val="24"/>
          <w:szCs w:val="24"/>
        </w:rPr>
        <w:t xml:space="preserve"> remítase copia certificada de la presente resolución a la Sala de origen para los efectos legales correspondientes y en su oportunidad archívese como asunto concluido. </w:t>
      </w:r>
      <w:r>
        <w:rPr>
          <w:rFonts w:ascii="Century Gothic" w:eastAsia="Century Gothic" w:hAnsi="Century Gothic" w:cs="Century Gothic"/>
          <w:sz w:val="24"/>
          <w:szCs w:val="24"/>
        </w:rPr>
        <w:t>- - - - - - - - - - - - - - - - - - - - - - - - - - - - - - - - - - - - - - - - - - - - - - - - -</w:t>
      </w:r>
    </w:p>
    <w:p w14:paraId="7676125E" w14:textId="77777777" w:rsidR="00270F0A" w:rsidRDefault="00725FA7">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Por unanimidad de votos, lo resolvieron y firmaron los Magistrados integrantes de la Sala Superior Mateo Martínez </w:t>
      </w:r>
      <w:proofErr w:type="spellStart"/>
      <w:r>
        <w:rPr>
          <w:rFonts w:ascii="Century Gothic" w:eastAsia="Century Gothic" w:hAnsi="Century Gothic" w:cs="Century Gothic"/>
          <w:sz w:val="24"/>
          <w:szCs w:val="24"/>
        </w:rPr>
        <w:t>Martínez</w:t>
      </w:r>
      <w:proofErr w:type="spellEnd"/>
      <w:r>
        <w:rPr>
          <w:rFonts w:ascii="Century Gothic" w:eastAsia="Century Gothic" w:hAnsi="Century Gothic" w:cs="Century Gothic"/>
          <w:sz w:val="24"/>
          <w:szCs w:val="24"/>
        </w:rPr>
        <w:t xml:space="preserve">, Cruz Itzel Espinosa Rojas </w:t>
      </w:r>
      <w:r>
        <w:rPr>
          <w:rFonts w:ascii="Century Gothic" w:eastAsia="Century Gothic" w:hAnsi="Century Gothic" w:cs="Century Gothic"/>
          <w:b/>
          <w:sz w:val="24"/>
          <w:szCs w:val="24"/>
        </w:rPr>
        <w:t>(ponente)</w:t>
      </w:r>
      <w:r>
        <w:rPr>
          <w:rFonts w:ascii="Century Gothic" w:eastAsia="Century Gothic" w:hAnsi="Century Gothic" w:cs="Century Gothic"/>
          <w:sz w:val="24"/>
          <w:szCs w:val="24"/>
        </w:rPr>
        <w:t xml:space="preserve"> y Manuel de Jesús López </w:t>
      </w:r>
      <w:proofErr w:type="spellStart"/>
      <w:r>
        <w:rPr>
          <w:rFonts w:ascii="Century Gothic" w:eastAsia="Century Gothic" w:hAnsi="Century Gothic" w:cs="Century Gothic"/>
          <w:sz w:val="24"/>
          <w:szCs w:val="24"/>
        </w:rPr>
        <w:t>López</w:t>
      </w:r>
      <w:proofErr w:type="spellEnd"/>
      <w:r>
        <w:rPr>
          <w:rFonts w:ascii="Century Gothic" w:eastAsia="Century Gothic" w:hAnsi="Century Gothic" w:cs="Century Gothic"/>
          <w:sz w:val="24"/>
          <w:szCs w:val="24"/>
        </w:rPr>
        <w:t>; quienes actúan con la Maestra Lizbeth Jessica Gallardo Martínez, Secretaria General de Acuerdos de este Tribunal, que autoriza y da fe. - - - - - - - - -</w:t>
      </w:r>
    </w:p>
    <w:p w14:paraId="2AABA8AB" w14:textId="77777777" w:rsidR="00270F0A" w:rsidRDefault="00270F0A">
      <w:pPr>
        <w:spacing w:before="240"/>
        <w:ind w:firstLine="708"/>
        <w:jc w:val="both"/>
        <w:rPr>
          <w:rFonts w:ascii="Century Gothic" w:eastAsia="Century Gothic" w:hAnsi="Century Gothic" w:cs="Century Gothic"/>
          <w:sz w:val="24"/>
          <w:szCs w:val="24"/>
        </w:rPr>
      </w:pPr>
    </w:p>
    <w:p w14:paraId="1672802A" w14:textId="77777777" w:rsidR="00270F0A" w:rsidRDefault="00270F0A">
      <w:pPr>
        <w:spacing w:before="240"/>
        <w:ind w:firstLine="708"/>
        <w:jc w:val="both"/>
        <w:rPr>
          <w:rFonts w:ascii="Century Gothic" w:eastAsia="Century Gothic" w:hAnsi="Century Gothic" w:cs="Century Gothic"/>
          <w:sz w:val="24"/>
          <w:szCs w:val="24"/>
        </w:rPr>
      </w:pPr>
    </w:p>
    <w:p w14:paraId="41AB8F25" w14:textId="77777777" w:rsidR="00270F0A" w:rsidRDefault="00270F0A">
      <w:pPr>
        <w:pBdr>
          <w:top w:val="nil"/>
          <w:left w:val="nil"/>
          <w:bottom w:val="nil"/>
          <w:right w:val="nil"/>
          <w:between w:val="nil"/>
        </w:pBdr>
        <w:spacing w:after="0"/>
        <w:jc w:val="center"/>
        <w:rPr>
          <w:rFonts w:ascii="Century Gothic" w:eastAsia="Century Gothic" w:hAnsi="Century Gothic" w:cs="Century Gothic"/>
          <w:b/>
          <w:color w:val="000000"/>
          <w:sz w:val="24"/>
          <w:szCs w:val="24"/>
        </w:rPr>
      </w:pPr>
    </w:p>
    <w:p w14:paraId="6D9F47A5" w14:textId="77777777" w:rsidR="00270F0A" w:rsidRDefault="00725FA7">
      <w:pPr>
        <w:pBdr>
          <w:top w:val="nil"/>
          <w:left w:val="nil"/>
          <w:bottom w:val="nil"/>
          <w:right w:val="nil"/>
          <w:between w:val="nil"/>
        </w:pBdr>
        <w:spacing w:after="0"/>
        <w:jc w:val="center"/>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 xml:space="preserve">MAGISTRADO MATEO MARTÍNEZ </w:t>
      </w:r>
      <w:proofErr w:type="spellStart"/>
      <w:r>
        <w:rPr>
          <w:rFonts w:ascii="Century Gothic" w:eastAsia="Century Gothic" w:hAnsi="Century Gothic" w:cs="Century Gothic"/>
          <w:b/>
          <w:color w:val="000000"/>
          <w:sz w:val="24"/>
          <w:szCs w:val="24"/>
        </w:rPr>
        <w:t>MARTÍNEZ</w:t>
      </w:r>
      <w:proofErr w:type="spellEnd"/>
    </w:p>
    <w:p w14:paraId="128C708B" w14:textId="77777777" w:rsidR="00270F0A" w:rsidRDefault="00725FA7">
      <w:pPr>
        <w:pBdr>
          <w:top w:val="nil"/>
          <w:left w:val="nil"/>
          <w:bottom w:val="nil"/>
          <w:right w:val="nil"/>
          <w:between w:val="nil"/>
        </w:pBdr>
        <w:spacing w:after="0"/>
        <w:jc w:val="center"/>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PRESIDENTE</w:t>
      </w:r>
    </w:p>
    <w:p w14:paraId="30C631AE" w14:textId="77777777" w:rsidR="00270F0A" w:rsidRDefault="00270F0A">
      <w:pPr>
        <w:tabs>
          <w:tab w:val="center" w:pos="4135"/>
          <w:tab w:val="left" w:pos="7515"/>
        </w:tabs>
        <w:spacing w:after="0"/>
        <w:jc w:val="center"/>
        <w:rPr>
          <w:rFonts w:ascii="Century Gothic" w:eastAsia="Century Gothic" w:hAnsi="Century Gothic" w:cs="Century Gothic"/>
          <w:b/>
          <w:sz w:val="24"/>
          <w:szCs w:val="24"/>
        </w:rPr>
      </w:pPr>
    </w:p>
    <w:p w14:paraId="3E6CA7FE" w14:textId="77777777" w:rsidR="00270F0A" w:rsidRDefault="00270F0A">
      <w:pPr>
        <w:tabs>
          <w:tab w:val="center" w:pos="4135"/>
          <w:tab w:val="left" w:pos="7515"/>
        </w:tabs>
        <w:spacing w:after="0"/>
        <w:jc w:val="center"/>
        <w:rPr>
          <w:rFonts w:ascii="Century Gothic" w:eastAsia="Century Gothic" w:hAnsi="Century Gothic" w:cs="Century Gothic"/>
          <w:b/>
          <w:sz w:val="24"/>
          <w:szCs w:val="24"/>
        </w:rPr>
      </w:pPr>
    </w:p>
    <w:p w14:paraId="6975958F" w14:textId="77777777" w:rsidR="00270F0A" w:rsidRDefault="00270F0A">
      <w:pPr>
        <w:tabs>
          <w:tab w:val="center" w:pos="4135"/>
          <w:tab w:val="left" w:pos="7515"/>
        </w:tabs>
        <w:spacing w:after="0"/>
        <w:jc w:val="center"/>
        <w:rPr>
          <w:rFonts w:ascii="Century Gothic" w:eastAsia="Century Gothic" w:hAnsi="Century Gothic" w:cs="Century Gothic"/>
          <w:b/>
          <w:sz w:val="24"/>
          <w:szCs w:val="24"/>
        </w:rPr>
      </w:pPr>
    </w:p>
    <w:p w14:paraId="5EF78A6E" w14:textId="77777777" w:rsidR="00270F0A" w:rsidRDefault="00270F0A">
      <w:pPr>
        <w:tabs>
          <w:tab w:val="center" w:pos="4135"/>
          <w:tab w:val="left" w:pos="7515"/>
        </w:tabs>
        <w:spacing w:after="0"/>
        <w:jc w:val="center"/>
        <w:rPr>
          <w:rFonts w:ascii="Century Gothic" w:eastAsia="Century Gothic" w:hAnsi="Century Gothic" w:cs="Century Gothic"/>
          <w:b/>
          <w:sz w:val="24"/>
          <w:szCs w:val="24"/>
        </w:rPr>
      </w:pPr>
    </w:p>
    <w:p w14:paraId="598684FC" w14:textId="77777777" w:rsidR="00270F0A" w:rsidRDefault="00725FA7">
      <w:pPr>
        <w:tabs>
          <w:tab w:val="center" w:pos="4135"/>
          <w:tab w:val="left" w:pos="7515"/>
        </w:tabs>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MAGISTRADA CRUZ ITZEL ESPINOSA ROJAS.</w:t>
      </w:r>
    </w:p>
    <w:p w14:paraId="18A8AE63" w14:textId="77777777" w:rsidR="00270F0A" w:rsidRDefault="00725FA7">
      <w:pPr>
        <w:tabs>
          <w:tab w:val="center" w:pos="4135"/>
          <w:tab w:val="left" w:pos="7515"/>
        </w:tabs>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INTEGRANTE</w:t>
      </w:r>
    </w:p>
    <w:p w14:paraId="1A36C297" w14:textId="77777777" w:rsidR="00270F0A" w:rsidRDefault="00270F0A">
      <w:pPr>
        <w:tabs>
          <w:tab w:val="center" w:pos="4135"/>
          <w:tab w:val="left" w:pos="7515"/>
        </w:tabs>
        <w:spacing w:after="0"/>
        <w:jc w:val="center"/>
        <w:rPr>
          <w:rFonts w:ascii="Century Gothic" w:eastAsia="Century Gothic" w:hAnsi="Century Gothic" w:cs="Century Gothic"/>
          <w:b/>
          <w:sz w:val="24"/>
          <w:szCs w:val="24"/>
        </w:rPr>
      </w:pPr>
    </w:p>
    <w:p w14:paraId="41D3DE4B" w14:textId="77777777" w:rsidR="00270F0A" w:rsidRDefault="00270F0A">
      <w:pPr>
        <w:tabs>
          <w:tab w:val="center" w:pos="4135"/>
          <w:tab w:val="left" w:pos="7515"/>
        </w:tabs>
        <w:spacing w:after="0"/>
        <w:jc w:val="center"/>
        <w:rPr>
          <w:rFonts w:ascii="Century Gothic" w:eastAsia="Century Gothic" w:hAnsi="Century Gothic" w:cs="Century Gothic"/>
          <w:b/>
          <w:sz w:val="24"/>
          <w:szCs w:val="24"/>
        </w:rPr>
      </w:pPr>
    </w:p>
    <w:p w14:paraId="7803A900" w14:textId="77777777" w:rsidR="00270F0A" w:rsidRDefault="00270F0A">
      <w:pPr>
        <w:tabs>
          <w:tab w:val="center" w:pos="4135"/>
          <w:tab w:val="left" w:pos="7515"/>
        </w:tabs>
        <w:spacing w:after="0"/>
        <w:jc w:val="center"/>
        <w:rPr>
          <w:rFonts w:ascii="Century Gothic" w:eastAsia="Century Gothic" w:hAnsi="Century Gothic" w:cs="Century Gothic"/>
          <w:b/>
          <w:sz w:val="24"/>
          <w:szCs w:val="24"/>
        </w:rPr>
      </w:pPr>
    </w:p>
    <w:p w14:paraId="3F776953" w14:textId="77777777" w:rsidR="00270F0A" w:rsidRDefault="00725FA7">
      <w:pPr>
        <w:tabs>
          <w:tab w:val="center" w:pos="4135"/>
          <w:tab w:val="left" w:pos="7515"/>
        </w:tabs>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MAGISTRADO MANUEL DE JESÚS LÓPEZ </w:t>
      </w:r>
      <w:proofErr w:type="spellStart"/>
      <w:r>
        <w:rPr>
          <w:rFonts w:ascii="Century Gothic" w:eastAsia="Century Gothic" w:hAnsi="Century Gothic" w:cs="Century Gothic"/>
          <w:b/>
          <w:sz w:val="24"/>
          <w:szCs w:val="24"/>
        </w:rPr>
        <w:t>LÓPEZ</w:t>
      </w:r>
      <w:proofErr w:type="spellEnd"/>
    </w:p>
    <w:p w14:paraId="63106699" w14:textId="77777777" w:rsidR="00270F0A" w:rsidRDefault="00725FA7">
      <w:pPr>
        <w:tabs>
          <w:tab w:val="center" w:pos="4135"/>
          <w:tab w:val="left" w:pos="7515"/>
        </w:tabs>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INTEGRANTE</w:t>
      </w:r>
    </w:p>
    <w:p w14:paraId="073CE66F" w14:textId="77777777" w:rsidR="00270F0A" w:rsidRDefault="00270F0A">
      <w:pPr>
        <w:tabs>
          <w:tab w:val="center" w:pos="4135"/>
          <w:tab w:val="left" w:pos="7515"/>
        </w:tabs>
        <w:spacing w:after="0"/>
        <w:jc w:val="center"/>
        <w:rPr>
          <w:rFonts w:ascii="Century Gothic" w:eastAsia="Century Gothic" w:hAnsi="Century Gothic" w:cs="Century Gothic"/>
          <w:b/>
          <w:sz w:val="24"/>
          <w:szCs w:val="24"/>
        </w:rPr>
      </w:pPr>
    </w:p>
    <w:p w14:paraId="4660E48D" w14:textId="77777777" w:rsidR="00270F0A" w:rsidRDefault="00270F0A">
      <w:pPr>
        <w:tabs>
          <w:tab w:val="center" w:pos="4135"/>
          <w:tab w:val="left" w:pos="7515"/>
        </w:tabs>
        <w:spacing w:after="0"/>
        <w:jc w:val="center"/>
        <w:rPr>
          <w:rFonts w:ascii="Century Gothic" w:eastAsia="Century Gothic" w:hAnsi="Century Gothic" w:cs="Century Gothic"/>
          <w:b/>
          <w:sz w:val="24"/>
          <w:szCs w:val="24"/>
        </w:rPr>
      </w:pPr>
    </w:p>
    <w:p w14:paraId="0E2CBFDB" w14:textId="77777777" w:rsidR="00270F0A" w:rsidRDefault="00270F0A">
      <w:pPr>
        <w:tabs>
          <w:tab w:val="center" w:pos="4135"/>
          <w:tab w:val="left" w:pos="7515"/>
        </w:tabs>
        <w:spacing w:after="0"/>
        <w:jc w:val="center"/>
        <w:rPr>
          <w:rFonts w:ascii="Century Gothic" w:eastAsia="Century Gothic" w:hAnsi="Century Gothic" w:cs="Century Gothic"/>
          <w:b/>
          <w:sz w:val="24"/>
          <w:szCs w:val="24"/>
        </w:rPr>
      </w:pPr>
    </w:p>
    <w:p w14:paraId="65C8E4BC" w14:textId="77777777" w:rsidR="00270F0A" w:rsidRDefault="00725FA7">
      <w:pPr>
        <w:tabs>
          <w:tab w:val="left" w:pos="1925"/>
          <w:tab w:val="center" w:pos="4135"/>
        </w:tabs>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MAESTRA LIZBETH JESSICA GALLARDO MARTÍNEZ.</w:t>
      </w:r>
    </w:p>
    <w:p w14:paraId="66FBF8A1" w14:textId="77777777" w:rsidR="00270F0A" w:rsidRDefault="00725FA7">
      <w:pPr>
        <w:pBdr>
          <w:top w:val="nil"/>
          <w:left w:val="nil"/>
          <w:bottom w:val="nil"/>
          <w:right w:val="nil"/>
          <w:between w:val="nil"/>
        </w:pBdr>
        <w:spacing w:after="0"/>
        <w:jc w:val="center"/>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SECRETARIA GENERAL DE ACUERDOS</w:t>
      </w:r>
    </w:p>
    <w:sectPr w:rsidR="00270F0A" w:rsidSect="00AF3DE0">
      <w:headerReference w:type="even" r:id="rId8"/>
      <w:headerReference w:type="default" r:id="rId9"/>
      <w:footerReference w:type="even" r:id="rId10"/>
      <w:footerReference w:type="default" r:id="rId11"/>
      <w:headerReference w:type="first" r:id="rId12"/>
      <w:footerReference w:type="first" r:id="rId13"/>
      <w:pgSz w:w="12240" w:h="20160" w:code="5"/>
      <w:pgMar w:top="1843" w:right="1467" w:bottom="1985" w:left="2410" w:header="993"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79ECD" w14:textId="77777777" w:rsidR="004055F2" w:rsidRDefault="004055F2">
      <w:pPr>
        <w:spacing w:after="0" w:line="240" w:lineRule="auto"/>
      </w:pPr>
      <w:r>
        <w:separator/>
      </w:r>
    </w:p>
  </w:endnote>
  <w:endnote w:type="continuationSeparator" w:id="0">
    <w:p w14:paraId="52CEEFEF" w14:textId="77777777" w:rsidR="004055F2" w:rsidRDefault="00405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D1E02" w14:textId="77777777" w:rsidR="00EB6174" w:rsidRDefault="00EB617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B6EDF" w14:textId="77777777" w:rsidR="00270F0A" w:rsidRDefault="00725FA7">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F40B5B">
      <w:rPr>
        <w:noProof/>
        <w:color w:val="000000"/>
      </w:rPr>
      <w:t>2</w:t>
    </w:r>
    <w:r>
      <w:rPr>
        <w:color w:val="000000"/>
      </w:rPr>
      <w:fldChar w:fldCharType="end"/>
    </w:r>
  </w:p>
  <w:p w14:paraId="12193A7B" w14:textId="77777777" w:rsidR="00270F0A" w:rsidRDefault="00270F0A">
    <w:pPr>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4C423" w14:textId="14169D1E" w:rsidR="00EB6174" w:rsidRDefault="00EB617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A18A9" w14:textId="77777777" w:rsidR="004055F2" w:rsidRDefault="004055F2">
      <w:pPr>
        <w:spacing w:after="0" w:line="240" w:lineRule="auto"/>
      </w:pPr>
      <w:r>
        <w:separator/>
      </w:r>
    </w:p>
  </w:footnote>
  <w:footnote w:type="continuationSeparator" w:id="0">
    <w:p w14:paraId="38D7D832" w14:textId="77777777" w:rsidR="004055F2" w:rsidRDefault="004055F2">
      <w:pPr>
        <w:spacing w:after="0" w:line="240" w:lineRule="auto"/>
      </w:pPr>
      <w:r>
        <w:continuationSeparator/>
      </w:r>
    </w:p>
  </w:footnote>
  <w:footnote w:id="1">
    <w:p w14:paraId="2F3DA386" w14:textId="77777777" w:rsidR="00270F0A" w:rsidRDefault="00725FA7">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Publicado en el Periódico Oficial del Gobierno del Estado y con entrada en vigor el veintidós de julio del dos mi veintitrés cuya lectura literal es: “CAPÍTULO III DEL TRIBUNAL DE JUSTICIA ADMINISTRATIVA Y COMBATE A LA CORRUPCIÓN DEL ESTADO DE OAXACA. Artículo 114 Quáter. El Tribunal de Justicia Administrativa y Combate a la Corrupción del Estado de Oaxaca, es la máxima autoridad jurisdiccional en materia de fiscalización, rendición de cuentas, responsabilidad de los servidores públicos, combate a la corrupción e impartición de Justicia Administrativa, estará dotado de plena autonomía para dictar sus fallos, establecer su organización, funcionamiento, procedimientos y su presupuesto.</w:t>
      </w:r>
    </w:p>
    <w:p w14:paraId="6AB710FC" w14:textId="77777777" w:rsidR="00270F0A" w:rsidRDefault="00725FA7">
      <w:pPr>
        <w:pBdr>
          <w:top w:val="nil"/>
          <w:left w:val="nil"/>
          <w:bottom w:val="nil"/>
          <w:right w:val="nil"/>
          <w:between w:val="nil"/>
        </w:pBdr>
        <w:spacing w:after="0" w:line="240" w:lineRule="auto"/>
        <w:rPr>
          <w:color w:val="000000"/>
          <w:sz w:val="20"/>
          <w:szCs w:val="20"/>
        </w:rPr>
      </w:pPr>
      <w:r>
        <w:rPr>
          <w:color w:val="000000"/>
          <w:sz w:val="20"/>
          <w:szCs w:val="20"/>
        </w:rPr>
        <w:t>(…)</w:t>
      </w:r>
    </w:p>
    <w:p w14:paraId="0C13946D" w14:textId="77777777" w:rsidR="00270F0A" w:rsidRDefault="00725FA7">
      <w:pPr>
        <w:pBdr>
          <w:top w:val="nil"/>
          <w:left w:val="nil"/>
          <w:bottom w:val="nil"/>
          <w:right w:val="nil"/>
          <w:between w:val="nil"/>
        </w:pBdr>
        <w:spacing w:after="0" w:line="240" w:lineRule="auto"/>
        <w:rPr>
          <w:color w:val="000000"/>
          <w:sz w:val="20"/>
          <w:szCs w:val="20"/>
        </w:rPr>
      </w:pPr>
      <w:r>
        <w:rPr>
          <w:color w:val="000000"/>
          <w:sz w:val="20"/>
          <w:szCs w:val="20"/>
        </w:rPr>
        <w:t>La Sala Superior del Tribunal se compondrá de tres Magistrados y actuará en Pleno” (…)</w:t>
      </w:r>
    </w:p>
  </w:footnote>
  <w:footnote w:id="2">
    <w:p w14:paraId="6631DD42" w14:textId="77777777" w:rsidR="00270F0A" w:rsidRDefault="00725FA7">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ARTÍCULO 39.- Las actuaciones y diligencias administrativas se practicarán en días y horas hábiles. En los plazos fijados en días no se contarán los inhábiles, salvo disposición en contrario. No se considerarán días hábiles: los sábados, los domingos, el 1 de enero; el primer lunes del mes de febrero en conmemoración del 5 de febrero; el tercer lunes del mes de marzo en conmemoración del 21 de marzo; el 1 de mayo; 16 de septiembre; el tercer lunes del mes de noviembre en conmemoración del 20 de noviembre; y el 25 de diciembre, así como los días en que tengan vacaciones generales las autoridades competentes o aquéllos en que se suspendan las labores, los que se harán del conocimiento público mediante acuerdo del titular de la Dependencia, entidad o Ayuntamiento respectivo, que se publicará en el Periódico Oficial del Gobierno del Estado, en la página electrónica del Tribunal y los estrados. Los términos podrán suspenderse por causa de fuerza mayor o caso fortuito, mediante acuerdo debidamente fundado y motivado por la autoridad competente.</w:t>
      </w:r>
    </w:p>
  </w:footnote>
  <w:footnote w:id="3">
    <w:p w14:paraId="220207A4" w14:textId="77777777" w:rsidR="00270F0A" w:rsidRDefault="00725FA7">
      <w:pPr>
        <w:spacing w:before="240"/>
        <w:ind w:right="616"/>
        <w:jc w:val="both"/>
        <w:rPr>
          <w:rFonts w:ascii="Century Gothic" w:eastAsia="Century Gothic" w:hAnsi="Century Gothic" w:cs="Century Gothic"/>
          <w:i/>
        </w:rPr>
      </w:pPr>
      <w:r>
        <w:rPr>
          <w:vertAlign w:val="superscript"/>
        </w:rPr>
        <w:footnoteRef/>
      </w:r>
      <w:r>
        <w:t xml:space="preserve"> </w:t>
      </w:r>
      <w:r>
        <w:rPr>
          <w:rFonts w:ascii="Century Gothic" w:eastAsia="Century Gothic" w:hAnsi="Century Gothic" w:cs="Century Gothic"/>
          <w:b/>
          <w:i/>
        </w:rPr>
        <w:t>“</w:t>
      </w:r>
      <w:r>
        <w:rPr>
          <w:rFonts w:ascii="Century Gothic" w:eastAsia="Century Gothic" w:hAnsi="Century Gothic" w:cs="Century Gothic"/>
          <w:b/>
          <w:i/>
          <w:sz w:val="18"/>
          <w:szCs w:val="18"/>
        </w:rPr>
        <w:t xml:space="preserve">CONCEPTOS DE VIOLACIÓN O AGRAVIOS. PARA CUMPLIR CON LOS PRINCIPIOS DE CONGRUENCIA Y EXHAUSTIVIDAD EN LAS SENTENCIAS DE AMPARO ES INNECESARIA SU TRANSCRIPCIÓN. </w:t>
      </w:r>
      <w:r>
        <w:rPr>
          <w:rFonts w:ascii="Century Gothic" w:eastAsia="Century Gothic" w:hAnsi="Century Gothic" w:cs="Century Gothic"/>
          <w:i/>
          <w:sz w:val="18"/>
          <w:szCs w:val="18"/>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2EBF02D" w14:textId="77777777" w:rsidR="00270F0A" w:rsidRDefault="00270F0A">
      <w:pPr>
        <w:pBdr>
          <w:top w:val="nil"/>
          <w:left w:val="nil"/>
          <w:bottom w:val="nil"/>
          <w:right w:val="nil"/>
          <w:between w:val="nil"/>
        </w:pBdr>
        <w:spacing w:after="0" w:line="240" w:lineRule="auto"/>
        <w:rPr>
          <w:color w:val="000000"/>
          <w:sz w:val="20"/>
          <w:szCs w:val="20"/>
        </w:rPr>
      </w:pPr>
    </w:p>
  </w:footnote>
  <w:footnote w:id="4">
    <w:p w14:paraId="7069C0C4" w14:textId="77777777" w:rsidR="00270F0A" w:rsidRDefault="00725FA7">
      <w:pPr>
        <w:spacing w:before="240"/>
        <w:jc w:val="both"/>
        <w:rPr>
          <w:rFonts w:ascii="Century Gothic" w:eastAsia="Century Gothic" w:hAnsi="Century Gothic" w:cs="Century Gothic"/>
          <w:i/>
          <w:sz w:val="18"/>
          <w:szCs w:val="18"/>
        </w:rPr>
      </w:pPr>
      <w:r>
        <w:rPr>
          <w:vertAlign w:val="superscript"/>
        </w:rPr>
        <w:footnoteRef/>
      </w:r>
      <w:r>
        <w:t xml:space="preserve"> </w:t>
      </w:r>
      <w:r>
        <w:rPr>
          <w:rFonts w:ascii="Century Gothic" w:eastAsia="Century Gothic" w:hAnsi="Century Gothic" w:cs="Century Gothic"/>
          <w:b/>
          <w:i/>
          <w:sz w:val="18"/>
          <w:szCs w:val="18"/>
        </w:rPr>
        <w:t xml:space="preserve">“NULIDAD. REGLAS PARA SU DETERMINACIÓN EN EL JUICIO CONTENCIOSO ADMINISTRATIVO EN EL DISTRITO FEDERAL. </w:t>
      </w:r>
      <w:r>
        <w:rPr>
          <w:rFonts w:ascii="Century Gothic" w:eastAsia="Century Gothic" w:hAnsi="Century Gothic" w:cs="Century Gothic"/>
          <w:i/>
          <w:sz w:val="18"/>
          <w:szCs w:val="18"/>
        </w:rPr>
        <w:t>Los artículos </w:t>
      </w:r>
      <w:hyperlink r:id="rId1">
        <w:r>
          <w:rPr>
            <w:rFonts w:ascii="Century Gothic" w:eastAsia="Century Gothic" w:hAnsi="Century Gothic" w:cs="Century Gothic"/>
            <w:i/>
            <w:sz w:val="18"/>
            <w:szCs w:val="18"/>
          </w:rPr>
          <w:t>80 a 82 de la Ley del Tribunal de lo Contencioso Administrativo del Distrito Federal</w:t>
        </w:r>
      </w:hyperlink>
      <w:r>
        <w:rPr>
          <w:rFonts w:ascii="Century Gothic" w:eastAsia="Century Gothic" w:hAnsi="Century Gothic" w:cs="Century Gothic"/>
          <w:i/>
          <w:sz w:val="18"/>
          <w:szCs w:val="18"/>
        </w:rPr>
        <w:t>,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241517EA" w14:textId="77777777" w:rsidR="00270F0A" w:rsidRDefault="00270F0A">
      <w:pPr>
        <w:pBdr>
          <w:top w:val="nil"/>
          <w:left w:val="nil"/>
          <w:bottom w:val="nil"/>
          <w:right w:val="nil"/>
          <w:between w:val="nil"/>
        </w:pBdr>
        <w:spacing w:after="0" w:line="240" w:lineRule="auto"/>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FB542" w14:textId="77777777" w:rsidR="00270F0A" w:rsidRDefault="00725FA7">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06697DB2" w14:textId="77777777" w:rsidR="00270F0A" w:rsidRDefault="00725FA7">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noProof/>
      </w:rPr>
      <w:drawing>
        <wp:anchor distT="0" distB="0" distL="0" distR="0" simplePos="0" relativeHeight="251660288" behindDoc="1" locked="0" layoutInCell="1" hidden="0" allowOverlap="1" wp14:anchorId="20A754CD" wp14:editId="4E6D0454">
          <wp:simplePos x="0" y="0"/>
          <wp:positionH relativeFrom="column">
            <wp:posOffset>759777</wp:posOffset>
          </wp:positionH>
          <wp:positionV relativeFrom="paragraph">
            <wp:posOffset>3046248</wp:posOffset>
          </wp:positionV>
          <wp:extent cx="3790950" cy="2609850"/>
          <wp:effectExtent l="0" t="0" r="0" b="0"/>
          <wp:wrapNone/>
          <wp:docPr id="16491261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722" b="8590"/>
                  <a:stretch>
                    <a:fillRect/>
                  </a:stretch>
                </pic:blipFill>
                <pic:spPr>
                  <a:xfrm>
                    <a:off x="0" y="0"/>
                    <a:ext cx="3790950" cy="260985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003D2" w14:textId="77777777" w:rsidR="00270F0A" w:rsidRDefault="00725FA7">
    <w:pPr>
      <w:pBdr>
        <w:top w:val="nil"/>
        <w:left w:val="nil"/>
        <w:bottom w:val="nil"/>
        <w:right w:val="nil"/>
        <w:between w:val="nil"/>
      </w:pBdr>
      <w:tabs>
        <w:tab w:val="center" w:pos="4252"/>
        <w:tab w:val="right" w:pos="8504"/>
      </w:tabs>
      <w:spacing w:after="0" w:line="240" w:lineRule="auto"/>
      <w:ind w:left="1843"/>
      <w:jc w:val="center"/>
      <w:rPr>
        <w:b/>
        <w:color w:val="000000"/>
        <w:sz w:val="20"/>
        <w:szCs w:val="20"/>
      </w:rPr>
    </w:pPr>
    <w:r>
      <w:rPr>
        <w:b/>
        <w:color w:val="000000"/>
        <w:sz w:val="20"/>
        <w:szCs w:val="20"/>
      </w:rPr>
      <w:t>SALA SUPERIOR DEL TRIBUNAL DE JUSTICIA ADMINISTRATIVA Y COMBATE A LA CORRUPCIÓN DEL ESTADO DE OAXACA.</w:t>
    </w:r>
    <w:r>
      <w:rPr>
        <w:noProof/>
      </w:rPr>
      <w:drawing>
        <wp:anchor distT="0" distB="0" distL="114300" distR="114300" simplePos="0" relativeHeight="251658240" behindDoc="0" locked="0" layoutInCell="1" hidden="0" allowOverlap="1" wp14:anchorId="474BEBC6" wp14:editId="46A0DBED">
          <wp:simplePos x="0" y="0"/>
          <wp:positionH relativeFrom="column">
            <wp:posOffset>-525142</wp:posOffset>
          </wp:positionH>
          <wp:positionV relativeFrom="paragraph">
            <wp:posOffset>-133347</wp:posOffset>
          </wp:positionV>
          <wp:extent cx="1620353" cy="495300"/>
          <wp:effectExtent l="0" t="0" r="0" b="0"/>
          <wp:wrapNone/>
          <wp:docPr id="16491261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6A2F93E9" w14:textId="77777777" w:rsidR="00270F0A" w:rsidRDefault="00725FA7">
    <w:pPr>
      <w:pBdr>
        <w:top w:val="nil"/>
        <w:left w:val="nil"/>
        <w:bottom w:val="nil"/>
        <w:right w:val="nil"/>
        <w:between w:val="nil"/>
      </w:pBdr>
      <w:tabs>
        <w:tab w:val="center" w:pos="4252"/>
        <w:tab w:val="right" w:pos="8504"/>
      </w:tabs>
      <w:spacing w:after="0" w:line="240" w:lineRule="auto"/>
      <w:ind w:left="1276"/>
      <w:jc w:val="center"/>
      <w:rPr>
        <w:b/>
        <w:color w:val="000000"/>
        <w:sz w:val="20"/>
        <w:szCs w:val="20"/>
      </w:rPr>
    </w:pPr>
    <w:r>
      <w:rPr>
        <w:b/>
        <w:color w:val="000000"/>
        <w:sz w:val="20"/>
        <w:szCs w:val="20"/>
      </w:rPr>
      <w:t>R.R. 0149/2023</w:t>
    </w:r>
  </w:p>
  <w:p w14:paraId="3E4A3EF7" w14:textId="7E66A3B1" w:rsidR="00270F0A" w:rsidRDefault="00270F0A">
    <w:pPr>
      <w:pBdr>
        <w:top w:val="nil"/>
        <w:left w:val="nil"/>
        <w:bottom w:val="nil"/>
        <w:right w:val="nil"/>
        <w:between w:val="nil"/>
      </w:pBdr>
      <w:tabs>
        <w:tab w:val="center" w:pos="4252"/>
        <w:tab w:val="right" w:pos="8504"/>
      </w:tabs>
      <w:spacing w:after="0" w:line="240" w:lineRule="auto"/>
      <w:ind w:left="1276"/>
      <w:jc w:val="center"/>
      <w:rPr>
        <w:b/>
        <w:color w:val="000000"/>
        <w:sz w:val="20"/>
        <w:szCs w:val="20"/>
      </w:rPr>
    </w:pPr>
  </w:p>
  <w:p w14:paraId="415E6418" w14:textId="162D3EC9" w:rsidR="00270F0A" w:rsidRDefault="00270F0A">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p>
  <w:p w14:paraId="5D32C8CE" w14:textId="6FC213C1" w:rsidR="00270F0A" w:rsidRDefault="00EB6174">
    <w:pPr>
      <w:pBdr>
        <w:top w:val="nil"/>
        <w:left w:val="nil"/>
        <w:bottom w:val="nil"/>
        <w:right w:val="nil"/>
        <w:between w:val="nil"/>
      </w:pBdr>
      <w:tabs>
        <w:tab w:val="center" w:pos="4252"/>
        <w:tab w:val="right" w:pos="8504"/>
        <w:tab w:val="left" w:pos="142"/>
      </w:tabs>
      <w:spacing w:after="0" w:line="240" w:lineRule="auto"/>
      <w:ind w:left="284"/>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63360" behindDoc="1" locked="0" layoutInCell="1" allowOverlap="1" wp14:anchorId="56464A70" wp14:editId="5810A2D4">
          <wp:simplePos x="0" y="0"/>
          <wp:positionH relativeFrom="column">
            <wp:posOffset>-1133475</wp:posOffset>
          </wp:positionH>
          <wp:positionV relativeFrom="paragraph">
            <wp:posOffset>371475</wp:posOffset>
          </wp:positionV>
          <wp:extent cx="1024255" cy="1261745"/>
          <wp:effectExtent l="0" t="0" r="4445" b="0"/>
          <wp:wrapNone/>
          <wp:docPr id="16268735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489C1" w14:textId="1B9D7255" w:rsidR="00270F0A" w:rsidRDefault="00725FA7">
    <w:pPr>
      <w:pBdr>
        <w:top w:val="nil"/>
        <w:left w:val="nil"/>
        <w:bottom w:val="nil"/>
        <w:right w:val="nil"/>
        <w:between w:val="nil"/>
      </w:pBdr>
      <w:tabs>
        <w:tab w:val="center" w:pos="4252"/>
        <w:tab w:val="right" w:pos="8504"/>
      </w:tabs>
      <w:spacing w:after="0" w:line="240" w:lineRule="auto"/>
      <w:ind w:left="1276"/>
      <w:jc w:val="center"/>
      <w:rPr>
        <w:b/>
        <w:color w:val="000000"/>
        <w:sz w:val="20"/>
        <w:szCs w:val="20"/>
      </w:rPr>
    </w:pPr>
    <w:r>
      <w:rPr>
        <w:b/>
        <w:color w:val="000000"/>
        <w:sz w:val="20"/>
        <w:szCs w:val="20"/>
      </w:rPr>
      <w:t xml:space="preserve">SALA SUPERIOR DEL TRIBUNAL DE JUSTICIA ADMINISTRATIVA Y COMBATE A LA CORRUPCIÓN DEL ESTADO DE OAXACA </w:t>
    </w:r>
    <w:r>
      <w:rPr>
        <w:noProof/>
      </w:rPr>
      <w:drawing>
        <wp:anchor distT="0" distB="0" distL="114300" distR="114300" simplePos="0" relativeHeight="251659264" behindDoc="0" locked="0" layoutInCell="1" hidden="0" allowOverlap="1" wp14:anchorId="2421FA80" wp14:editId="4693CD74">
          <wp:simplePos x="0" y="0"/>
          <wp:positionH relativeFrom="column">
            <wp:posOffset>-723896</wp:posOffset>
          </wp:positionH>
          <wp:positionV relativeFrom="paragraph">
            <wp:posOffset>-28571</wp:posOffset>
          </wp:positionV>
          <wp:extent cx="1620353" cy="495300"/>
          <wp:effectExtent l="0" t="0" r="0" b="0"/>
          <wp:wrapNone/>
          <wp:docPr id="16491261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44A58BDA" w14:textId="5408C6DE" w:rsidR="00270F0A" w:rsidRDefault="00EB6174">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b/>
        <w:noProof/>
        <w:color w:val="000000"/>
        <w:sz w:val="20"/>
        <w:szCs w:val="20"/>
      </w:rPr>
      <w:drawing>
        <wp:anchor distT="0" distB="0" distL="114300" distR="114300" simplePos="0" relativeHeight="251661312" behindDoc="1" locked="0" layoutInCell="1" allowOverlap="1" wp14:anchorId="74D6410D" wp14:editId="6AA12FF4">
          <wp:simplePos x="0" y="0"/>
          <wp:positionH relativeFrom="leftMargin">
            <wp:align>right</wp:align>
          </wp:positionH>
          <wp:positionV relativeFrom="paragraph">
            <wp:posOffset>745490</wp:posOffset>
          </wp:positionV>
          <wp:extent cx="1024255" cy="1256030"/>
          <wp:effectExtent l="0" t="0" r="4445" b="1270"/>
          <wp:wrapNone/>
          <wp:docPr id="8653462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425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E97916"/>
    <w:multiLevelType w:val="multilevel"/>
    <w:tmpl w:val="00B444F6"/>
    <w:lvl w:ilvl="0">
      <w:start w:val="1"/>
      <w:numFmt w:val="lowerLetter"/>
      <w:lvlText w:val="%1)"/>
      <w:lvlJc w:val="left"/>
      <w:pPr>
        <w:ind w:left="1428" w:hanging="360"/>
      </w:pPr>
      <w:rPr>
        <w:b/>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 w15:restartNumberingAfterBreak="0">
    <w:nsid w:val="474B4029"/>
    <w:multiLevelType w:val="multilevel"/>
    <w:tmpl w:val="2BD4C0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59965067">
    <w:abstractNumId w:val="0"/>
  </w:num>
  <w:num w:numId="2" w16cid:durableId="2079471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F0A"/>
    <w:rsid w:val="00270F0A"/>
    <w:rsid w:val="004055F2"/>
    <w:rsid w:val="005E6524"/>
    <w:rsid w:val="00725FA7"/>
    <w:rsid w:val="009B3011"/>
    <w:rsid w:val="00AF3DE0"/>
    <w:rsid w:val="00B76B6D"/>
    <w:rsid w:val="00EB6174"/>
    <w:rsid w:val="00F40B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24F2E3E"/>
  <w15:docId w15:val="{33190EFE-7469-49D7-B492-4B4F59C3F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CED"/>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kKhbc8tuOgZcUhrPBmcdXfM7aw==">CgMxLjAyCGguZ2pkZ3hzMgloLjMwajB6bGwyCWguMWZvYjl0ZTgAciExdC1BdkYtRGItdjlUek03YXN4d0VnMWJFYlRRbzlhaVg=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14</Pages>
  <Words>4957</Words>
  <Characters>27266</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5</cp:revision>
  <cp:lastPrinted>2023-09-29T21:13:00Z</cp:lastPrinted>
  <dcterms:created xsi:type="dcterms:W3CDTF">2023-09-21T16:34:00Z</dcterms:created>
  <dcterms:modified xsi:type="dcterms:W3CDTF">2023-10-24T18:03:00Z</dcterms:modified>
</cp:coreProperties>
</file>