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EE4752" w:rsidRDefault="005222BD" w:rsidP="004C2614">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6FAF062C" w:rsidR="001658D6" w:rsidRPr="00EE4752" w:rsidRDefault="00F71B86" w:rsidP="004C2614">
      <w:pPr>
        <w:spacing w:line="240" w:lineRule="auto"/>
        <w:ind w:left="2835"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78360E47" w:rsidR="00140805" w:rsidRDefault="00F71B86"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D67C75">
        <w:rPr>
          <w:rFonts w:ascii="Arial" w:eastAsia="Times New Roman" w:hAnsi="Arial" w:cs="Arial"/>
          <w:sz w:val="26"/>
          <w:szCs w:val="26"/>
          <w:lang w:val="es-ES_tradnl" w:eastAsia="es-ES"/>
        </w:rPr>
        <w:t>0199</w:t>
      </w:r>
      <w:r w:rsidRPr="00F71B86">
        <w:rPr>
          <w:rFonts w:ascii="Arial" w:eastAsia="Times New Roman" w:hAnsi="Arial" w:cs="Arial"/>
          <w:sz w:val="26"/>
          <w:szCs w:val="26"/>
          <w:lang w:val="es-ES_tradnl" w:eastAsia="es-ES"/>
        </w:rPr>
        <w:t>/2023</w:t>
      </w:r>
      <w:r w:rsidR="00900CC1" w:rsidRPr="00F71B86">
        <w:rPr>
          <w:rFonts w:ascii="Arial" w:eastAsia="Times New Roman" w:hAnsi="Arial" w:cs="Arial"/>
          <w:bCs/>
          <w:sz w:val="26"/>
          <w:szCs w:val="26"/>
          <w:lang w:val="es-ES_tradnl" w:eastAsia="es-ES"/>
        </w:rPr>
        <w:t>.</w:t>
      </w:r>
      <w:r w:rsidR="00140805" w:rsidRPr="00F71B86">
        <w:rPr>
          <w:rFonts w:ascii="Arial" w:eastAsia="Times New Roman" w:hAnsi="Arial" w:cs="Arial"/>
          <w:bCs/>
          <w:sz w:val="26"/>
          <w:szCs w:val="26"/>
          <w:lang w:val="es-ES_tradnl" w:eastAsia="es-ES"/>
        </w:rPr>
        <w:t xml:space="preserve"> </w:t>
      </w:r>
    </w:p>
    <w:p w14:paraId="0C603705" w14:textId="3BBE82B7" w:rsidR="00750F73" w:rsidRPr="00F71B86" w:rsidRDefault="00750F73"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0013/2023 DE </w:t>
      </w:r>
      <w:r w:rsidRPr="00750F73">
        <w:rPr>
          <w:rFonts w:ascii="Arial" w:eastAsia="Times New Roman" w:hAnsi="Arial" w:cs="Arial"/>
          <w:bCs/>
          <w:sz w:val="26"/>
          <w:szCs w:val="26"/>
          <w:lang w:val="es-ES_tradnl" w:eastAsia="es-ES"/>
        </w:rPr>
        <w:t>LA TERCERA SALA UNITARIA</w:t>
      </w:r>
      <w:r>
        <w:rPr>
          <w:rFonts w:ascii="Arial" w:eastAsia="Times New Roman" w:hAnsi="Arial" w:cs="Arial"/>
          <w:bCs/>
          <w:sz w:val="26"/>
          <w:szCs w:val="26"/>
          <w:lang w:val="es-ES_tradnl" w:eastAsia="es-ES"/>
        </w:rPr>
        <w:t>.</w:t>
      </w:r>
    </w:p>
    <w:p w14:paraId="4AE0D200" w14:textId="0E621C30" w:rsidR="003569E3" w:rsidRPr="00EE4752" w:rsidRDefault="00F71B86" w:rsidP="004C2614">
      <w:pPr>
        <w:spacing w:line="240" w:lineRule="auto"/>
        <w:ind w:left="2835"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 xml:space="preserve">ACTOR. </w:t>
      </w:r>
      <w:r w:rsidRPr="00F71B86">
        <w:rPr>
          <w:rFonts w:ascii="Arial" w:eastAsia="Times New Roman" w:hAnsi="Arial" w:cs="Arial"/>
          <w:sz w:val="26"/>
          <w:szCs w:val="26"/>
          <w:lang w:val="es-ES_tradnl" w:eastAsia="es-ES"/>
        </w:rPr>
        <w:t>LICENCIADO</w:t>
      </w:r>
      <w:r w:rsidR="00DB1614">
        <w:rPr>
          <w:rFonts w:ascii="Arial" w:eastAsia="Times New Roman" w:hAnsi="Arial" w:cs="Arial"/>
          <w:sz w:val="26"/>
          <w:szCs w:val="26"/>
          <w:lang w:val="es-ES_tradnl" w:eastAsia="es-ES"/>
        </w:rPr>
        <w:t xml:space="preserve"> **********</w:t>
      </w:r>
      <w:r w:rsidR="00D67C75">
        <w:rPr>
          <w:rFonts w:ascii="Arial" w:eastAsia="Times New Roman" w:hAnsi="Arial" w:cs="Arial"/>
          <w:sz w:val="26"/>
          <w:szCs w:val="26"/>
          <w:lang w:val="es-ES_tradnl" w:eastAsia="es-ES"/>
        </w:rPr>
        <w:t>, APODERADO LEGAL DE FARMACIAS SIMILARES S.A. DE C.V.</w:t>
      </w:r>
      <w:r w:rsidR="00DD3CCF" w:rsidRPr="00EE4752">
        <w:rPr>
          <w:rFonts w:ascii="Arial" w:eastAsia="Times New Roman" w:hAnsi="Arial" w:cs="Arial"/>
          <w:sz w:val="26"/>
          <w:szCs w:val="26"/>
          <w:lang w:val="es-ES_tradnl" w:eastAsia="es-ES"/>
        </w:rPr>
        <w:t xml:space="preserve"> </w:t>
      </w:r>
    </w:p>
    <w:p w14:paraId="427298C6" w14:textId="46A04C03" w:rsidR="00214E4D" w:rsidRDefault="00C07F53" w:rsidP="004C2614">
      <w:pPr>
        <w:spacing w:line="240" w:lineRule="auto"/>
        <w:ind w:left="2835"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D67C75">
        <w:rPr>
          <w:rFonts w:ascii="Arial" w:eastAsia="Times New Roman" w:hAnsi="Arial" w:cs="Arial"/>
          <w:bCs/>
          <w:sz w:val="26"/>
          <w:szCs w:val="26"/>
          <w:lang w:val="es-ES_tradnl" w:eastAsia="es-ES"/>
        </w:rPr>
        <w:t>PRESIDENTE MUNICIPAL DEL AYUNTAMIENTO DE OAXACA DE JUÁREZ, TITULAR DE LA TESORERIA MUNICIPAL DEL MUNICIPIO DE OAXACA DE JUÁREZ Y TITULAR DE LA SECRETARIA DE DESARROLLO ECONÓMICO DEL MUNICIPIO DE OAXACA DE JUÁREZ.</w:t>
      </w:r>
    </w:p>
    <w:p w14:paraId="457C35AC" w14:textId="156F70DA" w:rsidR="003721BC" w:rsidRDefault="003721BC"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7875B8">
        <w:rPr>
          <w:rFonts w:ascii="Arial" w:eastAsia="Times New Roman" w:hAnsi="Arial" w:cs="Arial"/>
          <w:bCs/>
          <w:sz w:val="26"/>
          <w:szCs w:val="26"/>
          <w:lang w:val="es-ES_tradnl" w:eastAsia="es-ES"/>
        </w:rPr>
        <w:t xml:space="preserve">MATEO MARTÍNEZ </w:t>
      </w:r>
      <w:proofErr w:type="spellStart"/>
      <w:r w:rsidR="007875B8">
        <w:rPr>
          <w:rFonts w:ascii="Arial" w:eastAsia="Times New Roman" w:hAnsi="Arial" w:cs="Arial"/>
          <w:bCs/>
          <w:sz w:val="26"/>
          <w:szCs w:val="26"/>
          <w:lang w:val="es-ES_tradnl" w:eastAsia="es-ES"/>
        </w:rPr>
        <w:t>MARTÍNEZ</w:t>
      </w:r>
      <w:proofErr w:type="spellEnd"/>
    </w:p>
    <w:p w14:paraId="6F491F01" w14:textId="77777777" w:rsidR="000F39BF" w:rsidRPr="000F39BF" w:rsidRDefault="000F39BF" w:rsidP="004C2614">
      <w:pPr>
        <w:spacing w:line="240" w:lineRule="auto"/>
        <w:ind w:left="2835" w:right="51"/>
        <w:jc w:val="both"/>
        <w:rPr>
          <w:rFonts w:ascii="Arial" w:eastAsia="Times New Roman" w:hAnsi="Arial" w:cs="Arial"/>
          <w:bCs/>
          <w:sz w:val="12"/>
          <w:szCs w:val="26"/>
          <w:lang w:val="es-ES_tradnl" w:eastAsia="es-ES"/>
        </w:rPr>
      </w:pPr>
    </w:p>
    <w:bookmarkEnd w:id="0"/>
    <w:bookmarkEnd w:id="1"/>
    <w:p w14:paraId="2542382E" w14:textId="77777777" w:rsidR="000C79D6" w:rsidRDefault="000C79D6" w:rsidP="00763651">
      <w:pPr>
        <w:widowControl w:val="0"/>
        <w:spacing w:line="360" w:lineRule="auto"/>
        <w:ind w:right="51" w:firstLine="709"/>
        <w:jc w:val="both"/>
        <w:rPr>
          <w:rFonts w:ascii="Arial" w:eastAsia="Times New Roman" w:hAnsi="Arial" w:cs="Arial"/>
          <w:b/>
          <w:sz w:val="26"/>
          <w:szCs w:val="26"/>
          <w:lang w:val="es-ES" w:eastAsia="es-ES"/>
        </w:rPr>
      </w:pPr>
    </w:p>
    <w:p w14:paraId="70DB9FE9" w14:textId="1AC25D91" w:rsidR="008C764E" w:rsidRPr="00EE4752" w:rsidRDefault="003569E3" w:rsidP="00763651">
      <w:pPr>
        <w:widowControl w:val="0"/>
        <w:spacing w:line="360" w:lineRule="auto"/>
        <w:ind w:right="51" w:firstLine="709"/>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DC3AAB">
        <w:rPr>
          <w:rFonts w:ascii="Arial" w:eastAsia="Times New Roman" w:hAnsi="Arial" w:cs="Arial"/>
          <w:b/>
          <w:sz w:val="26"/>
          <w:szCs w:val="26"/>
          <w:lang w:val="es-ES" w:eastAsia="es-ES"/>
        </w:rPr>
        <w:t xml:space="preserve"> TRE</w:t>
      </w:r>
      <w:r w:rsidR="00572233">
        <w:rPr>
          <w:rFonts w:ascii="Arial" w:eastAsia="Times New Roman" w:hAnsi="Arial" w:cs="Arial"/>
          <w:b/>
          <w:sz w:val="26"/>
          <w:szCs w:val="26"/>
          <w:lang w:val="es-ES" w:eastAsia="es-ES"/>
        </w:rPr>
        <w:t>CE</w:t>
      </w:r>
      <w:r w:rsidR="00273FAA" w:rsidRPr="00EE4752">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w:t>
      </w:r>
      <w:r w:rsidR="007875B8">
        <w:rPr>
          <w:rFonts w:ascii="Arial" w:eastAsia="Times New Roman" w:hAnsi="Arial" w:cs="Arial"/>
          <w:b/>
          <w:sz w:val="26"/>
          <w:szCs w:val="26"/>
          <w:lang w:val="es-ES" w:eastAsia="es-ES"/>
        </w:rPr>
        <w:t xml:space="preserve">- - - - - - - - - - - - </w:t>
      </w:r>
    </w:p>
    <w:p w14:paraId="4BCD7EB3" w14:textId="731728EB" w:rsidR="007875B8" w:rsidRDefault="007875B8" w:rsidP="002417AF">
      <w:pPr>
        <w:spacing w:before="240" w:line="360" w:lineRule="auto"/>
        <w:ind w:firstLine="709"/>
        <w:jc w:val="both"/>
        <w:rPr>
          <w:rFonts w:ascii="Arial" w:hAnsi="Arial" w:cs="Arial"/>
          <w:sz w:val="26"/>
          <w:szCs w:val="26"/>
        </w:rPr>
      </w:pPr>
      <w:r>
        <w:rPr>
          <w:rFonts w:ascii="Arial" w:hAnsi="Arial" w:cs="Arial"/>
          <w:sz w:val="26"/>
          <w:szCs w:val="26"/>
        </w:rPr>
        <w:t xml:space="preserve">1. </w:t>
      </w:r>
      <w:r w:rsidRPr="00965F29">
        <w:rPr>
          <w:rFonts w:ascii="Arial" w:hAnsi="Arial" w:cs="Arial"/>
          <w:sz w:val="26"/>
          <w:szCs w:val="26"/>
        </w:rPr>
        <w:t>Resolución de la Sala Superior que</w:t>
      </w:r>
      <w:r>
        <w:rPr>
          <w:rFonts w:ascii="Arial" w:hAnsi="Arial" w:cs="Arial"/>
          <w:sz w:val="26"/>
          <w:szCs w:val="26"/>
        </w:rPr>
        <w:t xml:space="preserve"> </w:t>
      </w:r>
      <w:r>
        <w:rPr>
          <w:rFonts w:ascii="Arial" w:hAnsi="Arial" w:cs="Arial"/>
          <w:b/>
          <w:sz w:val="26"/>
          <w:szCs w:val="26"/>
        </w:rPr>
        <w:t>REVOCA</w:t>
      </w:r>
      <w:r w:rsidRPr="000D730C">
        <w:rPr>
          <w:rFonts w:ascii="Arial" w:hAnsi="Arial" w:cs="Arial"/>
          <w:sz w:val="26"/>
          <w:szCs w:val="26"/>
        </w:rPr>
        <w:t xml:space="preserve"> el acuerdo </w:t>
      </w:r>
      <w:r w:rsidR="00D67C75">
        <w:rPr>
          <w:rFonts w:ascii="Arial" w:hAnsi="Arial" w:cs="Arial"/>
          <w:sz w:val="26"/>
          <w:szCs w:val="26"/>
        </w:rPr>
        <w:t>de fecha trece de febrero de dos mil</w:t>
      </w:r>
      <w:r>
        <w:rPr>
          <w:rFonts w:ascii="Arial" w:hAnsi="Arial" w:cs="Arial"/>
          <w:sz w:val="26"/>
          <w:szCs w:val="26"/>
        </w:rPr>
        <w:t xml:space="preserve"> veintitrés, dictado por la Titular de la </w:t>
      </w:r>
      <w:r w:rsidR="00D67C75">
        <w:rPr>
          <w:rFonts w:ascii="Arial" w:hAnsi="Arial" w:cs="Arial"/>
          <w:sz w:val="26"/>
          <w:szCs w:val="26"/>
        </w:rPr>
        <w:t xml:space="preserve">entonces </w:t>
      </w:r>
      <w:r>
        <w:rPr>
          <w:rFonts w:ascii="Arial" w:hAnsi="Arial" w:cs="Arial"/>
          <w:sz w:val="26"/>
          <w:szCs w:val="26"/>
        </w:rPr>
        <w:t>Tercera Sala Unitaria de Primera Instancia de este Tribunal de Justicia Administrativa</w:t>
      </w:r>
      <w:r w:rsidR="0063653A">
        <w:rPr>
          <w:rFonts w:ascii="Arial" w:hAnsi="Arial" w:cs="Arial"/>
          <w:sz w:val="26"/>
          <w:szCs w:val="26"/>
        </w:rPr>
        <w:t xml:space="preserve"> y Combate a la Corrupción del Estado de Oaxaca,</w:t>
      </w:r>
      <w:r>
        <w:rPr>
          <w:rFonts w:ascii="Arial" w:hAnsi="Arial" w:cs="Arial"/>
          <w:sz w:val="26"/>
          <w:szCs w:val="26"/>
        </w:rPr>
        <w:t xml:space="preserve"> y se dicta uno nuevo.</w:t>
      </w:r>
      <w:r w:rsidR="002417AF">
        <w:rPr>
          <w:rFonts w:ascii="Arial" w:hAnsi="Arial" w:cs="Arial"/>
          <w:sz w:val="26"/>
          <w:szCs w:val="26"/>
        </w:rPr>
        <w:t xml:space="preserve"> </w:t>
      </w:r>
    </w:p>
    <w:p w14:paraId="3175ABE5" w14:textId="373A60A0" w:rsidR="00B979B6" w:rsidRDefault="00B979B6" w:rsidP="002417AF">
      <w:pPr>
        <w:spacing w:before="240" w:line="360" w:lineRule="auto"/>
        <w:jc w:val="center"/>
        <w:rPr>
          <w:rFonts w:ascii="Arial" w:hAnsi="Arial" w:cs="Arial"/>
          <w:b/>
          <w:sz w:val="26"/>
          <w:szCs w:val="26"/>
        </w:rPr>
      </w:pPr>
      <w:r>
        <w:rPr>
          <w:rFonts w:ascii="Arial" w:hAnsi="Arial" w:cs="Arial"/>
          <w:b/>
          <w:sz w:val="26"/>
          <w:szCs w:val="26"/>
        </w:rPr>
        <w:t>ÍNDICE</w:t>
      </w:r>
    </w:p>
    <w:p w14:paraId="671F150F" w14:textId="2FBD9468" w:rsidR="00B979B6" w:rsidRPr="000F39BF" w:rsidRDefault="00B979B6" w:rsidP="002417AF">
      <w:pPr>
        <w:spacing w:before="240" w:line="240" w:lineRule="auto"/>
        <w:ind w:left="284"/>
        <w:jc w:val="both"/>
        <w:rPr>
          <w:rFonts w:ascii="Arial" w:hAnsi="Arial" w:cs="Arial"/>
          <w:sz w:val="24"/>
          <w:szCs w:val="26"/>
        </w:rPr>
      </w:pPr>
      <w:r w:rsidRPr="000F39BF">
        <w:rPr>
          <w:rFonts w:ascii="Arial" w:hAnsi="Arial" w:cs="Arial"/>
          <w:sz w:val="24"/>
          <w:szCs w:val="26"/>
        </w:rPr>
        <w:t>GLOSARIO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w:t>
      </w:r>
      <w:r w:rsidR="00657101" w:rsidRPr="000F39BF">
        <w:rPr>
          <w:rFonts w:ascii="Arial" w:hAnsi="Arial" w:cs="Arial"/>
          <w:sz w:val="24"/>
          <w:szCs w:val="26"/>
        </w:rPr>
        <w:t xml:space="preserve"> </w:t>
      </w:r>
      <w:r w:rsidR="000C79D6">
        <w:rPr>
          <w:rFonts w:ascii="Arial" w:hAnsi="Arial" w:cs="Arial"/>
          <w:sz w:val="24"/>
          <w:szCs w:val="26"/>
        </w:rPr>
        <w:t xml:space="preserve"> </w:t>
      </w:r>
      <w:r w:rsidRPr="000F39BF">
        <w:rPr>
          <w:rFonts w:ascii="Arial" w:hAnsi="Arial" w:cs="Arial"/>
          <w:sz w:val="24"/>
          <w:szCs w:val="26"/>
        </w:rPr>
        <w:t>2</w:t>
      </w:r>
    </w:p>
    <w:p w14:paraId="427904A1" w14:textId="31280804" w:rsidR="00B979B6" w:rsidRPr="000F39BF" w:rsidRDefault="00657101" w:rsidP="002417AF">
      <w:pPr>
        <w:spacing w:before="240" w:line="240" w:lineRule="auto"/>
        <w:jc w:val="both"/>
        <w:rPr>
          <w:rFonts w:ascii="Arial" w:hAnsi="Arial" w:cs="Arial"/>
          <w:sz w:val="24"/>
          <w:szCs w:val="26"/>
        </w:rPr>
      </w:pPr>
      <w:r w:rsidRPr="000F39BF">
        <w:rPr>
          <w:rFonts w:ascii="Arial" w:hAnsi="Arial" w:cs="Arial"/>
          <w:sz w:val="24"/>
          <w:szCs w:val="26"/>
        </w:rPr>
        <w:t>1. RESULTANDO ……………………………………………</w:t>
      </w:r>
      <w:r w:rsidR="00254021">
        <w:rPr>
          <w:rFonts w:ascii="Arial" w:hAnsi="Arial" w:cs="Arial"/>
          <w:sz w:val="24"/>
          <w:szCs w:val="26"/>
        </w:rPr>
        <w:t>…..</w:t>
      </w:r>
      <w:r w:rsidRPr="000F39BF">
        <w:rPr>
          <w:rFonts w:ascii="Arial" w:hAnsi="Arial" w:cs="Arial"/>
          <w:sz w:val="24"/>
          <w:szCs w:val="26"/>
        </w:rPr>
        <w:t>………………….</w:t>
      </w:r>
      <w:r w:rsidR="0085241C">
        <w:rPr>
          <w:rFonts w:ascii="Arial" w:hAnsi="Arial" w:cs="Arial"/>
          <w:sz w:val="24"/>
          <w:szCs w:val="26"/>
        </w:rPr>
        <w:t xml:space="preserve">. </w:t>
      </w:r>
      <w:r w:rsidR="000C79D6">
        <w:rPr>
          <w:rFonts w:ascii="Arial" w:hAnsi="Arial" w:cs="Arial"/>
          <w:sz w:val="24"/>
          <w:szCs w:val="26"/>
        </w:rPr>
        <w:t xml:space="preserve"> </w:t>
      </w:r>
      <w:r w:rsidRPr="000F39BF">
        <w:rPr>
          <w:rFonts w:ascii="Arial" w:hAnsi="Arial" w:cs="Arial"/>
          <w:sz w:val="24"/>
          <w:szCs w:val="26"/>
        </w:rPr>
        <w:t>2</w:t>
      </w:r>
    </w:p>
    <w:p w14:paraId="454AB6E5" w14:textId="031B6B00" w:rsidR="00657101" w:rsidRPr="000F39BF" w:rsidRDefault="00657101" w:rsidP="002417AF">
      <w:pPr>
        <w:spacing w:before="240" w:line="240" w:lineRule="auto"/>
        <w:ind w:left="284"/>
        <w:jc w:val="both"/>
        <w:rPr>
          <w:rFonts w:ascii="Arial" w:hAnsi="Arial" w:cs="Arial"/>
          <w:sz w:val="24"/>
          <w:szCs w:val="26"/>
        </w:rPr>
      </w:pPr>
      <w:r w:rsidRPr="000F39BF">
        <w:rPr>
          <w:rFonts w:ascii="Arial" w:hAnsi="Arial" w:cs="Arial"/>
          <w:sz w:val="24"/>
          <w:szCs w:val="26"/>
        </w:rPr>
        <w:t>PRIMERO. RECURSO DE REVISIÓN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 xml:space="preserve">………………. </w:t>
      </w:r>
      <w:r w:rsidR="000C79D6">
        <w:rPr>
          <w:rFonts w:ascii="Arial" w:hAnsi="Arial" w:cs="Arial"/>
          <w:sz w:val="24"/>
          <w:szCs w:val="26"/>
        </w:rPr>
        <w:t xml:space="preserve"> </w:t>
      </w:r>
      <w:r w:rsidR="002417AF" w:rsidRPr="000F39BF">
        <w:rPr>
          <w:rFonts w:ascii="Arial" w:hAnsi="Arial" w:cs="Arial"/>
          <w:sz w:val="24"/>
          <w:szCs w:val="26"/>
        </w:rPr>
        <w:t>2</w:t>
      </w:r>
    </w:p>
    <w:p w14:paraId="3112EED4" w14:textId="0B64EF3D" w:rsidR="00657101" w:rsidRPr="000F39BF" w:rsidRDefault="00657101" w:rsidP="002417AF">
      <w:pPr>
        <w:spacing w:before="240" w:line="240" w:lineRule="auto"/>
        <w:ind w:left="284"/>
        <w:jc w:val="both"/>
        <w:rPr>
          <w:rFonts w:ascii="Arial" w:hAnsi="Arial" w:cs="Arial"/>
          <w:sz w:val="24"/>
          <w:szCs w:val="26"/>
        </w:rPr>
      </w:pPr>
      <w:r w:rsidRPr="000F39BF">
        <w:rPr>
          <w:rFonts w:ascii="Arial" w:hAnsi="Arial" w:cs="Arial"/>
          <w:sz w:val="24"/>
          <w:szCs w:val="26"/>
        </w:rPr>
        <w:t>SEGUNDO. ACUERDO RECURRIDO …………………………</w:t>
      </w:r>
      <w:r w:rsidR="00254021">
        <w:rPr>
          <w:rFonts w:ascii="Arial" w:hAnsi="Arial" w:cs="Arial"/>
          <w:sz w:val="24"/>
          <w:szCs w:val="26"/>
        </w:rPr>
        <w:t>…..</w:t>
      </w:r>
      <w:r w:rsidRPr="000F39BF">
        <w:rPr>
          <w:rFonts w:ascii="Arial" w:hAnsi="Arial" w:cs="Arial"/>
          <w:sz w:val="24"/>
          <w:szCs w:val="26"/>
        </w:rPr>
        <w:t>…………</w:t>
      </w:r>
      <w:r w:rsidR="002417AF" w:rsidRPr="000F39BF">
        <w:rPr>
          <w:rFonts w:ascii="Arial" w:hAnsi="Arial" w:cs="Arial"/>
          <w:sz w:val="24"/>
          <w:szCs w:val="26"/>
        </w:rPr>
        <w:t xml:space="preserve">. </w:t>
      </w:r>
      <w:r w:rsidR="000C79D6">
        <w:rPr>
          <w:rFonts w:ascii="Arial" w:hAnsi="Arial" w:cs="Arial"/>
          <w:sz w:val="24"/>
          <w:szCs w:val="26"/>
        </w:rPr>
        <w:t xml:space="preserve"> </w:t>
      </w:r>
      <w:r w:rsidR="002417AF" w:rsidRPr="000F39BF">
        <w:rPr>
          <w:rFonts w:ascii="Arial" w:hAnsi="Arial" w:cs="Arial"/>
          <w:sz w:val="24"/>
          <w:szCs w:val="26"/>
        </w:rPr>
        <w:t>2</w:t>
      </w:r>
    </w:p>
    <w:p w14:paraId="5107A41F" w14:textId="50A8A494" w:rsidR="00657101" w:rsidRPr="000F39BF" w:rsidRDefault="00657101" w:rsidP="002417AF">
      <w:pPr>
        <w:spacing w:before="240" w:line="240" w:lineRule="auto"/>
        <w:jc w:val="both"/>
        <w:rPr>
          <w:rFonts w:ascii="Arial" w:hAnsi="Arial" w:cs="Arial"/>
          <w:sz w:val="24"/>
          <w:szCs w:val="26"/>
        </w:rPr>
      </w:pPr>
      <w:r w:rsidRPr="000F39BF">
        <w:rPr>
          <w:rFonts w:ascii="Arial" w:hAnsi="Arial" w:cs="Arial"/>
          <w:sz w:val="24"/>
          <w:szCs w:val="26"/>
        </w:rPr>
        <w:t>2. CONSIDERANDO ……………………………………………………</w:t>
      </w:r>
      <w:r w:rsidR="00254021">
        <w:rPr>
          <w:rFonts w:ascii="Arial" w:hAnsi="Arial" w:cs="Arial"/>
          <w:sz w:val="24"/>
          <w:szCs w:val="26"/>
        </w:rPr>
        <w:t>…..</w:t>
      </w:r>
      <w:r w:rsidRPr="000F39BF">
        <w:rPr>
          <w:rFonts w:ascii="Arial" w:hAnsi="Arial" w:cs="Arial"/>
          <w:sz w:val="24"/>
          <w:szCs w:val="26"/>
        </w:rPr>
        <w:t>………</w:t>
      </w:r>
      <w:r w:rsidR="002417AF" w:rsidRPr="000F39BF">
        <w:rPr>
          <w:rFonts w:ascii="Arial" w:hAnsi="Arial" w:cs="Arial"/>
          <w:sz w:val="24"/>
          <w:szCs w:val="26"/>
        </w:rPr>
        <w:t xml:space="preserve"> </w:t>
      </w:r>
      <w:r w:rsidR="000C79D6">
        <w:rPr>
          <w:rFonts w:ascii="Arial" w:hAnsi="Arial" w:cs="Arial"/>
          <w:sz w:val="24"/>
          <w:szCs w:val="26"/>
        </w:rPr>
        <w:t xml:space="preserve"> 4</w:t>
      </w:r>
    </w:p>
    <w:p w14:paraId="48DFC790" w14:textId="44C1335B" w:rsidR="00657101" w:rsidRPr="000F39BF" w:rsidRDefault="00657101" w:rsidP="002417AF">
      <w:pPr>
        <w:spacing w:before="240" w:line="240" w:lineRule="auto"/>
        <w:ind w:left="284"/>
        <w:jc w:val="both"/>
        <w:rPr>
          <w:rFonts w:ascii="Arial" w:hAnsi="Arial" w:cs="Arial"/>
          <w:sz w:val="24"/>
          <w:szCs w:val="26"/>
        </w:rPr>
      </w:pPr>
      <w:r w:rsidRPr="000F39BF">
        <w:rPr>
          <w:rFonts w:ascii="Arial" w:hAnsi="Arial" w:cs="Arial"/>
          <w:sz w:val="24"/>
          <w:szCs w:val="26"/>
        </w:rPr>
        <w:t xml:space="preserve">PRIMERO- JURISDICCIÓN </w:t>
      </w:r>
      <w:r w:rsidR="00E32860">
        <w:rPr>
          <w:rFonts w:ascii="Arial" w:hAnsi="Arial" w:cs="Arial"/>
          <w:sz w:val="24"/>
          <w:szCs w:val="26"/>
        </w:rPr>
        <w:t xml:space="preserve">. . . . . . . . . . . . . . . . . . </w:t>
      </w:r>
      <w:proofErr w:type="gramStart"/>
      <w:r w:rsidR="00E32860">
        <w:rPr>
          <w:rFonts w:ascii="Arial" w:hAnsi="Arial" w:cs="Arial"/>
          <w:sz w:val="24"/>
          <w:szCs w:val="26"/>
        </w:rPr>
        <w:t>. . . .</w:t>
      </w:r>
      <w:proofErr w:type="gramEnd"/>
      <w:r w:rsidRPr="000F39BF">
        <w:rPr>
          <w:rFonts w:ascii="Arial" w:hAnsi="Arial" w:cs="Arial"/>
          <w:sz w:val="24"/>
          <w:szCs w:val="26"/>
        </w:rPr>
        <w:t xml:space="preserve"> ……………</w:t>
      </w:r>
      <w:r w:rsidR="00254021">
        <w:rPr>
          <w:rFonts w:ascii="Arial" w:hAnsi="Arial" w:cs="Arial"/>
          <w:sz w:val="24"/>
          <w:szCs w:val="26"/>
        </w:rPr>
        <w:t>…..</w:t>
      </w:r>
      <w:r w:rsidRPr="000F39BF">
        <w:rPr>
          <w:rFonts w:ascii="Arial" w:hAnsi="Arial" w:cs="Arial"/>
          <w:sz w:val="24"/>
          <w:szCs w:val="26"/>
        </w:rPr>
        <w:t xml:space="preserve">…... </w:t>
      </w:r>
      <w:r w:rsidR="000C79D6">
        <w:rPr>
          <w:rFonts w:ascii="Arial" w:hAnsi="Arial" w:cs="Arial"/>
          <w:sz w:val="24"/>
          <w:szCs w:val="26"/>
        </w:rPr>
        <w:t>4</w:t>
      </w:r>
    </w:p>
    <w:p w14:paraId="3B17F858" w14:textId="6C6CA890" w:rsidR="00657101" w:rsidRPr="000F39BF" w:rsidRDefault="00657101" w:rsidP="002417AF">
      <w:pPr>
        <w:spacing w:before="240" w:line="240" w:lineRule="auto"/>
        <w:ind w:left="284"/>
        <w:jc w:val="both"/>
        <w:rPr>
          <w:rFonts w:ascii="Arial" w:hAnsi="Arial" w:cs="Arial"/>
          <w:sz w:val="24"/>
          <w:szCs w:val="26"/>
        </w:rPr>
      </w:pPr>
      <w:r w:rsidRPr="000F39BF">
        <w:rPr>
          <w:rFonts w:ascii="Arial" w:hAnsi="Arial" w:cs="Arial"/>
          <w:sz w:val="24"/>
          <w:szCs w:val="26"/>
        </w:rPr>
        <w:t>SEGUNDO. REQUISITOS DE PROCEDENCIA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 xml:space="preserve">………………. </w:t>
      </w:r>
      <w:r w:rsidR="000C79D6">
        <w:rPr>
          <w:rFonts w:ascii="Arial" w:hAnsi="Arial" w:cs="Arial"/>
          <w:sz w:val="24"/>
          <w:szCs w:val="26"/>
        </w:rPr>
        <w:t>4</w:t>
      </w:r>
    </w:p>
    <w:p w14:paraId="0AA18210" w14:textId="352254FC" w:rsidR="00657101" w:rsidRPr="000F39BF" w:rsidRDefault="00657101" w:rsidP="002417AF">
      <w:pPr>
        <w:spacing w:before="240" w:line="240" w:lineRule="auto"/>
        <w:ind w:left="284"/>
        <w:jc w:val="both"/>
        <w:rPr>
          <w:rFonts w:ascii="Arial" w:hAnsi="Arial" w:cs="Arial"/>
          <w:sz w:val="24"/>
          <w:szCs w:val="26"/>
        </w:rPr>
      </w:pPr>
      <w:r w:rsidRPr="000F39BF">
        <w:rPr>
          <w:rFonts w:ascii="Arial" w:hAnsi="Arial" w:cs="Arial"/>
          <w:sz w:val="24"/>
          <w:szCs w:val="26"/>
        </w:rPr>
        <w:t xml:space="preserve">TERCERO. DETERMINACIÓN EN PRIMERA INSTANCIA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 xml:space="preserve">…………. </w:t>
      </w:r>
      <w:r w:rsidR="000C79D6">
        <w:rPr>
          <w:rFonts w:ascii="Arial" w:hAnsi="Arial" w:cs="Arial"/>
          <w:sz w:val="24"/>
          <w:szCs w:val="26"/>
        </w:rPr>
        <w:t>5</w:t>
      </w:r>
    </w:p>
    <w:p w14:paraId="46A03187" w14:textId="313A4106" w:rsidR="00657101" w:rsidRPr="000F39BF" w:rsidRDefault="00657101" w:rsidP="002417AF">
      <w:pPr>
        <w:spacing w:before="240" w:line="240" w:lineRule="auto"/>
        <w:ind w:left="284"/>
        <w:jc w:val="both"/>
        <w:rPr>
          <w:rFonts w:ascii="Arial" w:hAnsi="Arial" w:cs="Arial"/>
          <w:sz w:val="24"/>
          <w:szCs w:val="26"/>
        </w:rPr>
      </w:pPr>
      <w:r w:rsidRPr="000F39BF">
        <w:rPr>
          <w:rFonts w:ascii="Arial" w:hAnsi="Arial" w:cs="Arial"/>
          <w:sz w:val="24"/>
          <w:szCs w:val="26"/>
        </w:rPr>
        <w:t>CUARTO. AGRAVIOS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 xml:space="preserve">……. </w:t>
      </w:r>
      <w:r w:rsidR="000C79D6">
        <w:rPr>
          <w:rFonts w:ascii="Arial" w:hAnsi="Arial" w:cs="Arial"/>
          <w:sz w:val="24"/>
          <w:szCs w:val="26"/>
        </w:rPr>
        <w:t>5</w:t>
      </w:r>
    </w:p>
    <w:p w14:paraId="401C1240" w14:textId="48EBD690" w:rsidR="00657101" w:rsidRPr="000F39BF" w:rsidRDefault="00657101" w:rsidP="002417AF">
      <w:pPr>
        <w:spacing w:before="240" w:line="240" w:lineRule="auto"/>
        <w:ind w:left="284"/>
        <w:jc w:val="both"/>
        <w:rPr>
          <w:rFonts w:ascii="Arial" w:hAnsi="Arial" w:cs="Arial"/>
          <w:sz w:val="24"/>
          <w:szCs w:val="26"/>
        </w:rPr>
      </w:pPr>
      <w:r w:rsidRPr="000F39BF">
        <w:rPr>
          <w:rFonts w:ascii="Arial" w:hAnsi="Arial" w:cs="Arial"/>
          <w:sz w:val="24"/>
          <w:szCs w:val="26"/>
        </w:rPr>
        <w:t>QUINTO. CONTESTACIÓN DE AGRAVIOS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w:t>
      </w:r>
      <w:r w:rsidR="0085241C">
        <w:rPr>
          <w:rFonts w:ascii="Arial" w:hAnsi="Arial" w:cs="Arial"/>
          <w:sz w:val="24"/>
          <w:szCs w:val="26"/>
        </w:rPr>
        <w:t xml:space="preserve">.. </w:t>
      </w:r>
      <w:r w:rsidR="000C79D6">
        <w:rPr>
          <w:rFonts w:ascii="Arial" w:hAnsi="Arial" w:cs="Arial"/>
          <w:sz w:val="24"/>
          <w:szCs w:val="26"/>
        </w:rPr>
        <w:t xml:space="preserve"> 6</w:t>
      </w:r>
    </w:p>
    <w:p w14:paraId="237F5B88" w14:textId="5BA6596B" w:rsidR="00657101" w:rsidRPr="000F39BF" w:rsidRDefault="00657101" w:rsidP="002417AF">
      <w:pPr>
        <w:spacing w:before="240" w:line="240" w:lineRule="auto"/>
        <w:ind w:left="284"/>
        <w:jc w:val="both"/>
        <w:rPr>
          <w:rFonts w:ascii="Arial" w:hAnsi="Arial" w:cs="Arial"/>
          <w:sz w:val="24"/>
          <w:szCs w:val="26"/>
        </w:rPr>
      </w:pPr>
      <w:r w:rsidRPr="000F39BF">
        <w:rPr>
          <w:rFonts w:ascii="Arial" w:hAnsi="Arial" w:cs="Arial"/>
          <w:sz w:val="24"/>
          <w:szCs w:val="26"/>
        </w:rPr>
        <w:lastRenderedPageBreak/>
        <w:t>SEXTO. DECISIÓN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w:t>
      </w:r>
      <w:r w:rsidR="0085241C">
        <w:rPr>
          <w:rFonts w:ascii="Arial" w:hAnsi="Arial" w:cs="Arial"/>
          <w:sz w:val="24"/>
          <w:szCs w:val="26"/>
        </w:rPr>
        <w:t xml:space="preserve">. </w:t>
      </w:r>
      <w:r w:rsidR="000C79D6">
        <w:rPr>
          <w:rFonts w:ascii="Arial" w:hAnsi="Arial" w:cs="Arial"/>
          <w:sz w:val="24"/>
          <w:szCs w:val="26"/>
        </w:rPr>
        <w:t xml:space="preserve"> 9</w:t>
      </w:r>
      <w:r w:rsidR="0085241C">
        <w:rPr>
          <w:rFonts w:ascii="Arial" w:hAnsi="Arial" w:cs="Arial"/>
          <w:sz w:val="24"/>
          <w:szCs w:val="26"/>
        </w:rPr>
        <w:t xml:space="preserve"> </w:t>
      </w:r>
    </w:p>
    <w:p w14:paraId="532E6A1D" w14:textId="29687FC2" w:rsidR="00657101" w:rsidRPr="000F39BF" w:rsidRDefault="00657101" w:rsidP="002417AF">
      <w:pPr>
        <w:spacing w:before="240" w:line="360" w:lineRule="auto"/>
        <w:jc w:val="both"/>
        <w:rPr>
          <w:rFonts w:ascii="Arial" w:hAnsi="Arial" w:cs="Arial"/>
          <w:sz w:val="24"/>
          <w:szCs w:val="26"/>
        </w:rPr>
      </w:pPr>
      <w:r w:rsidRPr="000F39BF">
        <w:rPr>
          <w:rFonts w:ascii="Arial" w:hAnsi="Arial" w:cs="Arial"/>
          <w:sz w:val="24"/>
          <w:szCs w:val="26"/>
        </w:rPr>
        <w:t>3. RESUELVE ……………………………………………………………</w:t>
      </w:r>
      <w:r w:rsidR="00254021">
        <w:rPr>
          <w:rFonts w:ascii="Arial" w:hAnsi="Arial" w:cs="Arial"/>
          <w:sz w:val="24"/>
          <w:szCs w:val="26"/>
        </w:rPr>
        <w:t>…..</w:t>
      </w:r>
      <w:r w:rsidRPr="000F39BF">
        <w:rPr>
          <w:rFonts w:ascii="Arial" w:hAnsi="Arial" w:cs="Arial"/>
          <w:sz w:val="24"/>
          <w:szCs w:val="26"/>
        </w:rPr>
        <w:t>…….  1</w:t>
      </w:r>
      <w:r w:rsidR="0085241C">
        <w:rPr>
          <w:rFonts w:ascii="Arial" w:hAnsi="Arial" w:cs="Arial"/>
          <w:sz w:val="24"/>
          <w:szCs w:val="26"/>
        </w:rPr>
        <w:t>0</w:t>
      </w:r>
    </w:p>
    <w:p w14:paraId="28DA10A6" w14:textId="77777777" w:rsidR="007875B8" w:rsidRPr="00657101" w:rsidRDefault="007875B8" w:rsidP="002417AF">
      <w:pPr>
        <w:tabs>
          <w:tab w:val="center" w:pos="4418"/>
          <w:tab w:val="left" w:pos="6330"/>
        </w:tabs>
        <w:spacing w:line="360" w:lineRule="auto"/>
        <w:jc w:val="center"/>
        <w:rPr>
          <w:rFonts w:ascii="Arial" w:hAnsi="Arial" w:cs="Arial"/>
          <w:sz w:val="4"/>
          <w:szCs w:val="24"/>
        </w:rPr>
      </w:pPr>
    </w:p>
    <w:p w14:paraId="50BD8BF1" w14:textId="77777777" w:rsidR="007875B8" w:rsidRPr="00EE4752" w:rsidRDefault="007875B8" w:rsidP="002417AF">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7875B8" w:rsidRPr="00EE4752" w14:paraId="65745B30" w14:textId="77777777" w:rsidTr="00E85652">
        <w:tc>
          <w:tcPr>
            <w:tcW w:w="3256" w:type="dxa"/>
          </w:tcPr>
          <w:p w14:paraId="12AE7C0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Constitución Federal</w:t>
            </w:r>
          </w:p>
        </w:tc>
        <w:tc>
          <w:tcPr>
            <w:tcW w:w="5571" w:type="dxa"/>
          </w:tcPr>
          <w:p w14:paraId="4AD8424D"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 los Estados Unidos Mexicanos.</w:t>
            </w:r>
          </w:p>
        </w:tc>
      </w:tr>
      <w:tr w:rsidR="007875B8" w:rsidRPr="00EE4752" w14:paraId="59BE9991" w14:textId="77777777" w:rsidTr="00E85652">
        <w:tc>
          <w:tcPr>
            <w:tcW w:w="3256" w:type="dxa"/>
          </w:tcPr>
          <w:p w14:paraId="3BDB2AC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62044B03"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del Estado Libre y Soberano de Oaxaca.</w:t>
            </w:r>
          </w:p>
        </w:tc>
      </w:tr>
      <w:tr w:rsidR="007875B8" w:rsidRPr="00EE4752" w14:paraId="49A2EC27" w14:textId="77777777" w:rsidTr="00E85652">
        <w:tc>
          <w:tcPr>
            <w:tcW w:w="3256" w:type="dxa"/>
          </w:tcPr>
          <w:p w14:paraId="0016239A"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6C6068D7"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de Procedimiento y Justicia Administrativa para el Estado de Oaxaca.</w:t>
            </w:r>
          </w:p>
        </w:tc>
      </w:tr>
      <w:tr w:rsidR="007875B8" w:rsidRPr="00EE4752" w14:paraId="5F22CA7B" w14:textId="77777777" w:rsidTr="00E85652">
        <w:tc>
          <w:tcPr>
            <w:tcW w:w="3256" w:type="dxa"/>
          </w:tcPr>
          <w:p w14:paraId="0A4A78F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Ley Orgánica:</w:t>
            </w:r>
          </w:p>
        </w:tc>
        <w:tc>
          <w:tcPr>
            <w:tcW w:w="5571" w:type="dxa"/>
          </w:tcPr>
          <w:p w14:paraId="660EC184"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Orgánica del Tribunal de Justicia Administrativa del Estado de Oaxaca</w:t>
            </w:r>
          </w:p>
        </w:tc>
      </w:tr>
      <w:tr w:rsidR="000F39BF" w:rsidRPr="00EE4752" w14:paraId="6F1090E3" w14:textId="77777777" w:rsidTr="00E85652">
        <w:tc>
          <w:tcPr>
            <w:tcW w:w="3256" w:type="dxa"/>
          </w:tcPr>
          <w:p w14:paraId="6B7B8DA8" w14:textId="0D3B2D5B" w:rsidR="000F39BF" w:rsidRPr="000F39BF" w:rsidRDefault="000F39BF" w:rsidP="002417AF">
            <w:pPr>
              <w:tabs>
                <w:tab w:val="center" w:pos="4418"/>
                <w:tab w:val="left" w:pos="6330"/>
              </w:tabs>
              <w:spacing w:line="360" w:lineRule="auto"/>
              <w:jc w:val="center"/>
              <w:rPr>
                <w:rFonts w:ascii="Arial" w:hAnsi="Arial" w:cs="Arial"/>
                <w:b/>
                <w:i/>
                <w:sz w:val="24"/>
                <w:szCs w:val="24"/>
              </w:rPr>
            </w:pPr>
            <w:r w:rsidRPr="000F39BF">
              <w:rPr>
                <w:rFonts w:ascii="Arial" w:hAnsi="Arial" w:cs="Arial"/>
                <w:b/>
                <w:i/>
                <w:sz w:val="24"/>
                <w:szCs w:val="24"/>
              </w:rPr>
              <w:t>Acuerdo General</w:t>
            </w:r>
          </w:p>
        </w:tc>
        <w:tc>
          <w:tcPr>
            <w:tcW w:w="5571" w:type="dxa"/>
          </w:tcPr>
          <w:p w14:paraId="7DF65B11" w14:textId="6F8D6D0E" w:rsidR="000F39BF" w:rsidRPr="000F39BF" w:rsidRDefault="000F39BF" w:rsidP="00724A2B">
            <w:pPr>
              <w:tabs>
                <w:tab w:val="center" w:pos="4418"/>
                <w:tab w:val="left" w:pos="6330"/>
              </w:tabs>
              <w:spacing w:line="276" w:lineRule="auto"/>
              <w:jc w:val="both"/>
              <w:rPr>
                <w:rFonts w:ascii="Arial" w:hAnsi="Arial" w:cs="Arial"/>
                <w:i/>
                <w:sz w:val="24"/>
                <w:szCs w:val="24"/>
              </w:rPr>
            </w:pPr>
            <w:r w:rsidRPr="000F39BF">
              <w:rPr>
                <w:rFonts w:ascii="Arial" w:hAnsi="Arial" w:cs="Arial"/>
                <w:i/>
                <w:snapToGrid w:val="0"/>
                <w:sz w:val="26"/>
                <w:szCs w:val="26"/>
              </w:rPr>
              <w:t>Acuerd</w:t>
            </w:r>
            <w:r w:rsidR="00724A2B">
              <w:rPr>
                <w:rFonts w:ascii="Arial" w:hAnsi="Arial" w:cs="Arial"/>
                <w:i/>
                <w:snapToGrid w:val="0"/>
                <w:sz w:val="26"/>
                <w:szCs w:val="26"/>
              </w:rPr>
              <w:t>o General AG/TJAO/02/2023</w:t>
            </w:r>
            <w:r w:rsidRPr="000F39BF">
              <w:rPr>
                <w:rFonts w:ascii="Arial" w:hAnsi="Arial" w:cs="Arial"/>
                <w:i/>
                <w:snapToGrid w:val="0"/>
                <w:sz w:val="26"/>
                <w:szCs w:val="26"/>
              </w:rPr>
              <w:t xml:space="preserve"> del Pleno del Tribunal de Justicia Administrativa del Estado de Oaxaca, mediante el cual se </w:t>
            </w:r>
            <w:r w:rsidR="00724A2B">
              <w:rPr>
                <w:rFonts w:ascii="Arial" w:hAnsi="Arial" w:cs="Arial"/>
                <w:i/>
                <w:snapToGrid w:val="0"/>
                <w:sz w:val="26"/>
                <w:szCs w:val="26"/>
              </w:rPr>
              <w:t>modifica</w:t>
            </w:r>
            <w:r w:rsidRPr="000F39BF">
              <w:rPr>
                <w:rFonts w:ascii="Arial" w:hAnsi="Arial" w:cs="Arial"/>
                <w:i/>
                <w:snapToGrid w:val="0"/>
                <w:sz w:val="26"/>
                <w:szCs w:val="26"/>
              </w:rPr>
              <w:t xml:space="preserve"> el calendario oficial, correspondiente a año dos mil veintitrés, para este Órgano Jurisdiccional</w:t>
            </w:r>
          </w:p>
        </w:tc>
      </w:tr>
    </w:tbl>
    <w:p w14:paraId="54BEAF3E" w14:textId="77777777" w:rsidR="007875B8" w:rsidRPr="007875B8" w:rsidRDefault="007875B8" w:rsidP="002417AF">
      <w:pPr>
        <w:spacing w:line="360" w:lineRule="auto"/>
        <w:jc w:val="both"/>
        <w:rPr>
          <w:rFonts w:ascii="Arial" w:hAnsi="Arial" w:cs="Arial"/>
          <w:b/>
          <w:sz w:val="12"/>
          <w:szCs w:val="26"/>
        </w:rPr>
      </w:pPr>
    </w:p>
    <w:p w14:paraId="3255C035" w14:textId="77777777" w:rsidR="007875B8" w:rsidRPr="00CB6405" w:rsidRDefault="007875B8" w:rsidP="002417AF">
      <w:pPr>
        <w:spacing w:line="360" w:lineRule="auto"/>
        <w:jc w:val="center"/>
        <w:rPr>
          <w:rFonts w:ascii="Arial" w:hAnsi="Arial" w:cs="Arial"/>
          <w:b/>
          <w:bCs/>
          <w:sz w:val="26"/>
          <w:szCs w:val="26"/>
        </w:rPr>
      </w:pPr>
      <w:r>
        <w:rPr>
          <w:rFonts w:ascii="Arial" w:hAnsi="Arial" w:cs="Arial"/>
          <w:b/>
          <w:bCs/>
          <w:sz w:val="26"/>
          <w:szCs w:val="26"/>
        </w:rPr>
        <w:t xml:space="preserve">1. </w:t>
      </w:r>
      <w:r w:rsidRPr="00CB6405">
        <w:rPr>
          <w:rFonts w:ascii="Arial" w:hAnsi="Arial" w:cs="Arial"/>
          <w:b/>
          <w:bCs/>
          <w:sz w:val="26"/>
          <w:szCs w:val="26"/>
        </w:rPr>
        <w:t>R E S U L T A N D O</w:t>
      </w:r>
    </w:p>
    <w:p w14:paraId="5EC95681" w14:textId="69E5D1B9" w:rsidR="00643C79" w:rsidRPr="00EE4752" w:rsidRDefault="00D82372" w:rsidP="00763651">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51A53542" w:rsidR="008D7563" w:rsidRPr="00254021" w:rsidRDefault="002417AF" w:rsidP="00254021">
      <w:pPr>
        <w:spacing w:line="360" w:lineRule="auto"/>
        <w:ind w:firstLine="567"/>
        <w:jc w:val="both"/>
        <w:rPr>
          <w:rFonts w:ascii="Arial" w:hAnsi="Arial" w:cs="Arial"/>
          <w:bCs/>
          <w:sz w:val="26"/>
          <w:szCs w:val="26"/>
        </w:rPr>
      </w:pPr>
      <w:r>
        <w:rPr>
          <w:rFonts w:ascii="Arial" w:eastAsia="Times New Roman" w:hAnsi="Arial" w:cs="Arial"/>
          <w:sz w:val="26"/>
          <w:szCs w:val="26"/>
          <w:lang w:val="es-ES_tradnl" w:eastAsia="es-ES"/>
        </w:rPr>
        <w:t xml:space="preserve">2. </w:t>
      </w:r>
      <w:r w:rsidR="00596348" w:rsidRPr="000D730C">
        <w:rPr>
          <w:rFonts w:ascii="Arial" w:eastAsia="Times New Roman" w:hAnsi="Arial" w:cs="Arial"/>
          <w:sz w:val="26"/>
          <w:szCs w:val="26"/>
          <w:lang w:val="es-ES_tradnl" w:eastAsia="es-ES"/>
        </w:rPr>
        <w:t xml:space="preserve">Por escrito presentado el </w:t>
      </w:r>
      <w:r w:rsidR="00D67C75">
        <w:rPr>
          <w:rFonts w:ascii="Arial" w:eastAsia="Times New Roman" w:hAnsi="Arial" w:cs="Arial"/>
          <w:sz w:val="26"/>
          <w:szCs w:val="26"/>
          <w:lang w:val="es-ES_tradnl" w:eastAsia="es-ES"/>
        </w:rPr>
        <w:t>veintidós de marzo</w:t>
      </w:r>
      <w:r w:rsidR="00596348" w:rsidRPr="000D730C">
        <w:rPr>
          <w:rFonts w:ascii="Arial" w:eastAsia="Times New Roman" w:hAnsi="Arial" w:cs="Arial"/>
          <w:sz w:val="26"/>
          <w:szCs w:val="26"/>
          <w:lang w:val="es-ES_tradnl" w:eastAsia="es-ES"/>
        </w:rPr>
        <w:t xml:space="preserve"> de dos mil veintitrés</w:t>
      </w:r>
      <w:r w:rsidR="00750F73">
        <w:rPr>
          <w:rFonts w:ascii="Arial" w:eastAsia="Times New Roman" w:hAnsi="Arial" w:cs="Arial"/>
          <w:sz w:val="26"/>
          <w:szCs w:val="26"/>
          <w:lang w:val="es-ES_tradnl" w:eastAsia="es-ES"/>
        </w:rPr>
        <w:t xml:space="preserve">, </w:t>
      </w:r>
      <w:r w:rsidR="00596348" w:rsidRPr="000D730C">
        <w:rPr>
          <w:rFonts w:ascii="Arial" w:eastAsia="Times New Roman" w:hAnsi="Arial" w:cs="Arial"/>
          <w:sz w:val="26"/>
          <w:szCs w:val="26"/>
          <w:lang w:val="es-ES_tradnl" w:eastAsia="es-ES"/>
        </w:rPr>
        <w:t xml:space="preserve">en la Oficialía de Partes Común de este Tribunal, con residencia en esta ciudad, por propio derecho </w:t>
      </w:r>
      <w:r w:rsidR="00596348" w:rsidRPr="000D730C">
        <w:rPr>
          <w:rFonts w:ascii="Arial" w:eastAsia="Times New Roman" w:hAnsi="Arial" w:cs="Arial"/>
          <w:bCs/>
          <w:sz w:val="26"/>
          <w:szCs w:val="26"/>
          <w:lang w:val="es-ES_tradnl" w:eastAsia="es-ES"/>
        </w:rPr>
        <w:t xml:space="preserve">el </w:t>
      </w:r>
      <w:r w:rsidR="00D67C75" w:rsidRPr="00D67C75">
        <w:rPr>
          <w:rFonts w:ascii="Arial" w:eastAsia="Times New Roman" w:hAnsi="Arial" w:cs="Arial"/>
          <w:b/>
          <w:bCs/>
          <w:sz w:val="26"/>
          <w:szCs w:val="26"/>
          <w:lang w:val="es-ES_tradnl" w:eastAsia="es-ES"/>
        </w:rPr>
        <w:t>L</w:t>
      </w:r>
      <w:r w:rsidR="00596348" w:rsidRPr="000D730C">
        <w:rPr>
          <w:rFonts w:ascii="Arial" w:hAnsi="Arial" w:cs="Arial"/>
          <w:b/>
          <w:bCs/>
          <w:spacing w:val="-3"/>
          <w:sz w:val="26"/>
          <w:szCs w:val="26"/>
          <w:lang w:val="es-ES_tradnl"/>
        </w:rPr>
        <w:t>icenciado</w:t>
      </w:r>
      <w:r w:rsidR="00DB1614">
        <w:rPr>
          <w:rFonts w:ascii="Arial" w:hAnsi="Arial" w:cs="Arial"/>
          <w:b/>
          <w:bCs/>
          <w:spacing w:val="-3"/>
          <w:sz w:val="26"/>
          <w:szCs w:val="26"/>
          <w:lang w:val="es-ES_tradnl"/>
        </w:rPr>
        <w:t xml:space="preserve"> ***********</w:t>
      </w:r>
      <w:r w:rsidR="007C5B3F">
        <w:rPr>
          <w:rFonts w:ascii="Arial" w:hAnsi="Arial" w:cs="Arial"/>
          <w:b/>
          <w:bCs/>
          <w:spacing w:val="-3"/>
          <w:sz w:val="26"/>
          <w:szCs w:val="26"/>
          <w:lang w:val="es-ES_tradnl"/>
        </w:rPr>
        <w:t>, apoderado legal de la persona moral denominada Farmacias de Similares Sociedad Anónima de Capital Variable</w:t>
      </w:r>
      <w:r w:rsidR="00596348" w:rsidRPr="000D730C">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 xml:space="preserve">promovió recurso de revisión en contra del </w:t>
      </w:r>
      <w:r w:rsidR="0069057A" w:rsidRPr="000D730C">
        <w:rPr>
          <w:rFonts w:ascii="Arial" w:eastAsia="Times New Roman" w:hAnsi="Arial" w:cs="Arial"/>
          <w:sz w:val="26"/>
          <w:szCs w:val="26"/>
          <w:lang w:val="es-ES_tradnl" w:eastAsia="es-ES"/>
        </w:rPr>
        <w:t xml:space="preserve">acuerdo de </w:t>
      </w:r>
      <w:r w:rsidR="007C5B3F">
        <w:rPr>
          <w:rFonts w:ascii="Arial" w:eastAsia="Times New Roman" w:hAnsi="Arial" w:cs="Arial"/>
          <w:sz w:val="26"/>
          <w:szCs w:val="26"/>
          <w:lang w:val="es-ES_tradnl" w:eastAsia="es-ES"/>
        </w:rPr>
        <w:t xml:space="preserve">trece de febrero </w:t>
      </w:r>
      <w:r w:rsidR="0069057A" w:rsidRPr="000D730C">
        <w:rPr>
          <w:rFonts w:ascii="Arial" w:eastAsia="Times New Roman" w:hAnsi="Arial" w:cs="Arial"/>
          <w:sz w:val="26"/>
          <w:szCs w:val="26"/>
          <w:lang w:val="es-ES_tradnl" w:eastAsia="es-ES"/>
        </w:rPr>
        <w:t>de</w:t>
      </w:r>
      <w:r w:rsidR="0089592F">
        <w:rPr>
          <w:rFonts w:ascii="Arial" w:eastAsia="Times New Roman" w:hAnsi="Arial" w:cs="Arial"/>
          <w:sz w:val="26"/>
          <w:szCs w:val="26"/>
          <w:lang w:val="es-ES_tradnl" w:eastAsia="es-ES"/>
        </w:rPr>
        <w:t xml:space="preserve"> dos mil </w:t>
      </w:r>
      <w:r w:rsidR="0089592F" w:rsidRPr="0089592F">
        <w:rPr>
          <w:rFonts w:ascii="Arial" w:eastAsia="Times New Roman" w:hAnsi="Arial" w:cs="Arial"/>
          <w:sz w:val="26"/>
          <w:szCs w:val="26"/>
          <w:lang w:val="es-ES_tradnl" w:eastAsia="es-ES"/>
        </w:rPr>
        <w:t>veintitrés</w:t>
      </w:r>
      <w:r w:rsidR="0069057A" w:rsidRPr="0089592F">
        <w:rPr>
          <w:rFonts w:ascii="Arial" w:eastAsia="Times New Roman" w:hAnsi="Arial" w:cs="Arial"/>
          <w:sz w:val="26"/>
          <w:szCs w:val="26"/>
          <w:lang w:val="es-ES_tradnl" w:eastAsia="es-ES"/>
        </w:rPr>
        <w:t>,</w:t>
      </w:r>
      <w:r w:rsidR="0069057A" w:rsidRPr="000D730C">
        <w:rPr>
          <w:rFonts w:ascii="Arial" w:eastAsia="Times New Roman" w:hAnsi="Arial" w:cs="Arial"/>
          <w:sz w:val="26"/>
          <w:szCs w:val="26"/>
          <w:lang w:val="es-ES_tradnl" w:eastAsia="es-ES"/>
        </w:rPr>
        <w:t xml:space="preserve"> dictado por la</w:t>
      </w:r>
      <w:r w:rsidR="009D62FC" w:rsidRPr="000D730C">
        <w:rPr>
          <w:rFonts w:ascii="Arial" w:eastAsia="Times New Roman" w:hAnsi="Arial" w:cs="Arial"/>
          <w:sz w:val="26"/>
          <w:szCs w:val="26"/>
          <w:lang w:val="es-ES_tradnl" w:eastAsia="es-ES"/>
        </w:rPr>
        <w:t xml:space="preserve"> otrora</w:t>
      </w:r>
      <w:r w:rsidR="0069057A" w:rsidRPr="000D730C">
        <w:rPr>
          <w:rFonts w:ascii="Arial" w:eastAsia="Times New Roman" w:hAnsi="Arial" w:cs="Arial"/>
          <w:sz w:val="26"/>
          <w:szCs w:val="26"/>
          <w:lang w:val="es-ES_tradnl" w:eastAsia="es-ES"/>
        </w:rPr>
        <w:t xml:space="preserve"> </w:t>
      </w:r>
      <w:r w:rsidR="0069057A" w:rsidRPr="000D730C">
        <w:rPr>
          <w:rFonts w:ascii="Arial" w:eastAsia="Times New Roman" w:hAnsi="Arial" w:cs="Arial"/>
          <w:bCs/>
          <w:sz w:val="26"/>
          <w:szCs w:val="26"/>
          <w:lang w:val="es-ES_tradnl" w:eastAsia="es-ES"/>
        </w:rPr>
        <w:t xml:space="preserve">Tercera Sala Unitaria </w:t>
      </w:r>
      <w:r w:rsidR="003F065E" w:rsidRPr="000D730C">
        <w:rPr>
          <w:rFonts w:ascii="Arial" w:eastAsia="Times New Roman" w:hAnsi="Arial" w:cs="Arial"/>
          <w:bCs/>
          <w:sz w:val="26"/>
          <w:szCs w:val="26"/>
          <w:lang w:val="es-ES_tradnl" w:eastAsia="es-ES"/>
        </w:rPr>
        <w:t xml:space="preserve">de </w:t>
      </w:r>
      <w:r w:rsidR="003F065E" w:rsidRPr="00254021">
        <w:rPr>
          <w:rFonts w:ascii="Arial" w:hAnsi="Arial" w:cs="Arial"/>
          <w:bCs/>
          <w:sz w:val="26"/>
          <w:szCs w:val="26"/>
        </w:rPr>
        <w:t>este Tribunal.</w:t>
      </w:r>
    </w:p>
    <w:p w14:paraId="645A417E" w14:textId="4FB4E109" w:rsidR="00596348" w:rsidRPr="00254021" w:rsidRDefault="0069057A" w:rsidP="00763651">
      <w:pPr>
        <w:spacing w:line="360" w:lineRule="auto"/>
        <w:ind w:firstLine="709"/>
        <w:rPr>
          <w:rFonts w:ascii="Arial" w:hAnsi="Arial" w:cs="Arial"/>
          <w:b/>
          <w:bCs/>
          <w:sz w:val="26"/>
          <w:szCs w:val="26"/>
        </w:rPr>
      </w:pPr>
      <w:r w:rsidRPr="00254021">
        <w:rPr>
          <w:rFonts w:ascii="Arial" w:hAnsi="Arial" w:cs="Arial"/>
          <w:b/>
          <w:bCs/>
          <w:sz w:val="26"/>
          <w:szCs w:val="26"/>
        </w:rPr>
        <w:t xml:space="preserve">SEGUNDO. </w:t>
      </w:r>
      <w:r w:rsidR="009E1ACE" w:rsidRPr="00254021">
        <w:rPr>
          <w:rFonts w:ascii="Arial" w:hAnsi="Arial" w:cs="Arial"/>
          <w:b/>
          <w:bCs/>
          <w:sz w:val="26"/>
          <w:szCs w:val="26"/>
        </w:rPr>
        <w:t>ACUERDO RECURRIDO</w:t>
      </w:r>
      <w:r w:rsidR="00596348" w:rsidRPr="00254021">
        <w:rPr>
          <w:rFonts w:ascii="Arial" w:hAnsi="Arial" w:cs="Arial"/>
          <w:b/>
          <w:bCs/>
          <w:sz w:val="26"/>
          <w:szCs w:val="26"/>
        </w:rPr>
        <w:t>.</w:t>
      </w:r>
    </w:p>
    <w:p w14:paraId="253E59FF" w14:textId="416DFE47" w:rsidR="00B0089F" w:rsidRPr="002417AF" w:rsidRDefault="002417AF" w:rsidP="002417AF">
      <w:pPr>
        <w:spacing w:line="360" w:lineRule="auto"/>
        <w:ind w:right="48" w:firstLine="567"/>
        <w:jc w:val="both"/>
        <w:rPr>
          <w:rFonts w:ascii="Arial" w:hAnsi="Arial" w:cs="Arial"/>
          <w:bCs/>
          <w:spacing w:val="-3"/>
          <w:sz w:val="26"/>
          <w:szCs w:val="26"/>
          <w:lang w:val="es-ES_tradnl"/>
        </w:rPr>
      </w:pPr>
      <w:r>
        <w:rPr>
          <w:rFonts w:ascii="Arial" w:hAnsi="Arial" w:cs="Arial"/>
          <w:bCs/>
          <w:spacing w:val="-3"/>
          <w:sz w:val="26"/>
          <w:szCs w:val="26"/>
          <w:lang w:val="es-ES_tradnl"/>
        </w:rPr>
        <w:t xml:space="preserve">3. </w:t>
      </w:r>
      <w:r w:rsidR="003F065E" w:rsidRPr="002417AF">
        <w:rPr>
          <w:rFonts w:ascii="Arial" w:hAnsi="Arial" w:cs="Arial"/>
          <w:bCs/>
          <w:spacing w:val="-3"/>
          <w:sz w:val="26"/>
          <w:szCs w:val="26"/>
          <w:lang w:val="es-ES_tradnl"/>
        </w:rPr>
        <w:t xml:space="preserve">Por auto de </w:t>
      </w:r>
      <w:r w:rsidR="007C5B3F">
        <w:rPr>
          <w:rFonts w:ascii="Arial" w:eastAsia="Times New Roman" w:hAnsi="Arial" w:cs="Arial"/>
          <w:sz w:val="26"/>
          <w:szCs w:val="26"/>
          <w:lang w:val="es-ES_tradnl" w:eastAsia="es-ES"/>
        </w:rPr>
        <w:t xml:space="preserve">trece de febrero </w:t>
      </w:r>
      <w:r w:rsidR="007C5B3F" w:rsidRPr="000D730C">
        <w:rPr>
          <w:rFonts w:ascii="Arial" w:eastAsia="Times New Roman" w:hAnsi="Arial" w:cs="Arial"/>
          <w:sz w:val="26"/>
          <w:szCs w:val="26"/>
          <w:lang w:val="es-ES_tradnl" w:eastAsia="es-ES"/>
        </w:rPr>
        <w:t>de</w:t>
      </w:r>
      <w:r w:rsidR="007C5B3F">
        <w:rPr>
          <w:rFonts w:ascii="Arial" w:eastAsia="Times New Roman" w:hAnsi="Arial" w:cs="Arial"/>
          <w:sz w:val="26"/>
          <w:szCs w:val="26"/>
          <w:lang w:val="es-ES_tradnl" w:eastAsia="es-ES"/>
        </w:rPr>
        <w:t xml:space="preserve"> dos mil </w:t>
      </w:r>
      <w:r w:rsidR="007C5B3F" w:rsidRPr="0089592F">
        <w:rPr>
          <w:rFonts w:ascii="Arial" w:eastAsia="Times New Roman" w:hAnsi="Arial" w:cs="Arial"/>
          <w:sz w:val="26"/>
          <w:szCs w:val="26"/>
          <w:lang w:val="es-ES_tradnl" w:eastAsia="es-ES"/>
        </w:rPr>
        <w:t>veintitrés,</w:t>
      </w:r>
      <w:r w:rsidR="007C5B3F">
        <w:rPr>
          <w:rFonts w:ascii="Arial" w:eastAsia="Times New Roman" w:hAnsi="Arial" w:cs="Arial"/>
          <w:sz w:val="26"/>
          <w:szCs w:val="26"/>
          <w:lang w:val="es-ES_tradnl" w:eastAsia="es-ES"/>
        </w:rPr>
        <w:t xml:space="preserve"> </w:t>
      </w:r>
      <w:r w:rsidR="00254021">
        <w:rPr>
          <w:rFonts w:ascii="Arial" w:hAnsi="Arial" w:cs="Arial"/>
          <w:bCs/>
          <w:spacing w:val="-3"/>
          <w:sz w:val="26"/>
          <w:szCs w:val="26"/>
          <w:lang w:val="es-ES_tradnl"/>
        </w:rPr>
        <w:t>dictado d</w:t>
      </w:r>
      <w:r w:rsidR="007C5B3F">
        <w:rPr>
          <w:rFonts w:ascii="Arial" w:hAnsi="Arial" w:cs="Arial"/>
          <w:bCs/>
          <w:spacing w:val="-3"/>
          <w:sz w:val="26"/>
          <w:szCs w:val="26"/>
          <w:lang w:val="es-ES_tradnl"/>
        </w:rPr>
        <w:t>entro del juicio de nulidad 0013</w:t>
      </w:r>
      <w:r w:rsidR="00254021">
        <w:rPr>
          <w:rFonts w:ascii="Arial" w:hAnsi="Arial" w:cs="Arial"/>
          <w:bCs/>
          <w:spacing w:val="-3"/>
          <w:sz w:val="26"/>
          <w:szCs w:val="26"/>
          <w:lang w:val="es-ES_tradnl"/>
        </w:rPr>
        <w:t xml:space="preserve">/2023, </w:t>
      </w:r>
      <w:r w:rsidR="00B0089F" w:rsidRPr="002417AF">
        <w:rPr>
          <w:rFonts w:ascii="Arial" w:hAnsi="Arial" w:cs="Arial"/>
          <w:bCs/>
          <w:spacing w:val="-3"/>
          <w:sz w:val="26"/>
          <w:szCs w:val="26"/>
          <w:lang w:val="es-ES_tradnl"/>
        </w:rPr>
        <w:t>la T</w:t>
      </w:r>
      <w:r w:rsidR="003F065E" w:rsidRPr="002417AF">
        <w:rPr>
          <w:rFonts w:ascii="Arial" w:hAnsi="Arial" w:cs="Arial"/>
          <w:bCs/>
          <w:spacing w:val="-3"/>
          <w:sz w:val="26"/>
          <w:szCs w:val="26"/>
          <w:lang w:val="es-ES_tradnl"/>
        </w:rPr>
        <w:t xml:space="preserve">ercera Sala Unitaria </w:t>
      </w:r>
      <w:r w:rsidR="00254021">
        <w:rPr>
          <w:rFonts w:ascii="Arial" w:hAnsi="Arial" w:cs="Arial"/>
          <w:bCs/>
          <w:spacing w:val="-3"/>
          <w:sz w:val="26"/>
          <w:szCs w:val="26"/>
          <w:lang w:val="es-ES_tradnl"/>
        </w:rPr>
        <w:t xml:space="preserve">de Primera Instancia </w:t>
      </w:r>
      <w:r w:rsidR="003F065E" w:rsidRPr="002417AF">
        <w:rPr>
          <w:rFonts w:ascii="Arial" w:hAnsi="Arial" w:cs="Arial"/>
          <w:b/>
          <w:bCs/>
          <w:spacing w:val="-3"/>
          <w:sz w:val="26"/>
          <w:szCs w:val="26"/>
          <w:lang w:val="es-ES_tradnl"/>
        </w:rPr>
        <w:t>desech</w:t>
      </w:r>
      <w:r w:rsidR="00B0089F" w:rsidRPr="002417AF">
        <w:rPr>
          <w:rFonts w:ascii="Arial" w:hAnsi="Arial" w:cs="Arial"/>
          <w:b/>
          <w:bCs/>
          <w:spacing w:val="-3"/>
          <w:sz w:val="26"/>
          <w:szCs w:val="26"/>
          <w:lang w:val="es-ES_tradnl"/>
        </w:rPr>
        <w:t>ó</w:t>
      </w:r>
      <w:r w:rsidR="003F065E" w:rsidRPr="002417AF">
        <w:rPr>
          <w:rFonts w:ascii="Arial" w:hAnsi="Arial" w:cs="Arial"/>
          <w:b/>
          <w:bCs/>
          <w:spacing w:val="-3"/>
          <w:sz w:val="26"/>
          <w:szCs w:val="26"/>
          <w:lang w:val="es-ES_tradnl"/>
        </w:rPr>
        <w:t xml:space="preserve"> la demanda</w:t>
      </w:r>
      <w:r w:rsidR="003F065E" w:rsidRPr="002417AF">
        <w:rPr>
          <w:rFonts w:ascii="Arial" w:hAnsi="Arial" w:cs="Arial"/>
          <w:bCs/>
          <w:spacing w:val="-3"/>
          <w:sz w:val="26"/>
          <w:szCs w:val="26"/>
          <w:lang w:val="es-ES_tradnl"/>
        </w:rPr>
        <w:t>,</w:t>
      </w:r>
      <w:r w:rsidR="00F762F3" w:rsidRPr="002417AF">
        <w:rPr>
          <w:rFonts w:ascii="Arial" w:hAnsi="Arial" w:cs="Arial"/>
          <w:bCs/>
          <w:spacing w:val="-3"/>
          <w:sz w:val="26"/>
          <w:szCs w:val="26"/>
          <w:lang w:val="es-ES_tradnl"/>
        </w:rPr>
        <w:t xml:space="preserve"> </w:t>
      </w:r>
      <w:r w:rsidR="008A2895" w:rsidRPr="002417AF">
        <w:rPr>
          <w:rFonts w:ascii="Arial" w:hAnsi="Arial" w:cs="Arial"/>
          <w:bCs/>
          <w:spacing w:val="-3"/>
          <w:sz w:val="26"/>
          <w:szCs w:val="26"/>
          <w:lang w:val="es-ES_tradnl"/>
        </w:rPr>
        <w:t xml:space="preserve">con </w:t>
      </w:r>
      <w:r w:rsidR="00E46DCF" w:rsidRPr="002417AF">
        <w:rPr>
          <w:rFonts w:ascii="Arial" w:hAnsi="Arial" w:cs="Arial"/>
          <w:bCs/>
          <w:spacing w:val="-3"/>
          <w:sz w:val="26"/>
          <w:szCs w:val="26"/>
          <w:lang w:val="es-ES_tradnl"/>
        </w:rPr>
        <w:t>base</w:t>
      </w:r>
      <w:r w:rsidR="008A2895" w:rsidRPr="002417AF">
        <w:rPr>
          <w:rFonts w:ascii="Arial" w:hAnsi="Arial" w:cs="Arial"/>
          <w:bCs/>
          <w:spacing w:val="-3"/>
          <w:sz w:val="26"/>
          <w:szCs w:val="26"/>
          <w:lang w:val="es-ES_tradnl"/>
        </w:rPr>
        <w:t>, en lo que importa,</w:t>
      </w:r>
      <w:r w:rsidR="00434197" w:rsidRPr="002417AF">
        <w:rPr>
          <w:rFonts w:ascii="Arial" w:hAnsi="Arial" w:cs="Arial"/>
          <w:bCs/>
          <w:spacing w:val="-3"/>
          <w:sz w:val="26"/>
          <w:szCs w:val="26"/>
          <w:lang w:val="es-ES_tradnl"/>
        </w:rPr>
        <w:t xml:space="preserve"> en</w:t>
      </w:r>
      <w:r w:rsidR="00E46DCF" w:rsidRPr="002417AF">
        <w:rPr>
          <w:rFonts w:ascii="Arial" w:hAnsi="Arial" w:cs="Arial"/>
          <w:bCs/>
          <w:spacing w:val="-3"/>
          <w:sz w:val="26"/>
          <w:szCs w:val="26"/>
          <w:lang w:val="es-ES_tradnl"/>
        </w:rPr>
        <w:t xml:space="preserve"> lo siguiente</w:t>
      </w:r>
      <w:r w:rsidR="003F065E" w:rsidRPr="002417AF">
        <w:rPr>
          <w:rFonts w:ascii="Arial" w:hAnsi="Arial" w:cs="Arial"/>
          <w:bCs/>
          <w:spacing w:val="-3"/>
          <w:sz w:val="26"/>
          <w:szCs w:val="26"/>
          <w:lang w:val="es-ES_tradnl"/>
        </w:rPr>
        <w:t>:</w:t>
      </w:r>
    </w:p>
    <w:p w14:paraId="2CB3EE23" w14:textId="7FA67580" w:rsidR="009D6D8A" w:rsidRDefault="009D6D8A" w:rsidP="009D6D8A">
      <w:pPr>
        <w:spacing w:line="360" w:lineRule="auto"/>
        <w:ind w:left="567" w:right="616"/>
        <w:jc w:val="both"/>
        <w:rPr>
          <w:rFonts w:ascii="Arial" w:hAnsi="Arial" w:cs="Arial"/>
          <w:bCs/>
          <w:i/>
          <w:iCs/>
        </w:rPr>
      </w:pPr>
      <w:r>
        <w:rPr>
          <w:rFonts w:ascii="Arial" w:hAnsi="Arial" w:cs="Arial"/>
          <w:bCs/>
          <w:i/>
          <w:iCs/>
        </w:rPr>
        <w:t xml:space="preserve">“De lo transcrito se advierte, que el acto impugnado en este asunto, no encuadra en los supuestos previstos en la fracción II del artículo 133 de la Ley que rige a este Tribunal, esto es así, pues para que un acto administrativo tenga la naturaleza de crédito fiscal impugnable a través del juicio de nulidad, </w:t>
      </w:r>
      <w:r w:rsidRPr="00C006B9">
        <w:rPr>
          <w:rFonts w:ascii="Arial" w:hAnsi="Arial" w:cs="Arial"/>
          <w:b/>
          <w:bCs/>
          <w:i/>
          <w:iCs/>
        </w:rPr>
        <w:t>es necesaria la emisión de una resolución en la que se determine un adeudo en cantidad liquida o se fijen las bases para su liquidación; que ésta se notifique al contribuyente, se le otorgue un plazo para su cumplimiento, esto es, para el pago del adeudo y que, ante su omisión, sea exigible a través del procedimiento administrativo de ejecución;</w:t>
      </w:r>
      <w:r>
        <w:rPr>
          <w:rFonts w:ascii="Arial" w:hAnsi="Arial" w:cs="Arial"/>
          <w:bCs/>
          <w:i/>
          <w:iCs/>
        </w:rPr>
        <w:t xml:space="preserve"> por tanto, los recibos de pago, como en el caso el recibo de pago denominado “Comprobante Fiscal </w:t>
      </w:r>
      <w:r>
        <w:rPr>
          <w:rFonts w:ascii="Arial" w:hAnsi="Arial" w:cs="Arial"/>
          <w:bCs/>
          <w:i/>
          <w:iCs/>
        </w:rPr>
        <w:lastRenderedPageBreak/>
        <w:t xml:space="preserve">Digital por Internet, FOLIO DE IMPRESIÓN: CAJA 14-0004562”, de fecha de emisión, “2023-01-20T14:23:28”, no es impugnable en términos del referido artículo 133 fracción II de la Ley de Procedimiento y Justicia Administrativa para el Estado de Oaxaca; en virtud de que si bien es cierto que dicho recibo de pago contiene una cantidad total a pagar, también lo es que </w:t>
      </w:r>
      <w:r w:rsidRPr="008B7EAD">
        <w:rPr>
          <w:rFonts w:ascii="Arial" w:hAnsi="Arial" w:cs="Arial"/>
          <w:b/>
          <w:bCs/>
          <w:i/>
          <w:iCs/>
        </w:rPr>
        <w:t>ello no lo convierte en una resolución determinante de un crédito fiscal,</w:t>
      </w:r>
      <w:r>
        <w:rPr>
          <w:rFonts w:ascii="Arial" w:hAnsi="Arial" w:cs="Arial"/>
          <w:bCs/>
          <w:i/>
          <w:iCs/>
        </w:rPr>
        <w:t xml:space="preserve"> ya que únicamente ese tipo de recibos son instrumentos o formatos para el pago, y en ellos </w:t>
      </w:r>
      <w:r w:rsidRPr="00A9582C">
        <w:rPr>
          <w:rFonts w:ascii="Arial" w:hAnsi="Arial" w:cs="Arial"/>
          <w:b/>
          <w:bCs/>
          <w:i/>
          <w:iCs/>
        </w:rPr>
        <w:t>no se establece un adeudo en cantidad líquida que derive un procedimiento fiscalizador instaurado por una autoridad;</w:t>
      </w:r>
      <w:r>
        <w:rPr>
          <w:rFonts w:ascii="Arial" w:hAnsi="Arial" w:cs="Arial"/>
          <w:bCs/>
          <w:i/>
          <w:iCs/>
        </w:rPr>
        <w:t xml:space="preserve"> tampoco determina la existencia de una obligación fiscal ni establece un plazo perentorio para que el particular cubra dicho adeudo con el apercibimiento de que, de no hacerlo, se hará efectivo a través del aludido procedimiento.   </w:t>
      </w:r>
    </w:p>
    <w:p w14:paraId="0DC381F8" w14:textId="77777777" w:rsidR="009D6D8A" w:rsidRPr="00684576" w:rsidRDefault="009D6D8A" w:rsidP="009D6D8A">
      <w:pPr>
        <w:spacing w:line="360" w:lineRule="auto"/>
        <w:ind w:left="567" w:right="616"/>
        <w:jc w:val="both"/>
        <w:rPr>
          <w:rFonts w:ascii="Arial" w:hAnsi="Arial" w:cs="Arial"/>
          <w:b/>
          <w:bCs/>
          <w:i/>
          <w:iCs/>
        </w:rPr>
      </w:pPr>
      <w:r>
        <w:rPr>
          <w:rFonts w:ascii="Arial" w:hAnsi="Arial" w:cs="Arial"/>
          <w:bCs/>
          <w:i/>
          <w:iCs/>
        </w:rPr>
        <w:t xml:space="preserve">Sirve de apoyo a lo anterior, la Jurisprudencia con datos de identificación: Semanario Judicial de la Federación y su Gaceta, Libro XXII, Julio de 2013, Tomo 2, Decima época, pagina 1529, registro 2004068, Tesis Aislada Administrativa, Tribunales Colegiados de Circuito, de rubro: </w:t>
      </w:r>
      <w:r w:rsidRPr="00684576">
        <w:rPr>
          <w:rFonts w:ascii="Arial" w:hAnsi="Arial" w:cs="Arial"/>
          <w:b/>
          <w:bCs/>
          <w:i/>
          <w:iCs/>
        </w:rPr>
        <w:t>“RECIBOS DE PAGO POR CONSUMO DE AGUA POTABLE Y DRENAJE EXPEDIDOS POR LOS ARGANISMOS OPERADORES MUNICIPALES DE ESOS SERVICIOS DEL ESTADO DE TAMAULIPAS. NO SON IMPUGNABLES A TRAVES DEL JUICIO DE NULIDAD EN TERMINOS DEL ARTÍCULO 195, FRACCIONES I Y III, DEL CODIGO FISCAL LOCAL, AL NO SER RESOLUCIONES DETERMINANTES DE UN CRÉDITO FISCAL.”</w:t>
      </w:r>
    </w:p>
    <w:p w14:paraId="205DD07D" w14:textId="77777777" w:rsidR="009D6D8A" w:rsidRDefault="009D6D8A" w:rsidP="009D6D8A">
      <w:pPr>
        <w:spacing w:line="360" w:lineRule="auto"/>
        <w:ind w:left="567" w:right="616"/>
        <w:jc w:val="both"/>
        <w:rPr>
          <w:rFonts w:ascii="Arial" w:hAnsi="Arial" w:cs="Arial"/>
          <w:bCs/>
          <w:i/>
          <w:iCs/>
        </w:rPr>
      </w:pPr>
      <w:r>
        <w:rPr>
          <w:rFonts w:ascii="Arial" w:hAnsi="Arial" w:cs="Arial"/>
          <w:bCs/>
          <w:i/>
          <w:iCs/>
        </w:rPr>
        <w:t xml:space="preserve">Por otra parte, esta Juzgadora advierte del contenido del escrito de demanda, que el actor refiere </w:t>
      </w:r>
      <w:proofErr w:type="spellStart"/>
      <w:r>
        <w:rPr>
          <w:rFonts w:ascii="Arial" w:hAnsi="Arial" w:cs="Arial"/>
          <w:bCs/>
          <w:i/>
          <w:iCs/>
        </w:rPr>
        <w:t>haber</w:t>
      </w:r>
      <w:proofErr w:type="spellEnd"/>
      <w:r>
        <w:rPr>
          <w:rFonts w:ascii="Arial" w:hAnsi="Arial" w:cs="Arial"/>
          <w:bCs/>
          <w:i/>
          <w:iCs/>
        </w:rPr>
        <w:t xml:space="preserve"> interpuesto un Juicio de Amparo previamente, el cual se instauró ante el Juzgado Cuarto de Distrito en el Estado bajo el número 562/2022, en el cual le fue concedida la protección federal para el efecto de que la Tesorería Municipal de Oaxaca de Juárez, Oaxaca, desincorpora de la esfera jurídica de su representada, el artículo 101, fracción I, numeral 2, inciso </w:t>
      </w:r>
      <w:proofErr w:type="spellStart"/>
      <w:r>
        <w:rPr>
          <w:rFonts w:ascii="Arial" w:hAnsi="Arial" w:cs="Arial"/>
          <w:bCs/>
          <w:i/>
          <w:iCs/>
        </w:rPr>
        <w:t>ff</w:t>
      </w:r>
      <w:proofErr w:type="spellEnd"/>
      <w:r>
        <w:rPr>
          <w:rFonts w:ascii="Arial" w:hAnsi="Arial" w:cs="Arial"/>
          <w:bCs/>
          <w:i/>
          <w:iCs/>
        </w:rPr>
        <w:t xml:space="preserve">) de la Ley de Ingresos del Municipio de Oaxaca de Juárez, Oaxaca, para el ejercicio fiscal dos mil veintidós, lo cual, refiere, abarca el local ubicado en Modulo H número 6, Local 10, Colonia Centro, Oaxaca de Juárez, Oaxaca, y si de las consideraciones remitidas se advierte que dicho Juicio de Amparo se encuentra en etapa de ejecución de sentencia (conforme al acuerdo dictado el veintiséis de diciembre de dos mil veintidós), en consecuencia, </w:t>
      </w:r>
      <w:r w:rsidRPr="00684576">
        <w:rPr>
          <w:rFonts w:ascii="Arial" w:hAnsi="Arial" w:cs="Arial"/>
          <w:b/>
          <w:bCs/>
          <w:i/>
          <w:iCs/>
        </w:rPr>
        <w:t xml:space="preserve">se actualiza la causal de improcedencia </w:t>
      </w:r>
      <w:r>
        <w:rPr>
          <w:rFonts w:ascii="Arial" w:hAnsi="Arial" w:cs="Arial"/>
          <w:bCs/>
          <w:i/>
          <w:iCs/>
        </w:rPr>
        <w:t xml:space="preserve">del presente juicio prevista en la fracción VIII del artículo 161 de la Ley de Procedimiento y Justicia Administrativa para el Estado de Oaxaca, pues los derechos de la parte actora para inconformarse con el cumplimiento de la ejecutoria de amparo siguen vigentes ante el Juzgado Cuarto en el Estado. </w:t>
      </w:r>
    </w:p>
    <w:p w14:paraId="4A140EE2" w14:textId="77777777" w:rsidR="009D6D8A" w:rsidRDefault="009D6D8A" w:rsidP="009D6D8A">
      <w:pPr>
        <w:spacing w:line="360" w:lineRule="auto"/>
        <w:ind w:left="567" w:right="616"/>
        <w:jc w:val="both"/>
        <w:rPr>
          <w:rFonts w:ascii="Arial" w:hAnsi="Arial" w:cs="Arial"/>
          <w:bCs/>
          <w:i/>
          <w:iCs/>
        </w:rPr>
      </w:pPr>
      <w:r>
        <w:rPr>
          <w:rFonts w:ascii="Arial" w:hAnsi="Arial" w:cs="Arial"/>
          <w:bCs/>
          <w:i/>
          <w:iCs/>
        </w:rPr>
        <w:t xml:space="preserve">En consecuencia, al no existir hasta un acto definitivo o una resolución emitida por una autoridad fiscal en contra de la parte actora, que se encuentre en los supuestos del artículo 133 fracción II de la Ley de Procedimiento y Justicia Administrativa para el Estado de Oaxaca, implica que este </w:t>
      </w:r>
      <w:r w:rsidRPr="002C5BF3">
        <w:rPr>
          <w:rFonts w:ascii="Arial" w:hAnsi="Arial" w:cs="Arial"/>
          <w:b/>
          <w:bCs/>
          <w:i/>
          <w:iCs/>
        </w:rPr>
        <w:t>Juicio</w:t>
      </w:r>
      <w:r>
        <w:rPr>
          <w:rFonts w:ascii="Arial" w:hAnsi="Arial" w:cs="Arial"/>
          <w:bCs/>
          <w:i/>
          <w:iCs/>
        </w:rPr>
        <w:t xml:space="preserve"> sea </w:t>
      </w:r>
      <w:r w:rsidRPr="002C5BF3">
        <w:rPr>
          <w:rFonts w:ascii="Arial" w:hAnsi="Arial" w:cs="Arial"/>
          <w:b/>
          <w:bCs/>
          <w:i/>
          <w:iCs/>
        </w:rPr>
        <w:t>improcedente</w:t>
      </w:r>
      <w:r>
        <w:rPr>
          <w:rFonts w:ascii="Arial" w:hAnsi="Arial" w:cs="Arial"/>
          <w:bCs/>
          <w:i/>
          <w:iCs/>
        </w:rPr>
        <w:t xml:space="preserve">, de conformidad con lo dispuesto en los artículos 161 fracción </w:t>
      </w:r>
      <w:r>
        <w:rPr>
          <w:rFonts w:ascii="Arial" w:hAnsi="Arial" w:cs="Arial"/>
          <w:bCs/>
          <w:i/>
          <w:iCs/>
        </w:rPr>
        <w:lastRenderedPageBreak/>
        <w:t>X, y 182 fracción I, ambos de la Ley de Procedimiento y Justicia Administrativa para el Estado de Oaxaca.</w:t>
      </w:r>
    </w:p>
    <w:p w14:paraId="7E8BD086" w14:textId="05F280AC" w:rsidR="009D6D8A" w:rsidRDefault="009D6D8A" w:rsidP="009D6D8A">
      <w:pPr>
        <w:spacing w:line="360" w:lineRule="auto"/>
        <w:ind w:left="567" w:right="616"/>
        <w:jc w:val="both"/>
        <w:rPr>
          <w:rFonts w:ascii="Arial" w:hAnsi="Arial" w:cs="Arial"/>
          <w:bCs/>
          <w:i/>
          <w:iCs/>
        </w:rPr>
      </w:pPr>
      <w:r>
        <w:rPr>
          <w:rFonts w:ascii="Arial" w:hAnsi="Arial" w:cs="Arial"/>
          <w:bCs/>
          <w:i/>
          <w:iCs/>
        </w:rPr>
        <w:t>Sirve de apoyo a lo anterior, la tesis con datos de ubicación:   “</w:t>
      </w:r>
    </w:p>
    <w:p w14:paraId="258CE6C0" w14:textId="2C735F83" w:rsidR="00102315" w:rsidRPr="00EE4752" w:rsidRDefault="00B979B6" w:rsidP="002417AF">
      <w:pPr>
        <w:spacing w:line="360" w:lineRule="auto"/>
        <w:jc w:val="center"/>
        <w:rPr>
          <w:rFonts w:ascii="Arial" w:hAnsi="Arial" w:cs="Arial"/>
          <w:b/>
          <w:spacing w:val="-3"/>
          <w:sz w:val="26"/>
          <w:szCs w:val="26"/>
          <w:lang w:val="es-ES_tradnl"/>
        </w:rPr>
      </w:pPr>
      <w:r>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4EC959C1" w14:textId="535A417A" w:rsidR="002C2EE5" w:rsidRDefault="00102315" w:rsidP="00763651">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JURISDICCIÓN</w:t>
      </w:r>
      <w:r w:rsidR="00DC765E" w:rsidRPr="00EE4752">
        <w:rPr>
          <w:rFonts w:ascii="Arial" w:hAnsi="Arial" w:cs="Arial"/>
          <w:b/>
          <w:sz w:val="26"/>
          <w:szCs w:val="26"/>
        </w:rPr>
        <w:t>.</w:t>
      </w:r>
      <w:r w:rsidR="002C2EE5" w:rsidRPr="002C2EE5">
        <w:rPr>
          <w:rFonts w:ascii="Arial" w:hAnsi="Arial" w:cs="Arial"/>
          <w:b/>
          <w:sz w:val="26"/>
          <w:szCs w:val="26"/>
        </w:rPr>
        <w:t xml:space="preserve"> </w:t>
      </w:r>
    </w:p>
    <w:p w14:paraId="4ED35C60" w14:textId="1BDD6DA8" w:rsidR="002417AF" w:rsidRPr="000F39BF" w:rsidRDefault="002417AF" w:rsidP="000F39BF">
      <w:pPr>
        <w:spacing w:line="360" w:lineRule="auto"/>
        <w:ind w:firstLine="567"/>
        <w:jc w:val="both"/>
        <w:rPr>
          <w:rFonts w:ascii="Arial" w:hAnsi="Arial" w:cs="Arial"/>
          <w:sz w:val="26"/>
          <w:szCs w:val="26"/>
        </w:rPr>
      </w:pPr>
      <w:r>
        <w:rPr>
          <w:rFonts w:ascii="Arial" w:hAnsi="Arial" w:cs="Arial"/>
          <w:sz w:val="26"/>
          <w:szCs w:val="26"/>
        </w:rPr>
        <w:t xml:space="preserve">4. </w:t>
      </w:r>
      <w:r w:rsidRPr="002417AF">
        <w:rPr>
          <w:rFonts w:ascii="Arial" w:hAnsi="Arial" w:cs="Arial"/>
          <w:sz w:val="26"/>
          <w:szCs w:val="26"/>
        </w:rPr>
        <w:t xml:space="preserve">Esta Sala Superior del Tribunal de Justicia Administrativa y Combate a la Corrupción del Estado de Oaxaca ejerce jurisdicción y es competente para conocer del presente asunto, conforme a lo dispuesto por los </w:t>
      </w:r>
      <w:r w:rsidRPr="00403CFB">
        <w:rPr>
          <w:rFonts w:ascii="Arial" w:hAnsi="Arial" w:cs="Arial"/>
          <w:bCs/>
          <w:iCs/>
          <w:sz w:val="26"/>
          <w:szCs w:val="26"/>
        </w:rPr>
        <w:t xml:space="preserve">artículos 114 QUÁTER de la </w:t>
      </w:r>
      <w:r w:rsidRPr="00451BAD">
        <w:rPr>
          <w:rFonts w:ascii="Arial" w:hAnsi="Arial" w:cs="Arial"/>
          <w:bCs/>
          <w:i/>
          <w:iCs/>
          <w:sz w:val="26"/>
          <w:szCs w:val="26"/>
        </w:rPr>
        <w:t>Constitución Local</w:t>
      </w:r>
      <w:r w:rsidRPr="00403CFB">
        <w:rPr>
          <w:rFonts w:ascii="Arial" w:hAnsi="Arial" w:cs="Arial"/>
          <w:bCs/>
          <w:iCs/>
          <w:sz w:val="26"/>
          <w:szCs w:val="26"/>
        </w:rPr>
        <w:t>;</w:t>
      </w:r>
      <w:r>
        <w:rPr>
          <w:rFonts w:ascii="Arial" w:hAnsi="Arial" w:cs="Arial"/>
          <w:bCs/>
          <w:iCs/>
          <w:sz w:val="26"/>
          <w:szCs w:val="26"/>
        </w:rPr>
        <w:t xml:space="preserve"> </w:t>
      </w:r>
      <w:r w:rsidRPr="00455424">
        <w:rPr>
          <w:rFonts w:ascii="Arial" w:hAnsi="Arial" w:cs="Arial"/>
          <w:bCs/>
          <w:iCs/>
          <w:sz w:val="26"/>
          <w:szCs w:val="26"/>
        </w:rPr>
        <w:t xml:space="preserve">1 párrafo segundo, 2 párrafos primero y </w:t>
      </w:r>
      <w:r>
        <w:rPr>
          <w:rFonts w:ascii="Arial" w:hAnsi="Arial" w:cs="Arial"/>
          <w:bCs/>
          <w:iCs/>
          <w:sz w:val="26"/>
          <w:szCs w:val="26"/>
        </w:rPr>
        <w:t>tercero</w:t>
      </w:r>
      <w:r w:rsidRPr="00455424">
        <w:rPr>
          <w:rFonts w:ascii="Arial" w:hAnsi="Arial" w:cs="Arial"/>
          <w:bCs/>
          <w:iCs/>
          <w:sz w:val="26"/>
          <w:szCs w:val="26"/>
        </w:rPr>
        <w:t>, 4 fracción VIII, 2</w:t>
      </w:r>
      <w:r w:rsidR="000F39BF">
        <w:rPr>
          <w:rFonts w:ascii="Arial" w:hAnsi="Arial" w:cs="Arial"/>
          <w:bCs/>
          <w:iCs/>
          <w:sz w:val="26"/>
          <w:szCs w:val="26"/>
        </w:rPr>
        <w:t>3, 24 fracciones</w:t>
      </w:r>
      <w:r>
        <w:rPr>
          <w:rFonts w:ascii="Arial" w:hAnsi="Arial" w:cs="Arial"/>
          <w:bCs/>
          <w:iCs/>
          <w:sz w:val="26"/>
          <w:szCs w:val="26"/>
        </w:rPr>
        <w:t xml:space="preserve"> I</w:t>
      </w:r>
      <w:r w:rsidR="000F39BF">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w:t>
      </w:r>
      <w:r w:rsidRPr="00451BAD">
        <w:rPr>
          <w:rFonts w:ascii="Arial" w:hAnsi="Arial" w:cs="Arial"/>
          <w:bCs/>
          <w:i/>
          <w:iCs/>
          <w:sz w:val="26"/>
          <w:szCs w:val="26"/>
        </w:rPr>
        <w:t>Ley Orgánica</w:t>
      </w:r>
      <w:r w:rsidRPr="00455424">
        <w:rPr>
          <w:rFonts w:ascii="Arial" w:hAnsi="Arial" w:cs="Arial"/>
          <w:bCs/>
          <w:iCs/>
          <w:sz w:val="26"/>
          <w:szCs w:val="26"/>
        </w:rPr>
        <w:t>,</w:t>
      </w:r>
      <w:r>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000F39BF">
        <w:rPr>
          <w:rFonts w:ascii="Arial" w:hAnsi="Arial" w:cs="Arial"/>
          <w:bCs/>
          <w:iCs/>
          <w:sz w:val="26"/>
          <w:szCs w:val="26"/>
          <w:lang w:eastAsia="es-ES"/>
        </w:rPr>
        <w:t xml:space="preserve"> fracción I</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w:t>
      </w:r>
      <w:r w:rsidRPr="005177E8">
        <w:rPr>
          <w:rFonts w:ascii="Arial" w:hAnsi="Arial" w:cs="Arial"/>
          <w:bCs/>
          <w:i/>
          <w:iCs/>
          <w:sz w:val="26"/>
          <w:szCs w:val="26"/>
        </w:rPr>
        <w:t>la Ley de Procedimiento</w:t>
      </w:r>
      <w:r w:rsidRPr="00624207">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sidR="00254021" w:rsidRPr="002417AF">
        <w:rPr>
          <w:rFonts w:ascii="Arial" w:hAnsi="Arial" w:cs="Arial"/>
          <w:bCs/>
          <w:spacing w:val="-3"/>
          <w:sz w:val="26"/>
          <w:szCs w:val="26"/>
          <w:lang w:val="es-ES_tradnl"/>
        </w:rPr>
        <w:t xml:space="preserve">auto de </w:t>
      </w:r>
      <w:r w:rsidR="009D6D8A">
        <w:rPr>
          <w:rFonts w:ascii="Arial" w:hAnsi="Arial" w:cs="Arial"/>
          <w:bCs/>
          <w:spacing w:val="-3"/>
          <w:sz w:val="26"/>
          <w:szCs w:val="26"/>
          <w:lang w:val="es-ES_tradnl"/>
        </w:rPr>
        <w:t>trece de febrero</w:t>
      </w:r>
      <w:r w:rsidR="00254021" w:rsidRPr="002417AF">
        <w:rPr>
          <w:rFonts w:ascii="Arial" w:hAnsi="Arial" w:cs="Arial"/>
          <w:bCs/>
          <w:spacing w:val="-3"/>
          <w:sz w:val="26"/>
          <w:szCs w:val="26"/>
          <w:lang w:val="es-ES_tradnl"/>
        </w:rPr>
        <w:t xml:space="preserve"> del dos mil veintitrés</w:t>
      </w:r>
      <w:r w:rsidR="00254021">
        <w:rPr>
          <w:rFonts w:ascii="Arial" w:hAnsi="Arial" w:cs="Arial"/>
          <w:bCs/>
          <w:spacing w:val="-3"/>
          <w:sz w:val="26"/>
          <w:szCs w:val="26"/>
          <w:lang w:val="es-ES_tradnl"/>
        </w:rPr>
        <w:t xml:space="preserve"> (1</w:t>
      </w:r>
      <w:r w:rsidR="009D6D8A">
        <w:rPr>
          <w:rFonts w:ascii="Arial" w:hAnsi="Arial" w:cs="Arial"/>
          <w:bCs/>
          <w:spacing w:val="-3"/>
          <w:sz w:val="26"/>
          <w:szCs w:val="26"/>
          <w:lang w:val="es-ES_tradnl"/>
        </w:rPr>
        <w:t>3/02</w:t>
      </w:r>
      <w:r w:rsidR="00254021">
        <w:rPr>
          <w:rFonts w:ascii="Arial" w:hAnsi="Arial" w:cs="Arial"/>
          <w:bCs/>
          <w:spacing w:val="-3"/>
          <w:sz w:val="26"/>
          <w:szCs w:val="26"/>
          <w:lang w:val="es-ES_tradnl"/>
        </w:rPr>
        <w:t>/2023)</w:t>
      </w:r>
      <w:r w:rsidR="00254021" w:rsidRPr="002417AF">
        <w:rPr>
          <w:rFonts w:ascii="Arial" w:hAnsi="Arial" w:cs="Arial"/>
          <w:bCs/>
          <w:spacing w:val="-3"/>
          <w:sz w:val="26"/>
          <w:szCs w:val="26"/>
          <w:lang w:val="es-ES_tradnl"/>
        </w:rPr>
        <w:t xml:space="preserve">, </w:t>
      </w:r>
      <w:r w:rsidR="00254021">
        <w:rPr>
          <w:rFonts w:ascii="Arial" w:hAnsi="Arial" w:cs="Arial"/>
          <w:bCs/>
          <w:spacing w:val="-3"/>
          <w:sz w:val="26"/>
          <w:szCs w:val="26"/>
          <w:lang w:val="es-ES_tradnl"/>
        </w:rPr>
        <w:t>dictado d</w:t>
      </w:r>
      <w:r w:rsidR="009D6D8A">
        <w:rPr>
          <w:rFonts w:ascii="Arial" w:hAnsi="Arial" w:cs="Arial"/>
          <w:bCs/>
          <w:spacing w:val="-3"/>
          <w:sz w:val="26"/>
          <w:szCs w:val="26"/>
          <w:lang w:val="es-ES_tradnl"/>
        </w:rPr>
        <w:t>entro del juicio de nulidad 0013</w:t>
      </w:r>
      <w:r w:rsidR="00254021">
        <w:rPr>
          <w:rFonts w:ascii="Arial" w:hAnsi="Arial" w:cs="Arial"/>
          <w:bCs/>
          <w:spacing w:val="-3"/>
          <w:sz w:val="26"/>
          <w:szCs w:val="26"/>
          <w:lang w:val="es-ES_tradnl"/>
        </w:rPr>
        <w:t xml:space="preserve">/2023, de </w:t>
      </w:r>
      <w:r w:rsidR="00254021" w:rsidRPr="002417AF">
        <w:rPr>
          <w:rFonts w:ascii="Arial" w:hAnsi="Arial" w:cs="Arial"/>
          <w:bCs/>
          <w:spacing w:val="-3"/>
          <w:sz w:val="26"/>
          <w:szCs w:val="26"/>
          <w:lang w:val="es-ES_tradnl"/>
        </w:rPr>
        <w:t xml:space="preserve">la Tercera Sala Unitaria </w:t>
      </w:r>
      <w:r w:rsidR="00254021">
        <w:rPr>
          <w:rFonts w:ascii="Arial" w:hAnsi="Arial" w:cs="Arial"/>
          <w:bCs/>
          <w:spacing w:val="-3"/>
          <w:sz w:val="26"/>
          <w:szCs w:val="26"/>
          <w:lang w:val="es-ES_tradnl"/>
        </w:rPr>
        <w:t xml:space="preserve">de Primera Instancia que </w:t>
      </w:r>
      <w:r w:rsidR="00254021" w:rsidRPr="002417AF">
        <w:rPr>
          <w:rFonts w:ascii="Arial" w:hAnsi="Arial" w:cs="Arial"/>
          <w:b/>
          <w:bCs/>
          <w:spacing w:val="-3"/>
          <w:sz w:val="26"/>
          <w:szCs w:val="26"/>
          <w:lang w:val="es-ES_tradnl"/>
        </w:rPr>
        <w:t>desechó la demanda</w:t>
      </w:r>
      <w:r w:rsidRPr="008738EC">
        <w:rPr>
          <w:rFonts w:ascii="Arial" w:hAnsi="Arial" w:cs="Arial"/>
          <w:bCs/>
          <w:iCs/>
          <w:sz w:val="26"/>
          <w:szCs w:val="26"/>
        </w:rPr>
        <w:t xml:space="preserve">. </w:t>
      </w:r>
    </w:p>
    <w:p w14:paraId="37EE72C6" w14:textId="37072DE4" w:rsidR="00012FB2" w:rsidRPr="00EE4752" w:rsidRDefault="003A7290" w:rsidP="003A7290">
      <w:pPr>
        <w:spacing w:line="360" w:lineRule="auto"/>
        <w:ind w:firstLine="709"/>
        <w:jc w:val="both"/>
        <w:rPr>
          <w:rFonts w:ascii="Arial" w:hAnsi="Arial" w:cs="Arial"/>
          <w:b/>
          <w:snapToGrid w:val="0"/>
          <w:sz w:val="26"/>
          <w:szCs w:val="26"/>
        </w:rPr>
      </w:pPr>
      <w:r>
        <w:rPr>
          <w:rFonts w:ascii="Arial" w:hAnsi="Arial" w:cs="Arial"/>
          <w:b/>
          <w:sz w:val="26"/>
          <w:szCs w:val="26"/>
        </w:rPr>
        <w:t xml:space="preserve">SEGUNDO. </w:t>
      </w:r>
      <w:r w:rsidR="00012FB2">
        <w:rPr>
          <w:rFonts w:ascii="Arial" w:hAnsi="Arial" w:cs="Arial"/>
          <w:b/>
          <w:snapToGrid w:val="0"/>
          <w:sz w:val="26"/>
          <w:szCs w:val="26"/>
        </w:rPr>
        <w:t>AGRAVIOS</w:t>
      </w:r>
      <w:r w:rsidR="00012FB2" w:rsidRPr="00EE4752">
        <w:rPr>
          <w:rFonts w:ascii="Arial" w:hAnsi="Arial" w:cs="Arial"/>
          <w:b/>
          <w:snapToGrid w:val="0"/>
          <w:sz w:val="26"/>
          <w:szCs w:val="26"/>
        </w:rPr>
        <w:t>.</w:t>
      </w:r>
    </w:p>
    <w:p w14:paraId="5787EAC8" w14:textId="621BA04F" w:rsidR="009E1ACE" w:rsidRPr="003A7290" w:rsidRDefault="003A7290" w:rsidP="002417AF">
      <w:pPr>
        <w:spacing w:line="360" w:lineRule="auto"/>
        <w:ind w:firstLine="708"/>
        <w:jc w:val="both"/>
        <w:rPr>
          <w:rFonts w:ascii="Arial" w:hAnsi="Arial" w:cs="Arial"/>
          <w:snapToGrid w:val="0"/>
          <w:sz w:val="26"/>
          <w:szCs w:val="26"/>
        </w:rPr>
      </w:pPr>
      <w:r>
        <w:rPr>
          <w:rFonts w:ascii="Arial" w:hAnsi="Arial" w:cs="Arial"/>
          <w:snapToGrid w:val="0"/>
          <w:sz w:val="26"/>
          <w:szCs w:val="26"/>
        </w:rPr>
        <w:t>5</w:t>
      </w:r>
      <w:r w:rsidR="006E7ABD" w:rsidRPr="009D7256">
        <w:rPr>
          <w:rFonts w:ascii="Arial" w:hAnsi="Arial" w:cs="Arial"/>
          <w:snapToGrid w:val="0"/>
          <w:sz w:val="26"/>
          <w:szCs w:val="26"/>
        </w:rPr>
        <w:t>.</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3A7290">
        <w:rPr>
          <w:rFonts w:ascii="Arial" w:hAnsi="Arial" w:cs="Arial"/>
          <w:b/>
          <w:bCs/>
          <w:i/>
          <w:color w:val="000000"/>
          <w:sz w:val="26"/>
          <w:szCs w:val="26"/>
        </w:rPr>
        <w:t>“CONCEPTOS DE VIOLACIÓN. NO ES OBLIGATORIO TRANSCRIBIRLOS EN LA SENTENCIA</w:t>
      </w:r>
      <w:r w:rsidR="000C7EB2" w:rsidRPr="003A7290">
        <w:rPr>
          <w:rStyle w:val="Refdenotaalpie"/>
          <w:rFonts w:ascii="Arial" w:hAnsi="Arial" w:cs="Arial"/>
          <w:b/>
          <w:bCs/>
          <w:i/>
          <w:color w:val="000000"/>
          <w:sz w:val="26"/>
          <w:szCs w:val="26"/>
        </w:rPr>
        <w:footnoteReference w:id="1"/>
      </w:r>
      <w:r w:rsidR="004A06DD" w:rsidRPr="003A7290">
        <w:rPr>
          <w:rFonts w:ascii="Arial" w:hAnsi="Arial" w:cs="Arial"/>
          <w:b/>
          <w:bCs/>
          <w:i/>
          <w:color w:val="000000"/>
          <w:sz w:val="26"/>
          <w:szCs w:val="26"/>
        </w:rPr>
        <w:t xml:space="preserve">”. - - - - - - - - - -  - - - - - - - - - - - - - </w:t>
      </w:r>
    </w:p>
    <w:p w14:paraId="5B3D2AD4" w14:textId="6B51C10F" w:rsidR="006E7ABD" w:rsidRDefault="003A7290" w:rsidP="002417AF">
      <w:pPr>
        <w:spacing w:line="360" w:lineRule="auto"/>
        <w:ind w:firstLine="567"/>
        <w:jc w:val="both"/>
        <w:rPr>
          <w:rFonts w:ascii="Arial" w:hAnsi="Arial" w:cs="Arial"/>
          <w:snapToGrid w:val="0"/>
          <w:sz w:val="26"/>
          <w:szCs w:val="26"/>
        </w:rPr>
      </w:pPr>
      <w:r>
        <w:rPr>
          <w:rFonts w:ascii="Arial" w:hAnsi="Arial" w:cs="Arial"/>
          <w:snapToGrid w:val="0"/>
          <w:sz w:val="26"/>
          <w:szCs w:val="26"/>
        </w:rPr>
        <w:lastRenderedPageBreak/>
        <w:t>6</w:t>
      </w:r>
      <w:r w:rsidR="004037F2">
        <w:rPr>
          <w:rFonts w:ascii="Arial" w:hAnsi="Arial" w:cs="Arial"/>
          <w:snapToGrid w:val="0"/>
          <w:sz w:val="26"/>
          <w:szCs w:val="26"/>
        </w:rPr>
        <w:t>.</w:t>
      </w:r>
      <w:r w:rsidR="006E7ABD" w:rsidRPr="00764542">
        <w:rPr>
          <w:rFonts w:ascii="Arial" w:hAnsi="Arial" w:cs="Arial"/>
          <w:snapToGrid w:val="0"/>
          <w:sz w:val="26"/>
          <w:szCs w:val="26"/>
        </w:rPr>
        <w:t xml:space="preserve"> Aun cuando no es necesaria la transcripción íntegra de los agravios formulado</w:t>
      </w:r>
      <w:r w:rsidR="00E22DB7">
        <w:rPr>
          <w:rFonts w:ascii="Arial" w:hAnsi="Arial" w:cs="Arial"/>
          <w:snapToGrid w:val="0"/>
          <w:sz w:val="26"/>
          <w:szCs w:val="26"/>
        </w:rPr>
        <w:t>s;</w:t>
      </w:r>
      <w:r w:rsidR="006E7ABD" w:rsidRPr="00764542">
        <w:rPr>
          <w:rFonts w:ascii="Arial" w:hAnsi="Arial" w:cs="Arial"/>
          <w:snapToGrid w:val="0"/>
          <w:sz w:val="26"/>
          <w:szCs w:val="26"/>
        </w:rPr>
        <w:t xml:space="preserve"> </w:t>
      </w:r>
      <w:r w:rsidR="007F2EA4">
        <w:rPr>
          <w:rFonts w:ascii="Arial" w:hAnsi="Arial" w:cs="Arial"/>
          <w:snapToGrid w:val="0"/>
          <w:sz w:val="26"/>
          <w:szCs w:val="26"/>
        </w:rPr>
        <w:t>es importante observar que</w:t>
      </w:r>
      <w:r w:rsidR="00AA750C" w:rsidRPr="00375671">
        <w:rPr>
          <w:rFonts w:ascii="Arial" w:hAnsi="Arial" w:cs="Arial"/>
          <w:snapToGrid w:val="0"/>
          <w:sz w:val="26"/>
          <w:szCs w:val="26"/>
        </w:rPr>
        <w:t>,</w:t>
      </w:r>
      <w:r w:rsidR="007F2EA4" w:rsidRPr="00375671">
        <w:rPr>
          <w:rFonts w:ascii="Arial" w:hAnsi="Arial" w:cs="Arial"/>
          <w:snapToGrid w:val="0"/>
          <w:sz w:val="26"/>
          <w:szCs w:val="26"/>
        </w:rPr>
        <w:t xml:space="preserve"> </w:t>
      </w:r>
      <w:r w:rsidR="006E7ABD" w:rsidRPr="00375671">
        <w:rPr>
          <w:rFonts w:ascii="Arial" w:hAnsi="Arial" w:cs="Arial"/>
          <w:snapToGrid w:val="0"/>
          <w:sz w:val="26"/>
          <w:szCs w:val="26"/>
        </w:rPr>
        <w:t xml:space="preserve">en </w:t>
      </w:r>
      <w:r w:rsidR="00962462" w:rsidRPr="00375671">
        <w:rPr>
          <w:rFonts w:ascii="Arial" w:hAnsi="Arial" w:cs="Arial"/>
          <w:snapToGrid w:val="0"/>
          <w:sz w:val="26"/>
          <w:szCs w:val="26"/>
        </w:rPr>
        <w:t>esencia</w:t>
      </w:r>
      <w:r w:rsidR="00AA750C" w:rsidRPr="00375671">
        <w:rPr>
          <w:rFonts w:ascii="Arial" w:hAnsi="Arial" w:cs="Arial"/>
          <w:snapToGrid w:val="0"/>
          <w:sz w:val="26"/>
          <w:szCs w:val="26"/>
        </w:rPr>
        <w:t>,</w:t>
      </w:r>
      <w:r w:rsidR="00962462">
        <w:rPr>
          <w:rFonts w:ascii="Arial" w:hAnsi="Arial" w:cs="Arial"/>
          <w:snapToGrid w:val="0"/>
          <w:sz w:val="26"/>
          <w:szCs w:val="26"/>
        </w:rPr>
        <w:t xml:space="preserve"> el recurrente</w:t>
      </w:r>
      <w:r w:rsidR="00913416">
        <w:rPr>
          <w:rFonts w:ascii="Arial" w:hAnsi="Arial" w:cs="Arial"/>
          <w:snapToGrid w:val="0"/>
          <w:sz w:val="26"/>
          <w:szCs w:val="26"/>
        </w:rPr>
        <w:t xml:space="preserve"> expone dos agravios, </w:t>
      </w:r>
      <w:r w:rsidR="00C4566E">
        <w:rPr>
          <w:rFonts w:ascii="Arial" w:hAnsi="Arial" w:cs="Arial"/>
          <w:snapToGrid w:val="0"/>
          <w:sz w:val="26"/>
          <w:szCs w:val="26"/>
        </w:rPr>
        <w:t>refiriendo</w:t>
      </w:r>
      <w:r w:rsidR="00FC4D41">
        <w:rPr>
          <w:rFonts w:ascii="Arial" w:hAnsi="Arial" w:cs="Arial"/>
          <w:snapToGrid w:val="0"/>
          <w:sz w:val="26"/>
          <w:szCs w:val="26"/>
        </w:rPr>
        <w:t xml:space="preserve"> en su </w:t>
      </w:r>
      <w:r w:rsidR="00FC4D41" w:rsidRPr="000C7EB2">
        <w:rPr>
          <w:rFonts w:ascii="Arial" w:hAnsi="Arial" w:cs="Arial"/>
          <w:snapToGrid w:val="0"/>
          <w:sz w:val="26"/>
          <w:szCs w:val="26"/>
        </w:rPr>
        <w:t>parte sustantiva</w:t>
      </w:r>
      <w:r w:rsidR="00487F70">
        <w:rPr>
          <w:rFonts w:ascii="Arial" w:hAnsi="Arial" w:cs="Arial"/>
          <w:snapToGrid w:val="0"/>
          <w:sz w:val="26"/>
          <w:szCs w:val="26"/>
        </w:rPr>
        <w:t>,</w:t>
      </w:r>
      <w:r w:rsidR="00FC4D41">
        <w:rPr>
          <w:rFonts w:ascii="Arial" w:hAnsi="Arial" w:cs="Arial"/>
          <w:snapToGrid w:val="0"/>
          <w:sz w:val="26"/>
          <w:szCs w:val="26"/>
        </w:rPr>
        <w:t xml:space="preserve"> </w:t>
      </w:r>
      <w:r w:rsidR="00CB4CEF">
        <w:rPr>
          <w:rFonts w:ascii="Arial" w:hAnsi="Arial" w:cs="Arial"/>
          <w:snapToGrid w:val="0"/>
          <w:sz w:val="26"/>
          <w:szCs w:val="26"/>
        </w:rPr>
        <w:t>lo siguiente</w:t>
      </w:r>
      <w:r w:rsidR="00913416">
        <w:rPr>
          <w:rFonts w:ascii="Arial" w:hAnsi="Arial" w:cs="Arial"/>
          <w:snapToGrid w:val="0"/>
          <w:sz w:val="26"/>
          <w:szCs w:val="26"/>
        </w:rPr>
        <w:t>:</w:t>
      </w:r>
      <w:r w:rsidR="00AA750C">
        <w:rPr>
          <w:rFonts w:ascii="Arial" w:hAnsi="Arial" w:cs="Arial"/>
          <w:snapToGrid w:val="0"/>
          <w:sz w:val="26"/>
          <w:szCs w:val="26"/>
        </w:rPr>
        <w:t xml:space="preserve"> - - - - - - - - - - - - </w:t>
      </w:r>
    </w:p>
    <w:p w14:paraId="667C6F70" w14:textId="306EECF7" w:rsidR="000C7EB2" w:rsidRPr="003A7290" w:rsidRDefault="003A7290" w:rsidP="00E32860">
      <w:pPr>
        <w:spacing w:line="360" w:lineRule="auto"/>
        <w:ind w:firstLine="567"/>
        <w:jc w:val="both"/>
        <w:rPr>
          <w:rFonts w:ascii="Arial" w:eastAsia="Times New Roman" w:hAnsi="Arial" w:cs="Arial"/>
          <w:bCs/>
          <w:sz w:val="26"/>
          <w:szCs w:val="26"/>
          <w:lang w:val="es-ES_tradnl" w:eastAsia="es-ES"/>
        </w:rPr>
      </w:pPr>
      <w:r>
        <w:rPr>
          <w:rFonts w:ascii="Arial" w:hAnsi="Arial" w:cs="Arial"/>
          <w:snapToGrid w:val="0"/>
          <w:sz w:val="26"/>
          <w:szCs w:val="26"/>
        </w:rPr>
        <w:t xml:space="preserve">7. </w:t>
      </w:r>
      <w:r w:rsidR="00B46DB6" w:rsidRPr="003A7290">
        <w:rPr>
          <w:rFonts w:ascii="Arial" w:hAnsi="Arial" w:cs="Arial"/>
          <w:snapToGrid w:val="0"/>
          <w:sz w:val="26"/>
          <w:szCs w:val="26"/>
        </w:rPr>
        <w:t>M</w:t>
      </w:r>
      <w:r w:rsidR="00B565C0" w:rsidRPr="003A7290">
        <w:rPr>
          <w:rFonts w:ascii="Arial" w:hAnsi="Arial" w:cs="Arial"/>
          <w:snapToGrid w:val="0"/>
          <w:sz w:val="26"/>
          <w:szCs w:val="26"/>
        </w:rPr>
        <w:t xml:space="preserve">anifiesta </w:t>
      </w:r>
      <w:r w:rsidR="00E22DB7" w:rsidRPr="003A7290">
        <w:rPr>
          <w:rFonts w:ascii="Arial" w:hAnsi="Arial" w:cs="Arial"/>
          <w:snapToGrid w:val="0"/>
          <w:sz w:val="26"/>
          <w:szCs w:val="26"/>
        </w:rPr>
        <w:t xml:space="preserve">que es ilegal que </w:t>
      </w:r>
      <w:r w:rsidR="00E22DB7" w:rsidRPr="003A7290">
        <w:rPr>
          <w:rFonts w:ascii="Arial" w:eastAsia="Times New Roman" w:hAnsi="Arial" w:cs="Arial"/>
          <w:bCs/>
          <w:sz w:val="26"/>
          <w:szCs w:val="26"/>
          <w:lang w:val="es-ES_tradnl" w:eastAsia="es-ES"/>
        </w:rPr>
        <w:t xml:space="preserve">la Tercera Sala Unitaria </w:t>
      </w:r>
      <w:r w:rsidR="007F2EA4" w:rsidRPr="003A7290">
        <w:rPr>
          <w:rFonts w:ascii="Arial" w:eastAsia="Times New Roman" w:hAnsi="Arial" w:cs="Arial"/>
          <w:bCs/>
          <w:sz w:val="26"/>
          <w:szCs w:val="26"/>
          <w:lang w:val="es-ES_tradnl" w:eastAsia="es-ES"/>
        </w:rPr>
        <w:t>determina</w:t>
      </w:r>
      <w:r w:rsidR="00375671" w:rsidRPr="003A7290">
        <w:rPr>
          <w:rFonts w:ascii="Arial" w:eastAsia="Times New Roman" w:hAnsi="Arial" w:cs="Arial"/>
          <w:bCs/>
          <w:sz w:val="26"/>
          <w:szCs w:val="26"/>
          <w:lang w:val="es-ES_tradnl" w:eastAsia="es-ES"/>
        </w:rPr>
        <w:t>ra</w:t>
      </w:r>
      <w:r w:rsidR="00E22DB7" w:rsidRPr="003A7290">
        <w:rPr>
          <w:rFonts w:ascii="Arial" w:eastAsia="Times New Roman" w:hAnsi="Arial" w:cs="Arial"/>
          <w:bCs/>
          <w:sz w:val="26"/>
          <w:szCs w:val="26"/>
          <w:lang w:val="es-ES_tradnl" w:eastAsia="es-ES"/>
        </w:rPr>
        <w:t xml:space="preserve"> </w:t>
      </w:r>
      <w:r w:rsidR="0020453C" w:rsidRPr="003A7290">
        <w:rPr>
          <w:rFonts w:ascii="Arial" w:eastAsia="Times New Roman" w:hAnsi="Arial" w:cs="Arial"/>
          <w:bCs/>
          <w:sz w:val="26"/>
          <w:szCs w:val="26"/>
          <w:lang w:val="es-ES_tradnl" w:eastAsia="es-ES"/>
        </w:rPr>
        <w:t>desecha</w:t>
      </w:r>
      <w:r w:rsidR="007F2EA4" w:rsidRPr="003A7290">
        <w:rPr>
          <w:rFonts w:ascii="Arial" w:eastAsia="Times New Roman" w:hAnsi="Arial" w:cs="Arial"/>
          <w:bCs/>
          <w:sz w:val="26"/>
          <w:szCs w:val="26"/>
          <w:lang w:val="es-ES_tradnl" w:eastAsia="es-ES"/>
        </w:rPr>
        <w:t>r</w:t>
      </w:r>
      <w:r w:rsidR="00E22DB7" w:rsidRPr="003A7290">
        <w:rPr>
          <w:rFonts w:ascii="Arial" w:eastAsia="Times New Roman" w:hAnsi="Arial" w:cs="Arial"/>
          <w:bCs/>
          <w:sz w:val="26"/>
          <w:szCs w:val="26"/>
          <w:lang w:val="es-ES_tradnl" w:eastAsia="es-ES"/>
        </w:rPr>
        <w:t xml:space="preserve"> la demanda, </w:t>
      </w:r>
      <w:r w:rsidR="00A22768" w:rsidRPr="003A7290">
        <w:rPr>
          <w:rFonts w:ascii="Arial" w:eastAsia="Times New Roman" w:hAnsi="Arial" w:cs="Arial"/>
          <w:bCs/>
          <w:sz w:val="26"/>
          <w:szCs w:val="26"/>
          <w:lang w:val="es-ES_tradnl" w:eastAsia="es-ES"/>
        </w:rPr>
        <w:t>en razón de que la misma paso por alto que, tanto en los hechos, como en el primer escrito de demanda, se manifest</w:t>
      </w:r>
      <w:r w:rsidR="00FE2D5D" w:rsidRPr="003A7290">
        <w:rPr>
          <w:rFonts w:ascii="Arial" w:eastAsia="Times New Roman" w:hAnsi="Arial" w:cs="Arial"/>
          <w:bCs/>
          <w:sz w:val="26"/>
          <w:szCs w:val="26"/>
          <w:lang w:val="es-ES_tradnl" w:eastAsia="es-ES"/>
        </w:rPr>
        <w:t>ó bajo protesta de decir verdad,</w:t>
      </w:r>
      <w:r w:rsidR="00A22768" w:rsidRPr="003A7290">
        <w:rPr>
          <w:rFonts w:ascii="Arial" w:eastAsia="Times New Roman" w:hAnsi="Arial" w:cs="Arial"/>
          <w:bCs/>
          <w:sz w:val="26"/>
          <w:szCs w:val="26"/>
          <w:lang w:val="es-ES_tradnl" w:eastAsia="es-ES"/>
        </w:rPr>
        <w:t xml:space="preserve"> que </w:t>
      </w:r>
      <w:r w:rsidR="00FE2D5D" w:rsidRPr="003A7290">
        <w:rPr>
          <w:rFonts w:ascii="Arial" w:eastAsia="Times New Roman" w:hAnsi="Arial" w:cs="Arial"/>
          <w:bCs/>
          <w:sz w:val="26"/>
          <w:szCs w:val="26"/>
          <w:lang w:val="es-ES_tradnl" w:eastAsia="es-ES"/>
        </w:rPr>
        <w:t xml:space="preserve">la resolución del procedimiento administrativo que dio origen a la multa impuesta y demás conceptos contenidos en el </w:t>
      </w:r>
      <w:r w:rsidR="00A22768" w:rsidRPr="003A7290">
        <w:rPr>
          <w:rFonts w:ascii="Arial" w:eastAsia="Times New Roman" w:hAnsi="Arial" w:cs="Arial"/>
          <w:bCs/>
          <w:sz w:val="26"/>
          <w:szCs w:val="26"/>
          <w:lang w:val="es-ES_tradnl" w:eastAsia="es-ES"/>
        </w:rPr>
        <w:t>comprobante digital número 14-004562</w:t>
      </w:r>
      <w:r w:rsidR="00FE2D5D" w:rsidRPr="003A7290">
        <w:rPr>
          <w:rFonts w:ascii="Arial" w:eastAsia="Times New Roman" w:hAnsi="Arial" w:cs="Arial"/>
          <w:bCs/>
          <w:sz w:val="26"/>
          <w:szCs w:val="26"/>
          <w:lang w:val="es-ES_tradnl" w:eastAsia="es-ES"/>
        </w:rPr>
        <w:t>.</w:t>
      </w:r>
    </w:p>
    <w:p w14:paraId="7F7DDF9D" w14:textId="5C84CEBF" w:rsidR="00CF6AB8" w:rsidRPr="003A7290" w:rsidRDefault="003A7290" w:rsidP="00E32860">
      <w:pPr>
        <w:spacing w:line="360" w:lineRule="auto"/>
        <w:ind w:firstLine="567"/>
        <w:jc w:val="both"/>
        <w:rPr>
          <w:rFonts w:ascii="Arial" w:hAnsi="Arial" w:cs="Arial"/>
          <w:sz w:val="24"/>
          <w:szCs w:val="24"/>
        </w:rPr>
      </w:pPr>
      <w:r>
        <w:rPr>
          <w:rFonts w:ascii="Arial" w:hAnsi="Arial" w:cs="Arial"/>
          <w:snapToGrid w:val="0"/>
          <w:sz w:val="26"/>
          <w:szCs w:val="26"/>
          <w:lang w:val="es-ES_tradnl"/>
        </w:rPr>
        <w:t xml:space="preserve">8. </w:t>
      </w:r>
      <w:r w:rsidR="00B565C0" w:rsidRPr="003A7290">
        <w:rPr>
          <w:rFonts w:ascii="Arial" w:hAnsi="Arial" w:cs="Arial"/>
          <w:snapToGrid w:val="0"/>
          <w:sz w:val="26"/>
          <w:szCs w:val="26"/>
        </w:rPr>
        <w:t xml:space="preserve">Inicia reiterando </w:t>
      </w:r>
      <w:r w:rsidR="00CF6AB8" w:rsidRPr="003A7290">
        <w:rPr>
          <w:rFonts w:ascii="Arial" w:hAnsi="Arial" w:cs="Arial"/>
          <w:snapToGrid w:val="0"/>
          <w:sz w:val="26"/>
          <w:szCs w:val="26"/>
        </w:rPr>
        <w:t xml:space="preserve">parte de lo señalado en su primer agravio y realiza un recuento de los antecedentes en el juicio de nulidad, </w:t>
      </w:r>
      <w:r w:rsidR="00FE2D5D" w:rsidRPr="003A7290">
        <w:rPr>
          <w:rFonts w:ascii="Arial" w:hAnsi="Arial" w:cs="Arial"/>
          <w:snapToGrid w:val="0"/>
          <w:sz w:val="26"/>
          <w:szCs w:val="26"/>
        </w:rPr>
        <w:t>así como de los efectos del amparo que le fue concedido a su poderdante.</w:t>
      </w:r>
      <w:r w:rsidRPr="003A7290">
        <w:rPr>
          <w:rFonts w:ascii="Arial" w:eastAsia="Times New Roman" w:hAnsi="Arial" w:cs="Arial"/>
          <w:bCs/>
          <w:sz w:val="26"/>
          <w:szCs w:val="26"/>
          <w:lang w:val="es-ES_tradnl" w:eastAsia="es-ES"/>
        </w:rPr>
        <w:t xml:space="preserve"> - - - - - - - - - - </w:t>
      </w:r>
    </w:p>
    <w:p w14:paraId="048BB829" w14:textId="13E889D7" w:rsidR="00F9293A" w:rsidRPr="003A7290" w:rsidRDefault="003A7290" w:rsidP="00E32860">
      <w:pPr>
        <w:spacing w:line="360" w:lineRule="auto"/>
        <w:ind w:firstLine="567"/>
        <w:jc w:val="both"/>
        <w:rPr>
          <w:rFonts w:ascii="Arial" w:hAnsi="Arial" w:cs="Arial"/>
          <w:b/>
          <w:snapToGrid w:val="0"/>
          <w:sz w:val="26"/>
          <w:szCs w:val="26"/>
        </w:rPr>
      </w:pPr>
      <w:r>
        <w:rPr>
          <w:rFonts w:ascii="Arial" w:hAnsi="Arial" w:cs="Arial"/>
          <w:snapToGrid w:val="0"/>
          <w:sz w:val="26"/>
          <w:szCs w:val="26"/>
        </w:rPr>
        <w:t xml:space="preserve">9. </w:t>
      </w:r>
      <w:r w:rsidR="00CF6AB8" w:rsidRPr="003A7290">
        <w:rPr>
          <w:rFonts w:ascii="Arial" w:hAnsi="Arial" w:cs="Arial"/>
          <w:snapToGrid w:val="0"/>
          <w:sz w:val="26"/>
          <w:szCs w:val="26"/>
        </w:rPr>
        <w:t xml:space="preserve">Concluyendo </w:t>
      </w:r>
      <w:r w:rsidR="00195765" w:rsidRPr="003A7290">
        <w:rPr>
          <w:rFonts w:ascii="Arial" w:hAnsi="Arial" w:cs="Arial"/>
          <w:snapToGrid w:val="0"/>
          <w:sz w:val="26"/>
          <w:szCs w:val="26"/>
        </w:rPr>
        <w:t>que</w:t>
      </w:r>
      <w:r w:rsidR="004037F2" w:rsidRPr="003A7290">
        <w:rPr>
          <w:rFonts w:ascii="Arial" w:hAnsi="Arial" w:cs="Arial"/>
          <w:snapToGrid w:val="0"/>
          <w:sz w:val="26"/>
          <w:szCs w:val="26"/>
        </w:rPr>
        <w:t xml:space="preserve"> </w:t>
      </w:r>
      <w:r w:rsidR="00FE2D5D" w:rsidRPr="003A7290">
        <w:rPr>
          <w:rFonts w:ascii="Arial" w:hAnsi="Arial" w:cs="Arial"/>
          <w:snapToGrid w:val="0"/>
          <w:sz w:val="26"/>
          <w:szCs w:val="26"/>
        </w:rPr>
        <w:t xml:space="preserve">los actos recurridos en el juicio de nulidad, consistentes en 1.-Multa extemporánea; 2.- Multa por incumplir el Código Fiscal; 3.- </w:t>
      </w:r>
      <w:r w:rsidR="0095248E" w:rsidRPr="003A7290">
        <w:rPr>
          <w:rFonts w:ascii="Arial" w:hAnsi="Arial" w:cs="Arial"/>
          <w:snapToGrid w:val="0"/>
          <w:sz w:val="26"/>
          <w:szCs w:val="26"/>
        </w:rPr>
        <w:t>Recargos de giro blanco; y, 4.- Actualización de contribuciones, no fueron materia del juicio de amparo, por lo cual, los mismos no podían ser recurridos en la ejecución de sentencia de amparo.</w:t>
      </w:r>
      <w:r w:rsidR="004A06DD" w:rsidRPr="003A7290">
        <w:rPr>
          <w:rFonts w:ascii="Arial" w:hAnsi="Arial" w:cs="Arial"/>
          <w:snapToGrid w:val="0"/>
          <w:sz w:val="26"/>
          <w:szCs w:val="26"/>
        </w:rPr>
        <w:t xml:space="preserve"> - - - - - - </w:t>
      </w:r>
      <w:r w:rsidR="0095248E" w:rsidRPr="003A7290">
        <w:rPr>
          <w:rFonts w:ascii="Arial" w:hAnsi="Arial" w:cs="Arial"/>
          <w:snapToGrid w:val="0"/>
          <w:sz w:val="26"/>
          <w:szCs w:val="26"/>
        </w:rPr>
        <w:t>- - - - - - - - - -</w:t>
      </w:r>
    </w:p>
    <w:p w14:paraId="0EFF6B72" w14:textId="1446DAFC" w:rsidR="0095248E" w:rsidRPr="003A7290" w:rsidRDefault="003A7290" w:rsidP="00E32860">
      <w:pPr>
        <w:spacing w:line="360" w:lineRule="auto"/>
        <w:ind w:firstLine="567"/>
        <w:jc w:val="both"/>
        <w:rPr>
          <w:rFonts w:ascii="Arial" w:hAnsi="Arial" w:cs="Arial"/>
          <w:b/>
          <w:snapToGrid w:val="0"/>
          <w:sz w:val="26"/>
          <w:szCs w:val="26"/>
        </w:rPr>
      </w:pPr>
      <w:r>
        <w:rPr>
          <w:rFonts w:ascii="Arial" w:hAnsi="Arial" w:cs="Arial"/>
          <w:snapToGrid w:val="0"/>
          <w:sz w:val="26"/>
          <w:szCs w:val="26"/>
        </w:rPr>
        <w:t xml:space="preserve">10. </w:t>
      </w:r>
      <w:r w:rsidR="0095248E" w:rsidRPr="003A7290">
        <w:rPr>
          <w:rFonts w:ascii="Arial" w:hAnsi="Arial" w:cs="Arial"/>
          <w:snapToGrid w:val="0"/>
          <w:sz w:val="26"/>
          <w:szCs w:val="26"/>
        </w:rPr>
        <w:t>Aunado al hecho de que al interponerse el juicio de garantías con el cobro inconstitucional por concepto de refrendo de licencia de funcionamien</w:t>
      </w:r>
      <w:r w:rsidR="000A2B15" w:rsidRPr="003A7290">
        <w:rPr>
          <w:rFonts w:ascii="Arial" w:hAnsi="Arial" w:cs="Arial"/>
          <w:snapToGrid w:val="0"/>
          <w:sz w:val="26"/>
          <w:szCs w:val="26"/>
        </w:rPr>
        <w:t>to para el ejercicio fiscal dos mil veintidós</w:t>
      </w:r>
      <w:r w:rsidR="0095248E" w:rsidRPr="003A7290">
        <w:rPr>
          <w:rFonts w:ascii="Arial" w:hAnsi="Arial" w:cs="Arial"/>
          <w:snapToGrid w:val="0"/>
          <w:sz w:val="26"/>
          <w:szCs w:val="26"/>
        </w:rPr>
        <w:t>, y al encontrarse el cobro suspendido y garantizado, es evidente que el cobro de dichos derechos por concepto de refrendo de licencia de funcionamiento, no tenía el carácter de ser cobrado; sino hasta que se resolviera el juicio de garantías</w:t>
      </w:r>
      <w:r w:rsidR="00461D53" w:rsidRPr="003A7290">
        <w:rPr>
          <w:rFonts w:ascii="Arial" w:hAnsi="Arial" w:cs="Arial"/>
          <w:snapToGrid w:val="0"/>
          <w:sz w:val="26"/>
          <w:szCs w:val="26"/>
        </w:rPr>
        <w:t xml:space="preserve"> y se tuviera la certeza de que podían ser exigibles. - - - - - - - - - - - - - - - - - </w:t>
      </w:r>
    </w:p>
    <w:p w14:paraId="71A3F94D" w14:textId="77777777" w:rsidR="003A7290" w:rsidRPr="009D599B" w:rsidRDefault="003A7290" w:rsidP="003A7290">
      <w:pPr>
        <w:widowControl w:val="0"/>
        <w:tabs>
          <w:tab w:val="left" w:pos="0"/>
        </w:tabs>
        <w:spacing w:before="240" w:line="360" w:lineRule="auto"/>
        <w:ind w:right="18"/>
        <w:jc w:val="both"/>
        <w:rPr>
          <w:rFonts w:ascii="Arial" w:hAnsi="Arial" w:cs="Arial"/>
          <w:b/>
          <w:snapToGrid w:val="0"/>
          <w:sz w:val="26"/>
          <w:szCs w:val="26"/>
        </w:rPr>
      </w:pPr>
      <w:r w:rsidRPr="009D599B">
        <w:rPr>
          <w:rFonts w:ascii="Arial" w:hAnsi="Arial" w:cs="Arial"/>
          <w:b/>
          <w:snapToGrid w:val="0"/>
          <w:sz w:val="26"/>
          <w:szCs w:val="26"/>
        </w:rPr>
        <w:t>TERCERO.- ESTUDIO DE LOS AGRAVIOS.</w:t>
      </w:r>
    </w:p>
    <w:p w14:paraId="3CA8FC48" w14:textId="24559265" w:rsidR="000A2B15" w:rsidRPr="00572233" w:rsidRDefault="003A7290" w:rsidP="003A7290">
      <w:pPr>
        <w:widowControl w:val="0"/>
        <w:spacing w:before="240" w:after="0" w:line="360" w:lineRule="auto"/>
        <w:ind w:left="-142" w:right="18" w:firstLine="850"/>
        <w:jc w:val="both"/>
        <w:rPr>
          <w:rFonts w:ascii="Arial" w:hAnsi="Arial" w:cs="Arial"/>
          <w:snapToGrid w:val="0"/>
          <w:sz w:val="26"/>
          <w:szCs w:val="26"/>
        </w:rPr>
      </w:pPr>
      <w:r>
        <w:rPr>
          <w:rFonts w:ascii="Arial" w:hAnsi="Arial" w:cs="Arial"/>
          <w:snapToGrid w:val="0"/>
          <w:sz w:val="26"/>
          <w:szCs w:val="26"/>
        </w:rPr>
        <w:t>11</w:t>
      </w:r>
      <w:r w:rsidR="00B565C0">
        <w:rPr>
          <w:rFonts w:ascii="Arial" w:hAnsi="Arial" w:cs="Arial"/>
          <w:snapToGrid w:val="0"/>
          <w:sz w:val="26"/>
          <w:szCs w:val="26"/>
        </w:rPr>
        <w:t xml:space="preserve">. </w:t>
      </w:r>
      <w:r w:rsidR="000D6A96">
        <w:rPr>
          <w:rFonts w:ascii="Arial" w:hAnsi="Arial" w:cs="Arial"/>
          <w:snapToGrid w:val="0"/>
          <w:sz w:val="26"/>
          <w:szCs w:val="26"/>
        </w:rPr>
        <w:t xml:space="preserve">Respecto </w:t>
      </w:r>
      <w:r w:rsidR="00B565C0">
        <w:rPr>
          <w:rFonts w:ascii="Arial" w:hAnsi="Arial" w:cs="Arial"/>
          <w:snapToGrid w:val="0"/>
          <w:sz w:val="26"/>
          <w:szCs w:val="26"/>
        </w:rPr>
        <w:t xml:space="preserve">al </w:t>
      </w:r>
      <w:r w:rsidR="00B565C0" w:rsidRPr="00343014">
        <w:rPr>
          <w:rFonts w:ascii="Arial" w:hAnsi="Arial" w:cs="Arial"/>
          <w:b/>
          <w:snapToGrid w:val="0"/>
          <w:sz w:val="26"/>
          <w:szCs w:val="26"/>
        </w:rPr>
        <w:t>primer agravio</w:t>
      </w:r>
      <w:r w:rsidR="00B565C0">
        <w:rPr>
          <w:rFonts w:ascii="Arial" w:hAnsi="Arial" w:cs="Arial"/>
          <w:snapToGrid w:val="0"/>
          <w:sz w:val="26"/>
          <w:szCs w:val="26"/>
        </w:rPr>
        <w:t>, es fundado lo argumentado por el recurrente</w:t>
      </w:r>
      <w:r w:rsidR="00572233">
        <w:rPr>
          <w:rFonts w:ascii="Arial" w:hAnsi="Arial" w:cs="Arial"/>
          <w:snapToGrid w:val="0"/>
          <w:sz w:val="26"/>
          <w:szCs w:val="26"/>
        </w:rPr>
        <w:t xml:space="preserve">, pues contrario a lo expuesto por </w:t>
      </w:r>
      <w:r w:rsidR="000A2B15" w:rsidRPr="00FA4B19">
        <w:rPr>
          <w:rFonts w:ascii="Arial" w:hAnsi="Arial" w:cs="Arial"/>
          <w:sz w:val="26"/>
          <w:szCs w:val="26"/>
        </w:rPr>
        <w:t xml:space="preserve">la </w:t>
      </w:r>
      <w:r w:rsidR="000A2B15">
        <w:rPr>
          <w:rFonts w:ascii="Arial" w:hAnsi="Arial" w:cs="Arial"/>
          <w:sz w:val="26"/>
          <w:szCs w:val="26"/>
        </w:rPr>
        <w:t xml:space="preserve">Tercera </w:t>
      </w:r>
      <w:r w:rsidR="000A2B15" w:rsidRPr="00FA4B19">
        <w:rPr>
          <w:rFonts w:ascii="Arial" w:hAnsi="Arial" w:cs="Arial"/>
          <w:sz w:val="26"/>
          <w:szCs w:val="26"/>
        </w:rPr>
        <w:t xml:space="preserve">Sala Unitaria, la imposición de </w:t>
      </w:r>
      <w:r w:rsidR="000A2B15">
        <w:rPr>
          <w:rFonts w:ascii="Arial" w:hAnsi="Arial" w:cs="Arial"/>
          <w:sz w:val="26"/>
          <w:szCs w:val="26"/>
        </w:rPr>
        <w:t xml:space="preserve">multas y </w:t>
      </w:r>
      <w:r w:rsidR="000A2B15" w:rsidRPr="00FA4B19">
        <w:rPr>
          <w:rFonts w:ascii="Arial" w:hAnsi="Arial" w:cs="Arial"/>
          <w:sz w:val="26"/>
          <w:szCs w:val="26"/>
        </w:rPr>
        <w:t xml:space="preserve">recargos a una contribuyente </w:t>
      </w:r>
      <w:r w:rsidR="000A2B15">
        <w:rPr>
          <w:rFonts w:ascii="Arial" w:hAnsi="Arial" w:cs="Arial"/>
          <w:sz w:val="26"/>
          <w:szCs w:val="26"/>
        </w:rPr>
        <w:t xml:space="preserve">a través de un recibo </w:t>
      </w:r>
      <w:r w:rsidR="000A2B15" w:rsidRPr="00FA4B19">
        <w:rPr>
          <w:rFonts w:ascii="Arial" w:hAnsi="Arial" w:cs="Arial"/>
          <w:sz w:val="26"/>
          <w:szCs w:val="26"/>
        </w:rPr>
        <w:t>sí constituye un acto de molestia que le causa agravios a su esfera jurídica.</w:t>
      </w:r>
    </w:p>
    <w:p w14:paraId="39E31984" w14:textId="38E1F84D" w:rsidR="000A2B15" w:rsidRPr="00F72B57" w:rsidRDefault="003A7290" w:rsidP="000A2B15">
      <w:pPr>
        <w:widowControl w:val="0"/>
        <w:spacing w:before="240" w:after="0" w:line="360" w:lineRule="auto"/>
        <w:ind w:left="-142" w:right="18" w:firstLine="850"/>
        <w:jc w:val="both"/>
        <w:rPr>
          <w:rFonts w:ascii="Arial" w:hAnsi="Arial" w:cs="Arial"/>
          <w:sz w:val="26"/>
          <w:szCs w:val="26"/>
        </w:rPr>
      </w:pPr>
      <w:r>
        <w:rPr>
          <w:rFonts w:ascii="Arial" w:hAnsi="Arial" w:cs="Arial"/>
          <w:sz w:val="26"/>
          <w:szCs w:val="26"/>
        </w:rPr>
        <w:t>12</w:t>
      </w:r>
      <w:r w:rsidR="00572233">
        <w:rPr>
          <w:rFonts w:ascii="Arial" w:hAnsi="Arial" w:cs="Arial"/>
          <w:sz w:val="26"/>
          <w:szCs w:val="26"/>
        </w:rPr>
        <w:t xml:space="preserve">. </w:t>
      </w:r>
      <w:r w:rsidR="000A2B15" w:rsidRPr="00F72B57">
        <w:rPr>
          <w:rFonts w:ascii="Arial" w:hAnsi="Arial" w:cs="Arial"/>
          <w:sz w:val="26"/>
          <w:szCs w:val="26"/>
        </w:rPr>
        <w:t xml:space="preserve">Es pertinente señalar que una </w:t>
      </w:r>
      <w:r w:rsidR="000A2B15" w:rsidRPr="00F72B57">
        <w:rPr>
          <w:rFonts w:ascii="Arial" w:hAnsi="Arial" w:cs="Arial"/>
          <w:b/>
          <w:sz w:val="26"/>
          <w:szCs w:val="26"/>
        </w:rPr>
        <w:t xml:space="preserve">multa </w:t>
      </w:r>
      <w:r w:rsidR="000A2B15" w:rsidRPr="00F72B57">
        <w:rPr>
          <w:rFonts w:ascii="Arial" w:hAnsi="Arial" w:cs="Arial"/>
          <w:sz w:val="26"/>
          <w:szCs w:val="26"/>
        </w:rPr>
        <w:t xml:space="preserve">es </w:t>
      </w:r>
      <w:r w:rsidR="000A2B15" w:rsidRPr="00F72B57">
        <w:rPr>
          <w:rFonts w:ascii="Arial" w:hAnsi="Arial" w:cs="Arial"/>
          <w:i/>
          <w:sz w:val="26"/>
          <w:szCs w:val="26"/>
        </w:rPr>
        <w:t>“una sanción económica, prevista en la ley, que imponen las autoridades fiscales a los contribuyentes cuando no cumplen de manera voluntaria o espontánea sus obligaciones fiscales o por cumplirlas incorrectamente”</w:t>
      </w:r>
      <w:r w:rsidR="000A2B15">
        <w:rPr>
          <w:rStyle w:val="Refdenotaalpie"/>
          <w:rFonts w:ascii="Arial" w:hAnsi="Arial" w:cs="Arial"/>
          <w:i/>
          <w:sz w:val="26"/>
          <w:szCs w:val="26"/>
        </w:rPr>
        <w:footnoteReference w:id="2"/>
      </w:r>
      <w:r w:rsidR="000A2B15">
        <w:rPr>
          <w:rFonts w:ascii="Arial" w:hAnsi="Arial" w:cs="Arial"/>
          <w:i/>
          <w:sz w:val="26"/>
          <w:szCs w:val="26"/>
        </w:rPr>
        <w:t xml:space="preserve">, </w:t>
      </w:r>
      <w:r w:rsidR="000A2B15" w:rsidRPr="00F72B57">
        <w:rPr>
          <w:rFonts w:ascii="Arial" w:hAnsi="Arial" w:cs="Arial"/>
          <w:sz w:val="26"/>
          <w:szCs w:val="26"/>
        </w:rPr>
        <w:t xml:space="preserve">mientras que  los </w:t>
      </w:r>
      <w:r w:rsidR="000A2B15" w:rsidRPr="00F72B57">
        <w:rPr>
          <w:rFonts w:ascii="Arial" w:hAnsi="Arial" w:cs="Arial"/>
          <w:b/>
          <w:sz w:val="26"/>
          <w:szCs w:val="26"/>
        </w:rPr>
        <w:t>recargos</w:t>
      </w:r>
      <w:r w:rsidR="000A2B15" w:rsidRPr="00FA4B19">
        <w:rPr>
          <w:rFonts w:ascii="Arial" w:hAnsi="Arial" w:cs="Arial"/>
          <w:sz w:val="26"/>
          <w:szCs w:val="26"/>
        </w:rPr>
        <w:t xml:space="preserve"> </w:t>
      </w:r>
      <w:r w:rsidR="000A2B15" w:rsidRPr="00FA4B19">
        <w:rPr>
          <w:rFonts w:ascii="Arial" w:hAnsi="Arial" w:cs="Arial"/>
          <w:i/>
          <w:sz w:val="26"/>
          <w:szCs w:val="26"/>
        </w:rPr>
        <w:lastRenderedPageBreak/>
        <w:t>“constituyen una indemnización que debe pagarse al Fisco para compensarlo por todo el tiempo que transcurrió y que no tuvo en su poder las contribuciones que por derecho le corresponde cobrar, lo cual le impidió la libre e inmediata disposición del dinero para hacer frente a los gastos públicos”</w:t>
      </w:r>
      <w:r w:rsidR="000A2B15" w:rsidRPr="00FA4B19">
        <w:rPr>
          <w:rFonts w:ascii="Arial" w:hAnsi="Arial" w:cs="Arial"/>
          <w:sz w:val="26"/>
          <w:szCs w:val="26"/>
          <w:vertAlign w:val="superscript"/>
        </w:rPr>
        <w:footnoteReference w:id="3"/>
      </w:r>
      <w:r w:rsidR="000A2B15" w:rsidRPr="00FA4B19">
        <w:rPr>
          <w:rFonts w:ascii="Arial" w:hAnsi="Arial" w:cs="Arial"/>
          <w:sz w:val="26"/>
          <w:szCs w:val="26"/>
        </w:rPr>
        <w:t xml:space="preserve">, y </w:t>
      </w:r>
      <w:r w:rsidR="000A2B15">
        <w:rPr>
          <w:rFonts w:ascii="Arial" w:hAnsi="Arial" w:cs="Arial"/>
          <w:sz w:val="26"/>
          <w:szCs w:val="26"/>
        </w:rPr>
        <w:t>e</w:t>
      </w:r>
      <w:r w:rsidR="000A2B15" w:rsidRPr="00F72B57">
        <w:rPr>
          <w:rFonts w:ascii="Arial" w:hAnsi="Arial" w:cs="Arial"/>
          <w:sz w:val="26"/>
          <w:szCs w:val="26"/>
        </w:rPr>
        <w:t xml:space="preserve">n </w:t>
      </w:r>
      <w:r w:rsidR="000A2B15">
        <w:rPr>
          <w:rFonts w:ascii="Arial" w:hAnsi="Arial" w:cs="Arial"/>
          <w:sz w:val="26"/>
          <w:szCs w:val="26"/>
        </w:rPr>
        <w:t>cuanto a la</w:t>
      </w:r>
      <w:r w:rsidR="000A2B15" w:rsidRPr="00F72B57">
        <w:rPr>
          <w:rFonts w:ascii="Arial" w:hAnsi="Arial" w:cs="Arial"/>
          <w:sz w:val="26"/>
          <w:szCs w:val="26"/>
        </w:rPr>
        <w:t xml:space="preserve"> </w:t>
      </w:r>
      <w:r w:rsidR="000A2B15">
        <w:rPr>
          <w:rFonts w:ascii="Arial" w:hAnsi="Arial" w:cs="Arial"/>
          <w:b/>
          <w:sz w:val="26"/>
          <w:szCs w:val="26"/>
        </w:rPr>
        <w:t xml:space="preserve">actualización </w:t>
      </w:r>
      <w:r w:rsidR="000A2B15" w:rsidRPr="00F72B57">
        <w:rPr>
          <w:rFonts w:ascii="Arial" w:hAnsi="Arial" w:cs="Arial"/>
          <w:sz w:val="26"/>
          <w:szCs w:val="26"/>
        </w:rPr>
        <w:t>d</w:t>
      </w:r>
      <w:r w:rsidR="000A2B15">
        <w:rPr>
          <w:rFonts w:ascii="Arial" w:hAnsi="Arial" w:cs="Arial"/>
          <w:sz w:val="26"/>
          <w:szCs w:val="26"/>
        </w:rPr>
        <w:t>el monto de las contribuciones, esto “implica darles su valor real al momento en que se efectúa su pago, para que el fisco reciba una suma equivalente a la que habría percibido de haberse cubierto dentro del plazo legal”</w:t>
      </w:r>
      <w:r w:rsidR="000A2B15">
        <w:rPr>
          <w:rStyle w:val="Refdenotaalpie"/>
          <w:rFonts w:ascii="Arial" w:hAnsi="Arial" w:cs="Arial"/>
          <w:sz w:val="26"/>
          <w:szCs w:val="26"/>
        </w:rPr>
        <w:footnoteReference w:id="4"/>
      </w:r>
      <w:r w:rsidR="000A2B15">
        <w:rPr>
          <w:rFonts w:ascii="Arial" w:hAnsi="Arial" w:cs="Arial"/>
          <w:sz w:val="26"/>
          <w:szCs w:val="26"/>
        </w:rPr>
        <w:t>.</w:t>
      </w:r>
    </w:p>
    <w:p w14:paraId="5856C21B" w14:textId="166BECAE" w:rsidR="000A2B15" w:rsidRDefault="003A7290" w:rsidP="000A2B15">
      <w:pPr>
        <w:widowControl w:val="0"/>
        <w:spacing w:before="240" w:after="0" w:line="360" w:lineRule="auto"/>
        <w:ind w:left="-142" w:right="18" w:firstLine="850"/>
        <w:jc w:val="both"/>
        <w:rPr>
          <w:rFonts w:ascii="Arial" w:hAnsi="Arial" w:cs="Arial"/>
          <w:sz w:val="26"/>
          <w:szCs w:val="26"/>
        </w:rPr>
      </w:pPr>
      <w:r>
        <w:rPr>
          <w:rFonts w:ascii="Arial" w:hAnsi="Arial" w:cs="Arial"/>
          <w:sz w:val="26"/>
          <w:szCs w:val="26"/>
        </w:rPr>
        <w:t>13</w:t>
      </w:r>
      <w:r w:rsidR="00572233">
        <w:rPr>
          <w:rFonts w:ascii="Arial" w:hAnsi="Arial" w:cs="Arial"/>
          <w:sz w:val="26"/>
          <w:szCs w:val="26"/>
        </w:rPr>
        <w:t xml:space="preserve">. </w:t>
      </w:r>
      <w:r w:rsidR="000A2B15">
        <w:rPr>
          <w:rFonts w:ascii="Arial" w:hAnsi="Arial" w:cs="Arial"/>
          <w:sz w:val="26"/>
          <w:szCs w:val="26"/>
        </w:rPr>
        <w:t xml:space="preserve">Al respecto, </w:t>
      </w:r>
      <w:r w:rsidR="000A2B15" w:rsidRPr="00FA4B19">
        <w:rPr>
          <w:rFonts w:ascii="Arial" w:hAnsi="Arial" w:cs="Arial"/>
          <w:sz w:val="26"/>
          <w:szCs w:val="26"/>
        </w:rPr>
        <w:t xml:space="preserve">el artículo </w:t>
      </w:r>
      <w:r w:rsidR="000A2B15">
        <w:rPr>
          <w:rFonts w:ascii="Arial" w:hAnsi="Arial" w:cs="Arial"/>
          <w:sz w:val="26"/>
          <w:szCs w:val="26"/>
        </w:rPr>
        <w:t>12</w:t>
      </w:r>
      <w:r w:rsidR="000A2B15">
        <w:rPr>
          <w:rStyle w:val="Refdenotaalpie"/>
          <w:rFonts w:ascii="Arial" w:hAnsi="Arial" w:cs="Arial"/>
          <w:sz w:val="26"/>
          <w:szCs w:val="26"/>
        </w:rPr>
        <w:footnoteReference w:id="5"/>
      </w:r>
      <w:r w:rsidR="000A2B15">
        <w:rPr>
          <w:rFonts w:ascii="Arial" w:hAnsi="Arial" w:cs="Arial"/>
          <w:sz w:val="26"/>
          <w:szCs w:val="26"/>
        </w:rPr>
        <w:t xml:space="preserve"> </w:t>
      </w:r>
      <w:r w:rsidR="000A2B15" w:rsidRPr="00CE46F6">
        <w:rPr>
          <w:rFonts w:ascii="Arial" w:hAnsi="Arial" w:cs="Arial"/>
          <w:sz w:val="26"/>
          <w:szCs w:val="26"/>
        </w:rPr>
        <w:t xml:space="preserve">del propio Código Fiscal Municipal del </w:t>
      </w:r>
      <w:r w:rsidR="000A2B15">
        <w:rPr>
          <w:rFonts w:ascii="Arial" w:hAnsi="Arial" w:cs="Arial"/>
          <w:sz w:val="26"/>
          <w:szCs w:val="26"/>
        </w:rPr>
        <w:t xml:space="preserve">Estado de Oaxaca, prescribe </w:t>
      </w:r>
      <w:r w:rsidR="000A2B15" w:rsidRPr="00CE46F6">
        <w:rPr>
          <w:rFonts w:ascii="Arial" w:hAnsi="Arial" w:cs="Arial"/>
          <w:sz w:val="26"/>
          <w:szCs w:val="26"/>
        </w:rPr>
        <w:t>que el monto de las contribuciones, aprovechamientos, y demás créditos fiscales, así como de las devoluciones a cargo del fisco municipal, se actualizarán por el transcurso del tiempo y con motivo de los cambios de precios en el país, desde la fecha en que el pago debió efectuarse, y hasta q</w:t>
      </w:r>
      <w:r w:rsidR="000A2B15">
        <w:rPr>
          <w:rFonts w:ascii="Arial" w:hAnsi="Arial" w:cs="Arial"/>
          <w:sz w:val="26"/>
          <w:szCs w:val="26"/>
        </w:rPr>
        <w:t xml:space="preserve">ue el mismo se realice. Asimismo, establece que </w:t>
      </w:r>
      <w:r w:rsidR="000A2B15" w:rsidRPr="00353F06">
        <w:rPr>
          <w:rFonts w:ascii="Arial" w:hAnsi="Arial" w:cs="Arial"/>
          <w:i/>
          <w:sz w:val="26"/>
          <w:szCs w:val="26"/>
        </w:rPr>
        <w:t>“en ningún caso se podrá liberar a los contribuyentes de la actualización de las contribuciones o aprovechamientos”</w:t>
      </w:r>
      <w:r w:rsidR="000A2B15">
        <w:rPr>
          <w:rFonts w:ascii="Arial" w:hAnsi="Arial" w:cs="Arial"/>
          <w:sz w:val="26"/>
          <w:szCs w:val="26"/>
        </w:rPr>
        <w:t>.</w:t>
      </w:r>
    </w:p>
    <w:p w14:paraId="136167E5" w14:textId="1903444C" w:rsidR="000A2B15" w:rsidRDefault="003A7290" w:rsidP="000A2B15">
      <w:pPr>
        <w:widowControl w:val="0"/>
        <w:spacing w:before="240" w:after="0" w:line="360" w:lineRule="auto"/>
        <w:ind w:left="-142" w:right="18" w:firstLine="850"/>
        <w:jc w:val="both"/>
        <w:rPr>
          <w:rFonts w:ascii="Arial" w:hAnsi="Arial" w:cs="Arial"/>
          <w:sz w:val="26"/>
          <w:szCs w:val="26"/>
        </w:rPr>
      </w:pPr>
      <w:r>
        <w:rPr>
          <w:rFonts w:ascii="Arial" w:hAnsi="Arial" w:cs="Arial"/>
          <w:sz w:val="26"/>
          <w:szCs w:val="26"/>
        </w:rPr>
        <w:t>14</w:t>
      </w:r>
      <w:r w:rsidR="00572233">
        <w:rPr>
          <w:rFonts w:ascii="Arial" w:hAnsi="Arial" w:cs="Arial"/>
          <w:sz w:val="26"/>
          <w:szCs w:val="26"/>
        </w:rPr>
        <w:t xml:space="preserve">. </w:t>
      </w:r>
      <w:r w:rsidR="000A2B15">
        <w:rPr>
          <w:rFonts w:ascii="Arial" w:hAnsi="Arial" w:cs="Arial"/>
          <w:sz w:val="26"/>
          <w:szCs w:val="26"/>
        </w:rPr>
        <w:t xml:space="preserve">El numeral </w:t>
      </w:r>
      <w:r w:rsidR="000A2B15" w:rsidRPr="00FA4B19">
        <w:rPr>
          <w:rFonts w:ascii="Arial" w:hAnsi="Arial" w:cs="Arial"/>
          <w:sz w:val="26"/>
          <w:szCs w:val="26"/>
        </w:rPr>
        <w:t xml:space="preserve">13 del </w:t>
      </w:r>
      <w:r w:rsidR="000A2B15">
        <w:rPr>
          <w:rFonts w:ascii="Arial" w:hAnsi="Arial" w:cs="Arial"/>
          <w:sz w:val="26"/>
          <w:szCs w:val="26"/>
        </w:rPr>
        <w:t xml:space="preserve">mismo Código Fiscal Municipal, </w:t>
      </w:r>
      <w:r w:rsidR="000A2B15" w:rsidRPr="00FA4B19">
        <w:rPr>
          <w:rFonts w:ascii="Arial" w:hAnsi="Arial" w:cs="Arial"/>
          <w:sz w:val="26"/>
          <w:szCs w:val="26"/>
        </w:rPr>
        <w:t xml:space="preserve">establece que </w:t>
      </w:r>
      <w:r w:rsidR="000A2B15" w:rsidRPr="00FA4B19">
        <w:rPr>
          <w:rFonts w:ascii="Arial" w:hAnsi="Arial" w:cs="Arial"/>
          <w:i/>
          <w:sz w:val="26"/>
          <w:szCs w:val="26"/>
        </w:rPr>
        <w:t>“cuando no se paguen las contribuciones o los aprovechamientos en la fecha o dentro del plazo fijado por las disposiciones fiscales municipales, el monto de las mismas se actualizará desde el mes en que debió hacerse el pago hasta que el mismo se efectúe; además deberá pagarse recargos por concepto de indemnización al fisco municipal por la falta de pago oportuno”</w:t>
      </w:r>
      <w:r w:rsidR="000A2B15">
        <w:rPr>
          <w:rFonts w:ascii="Arial" w:hAnsi="Arial" w:cs="Arial"/>
          <w:i/>
          <w:sz w:val="26"/>
          <w:szCs w:val="26"/>
        </w:rPr>
        <w:t xml:space="preserve">, </w:t>
      </w:r>
      <w:r w:rsidR="000A2B15">
        <w:rPr>
          <w:rFonts w:ascii="Arial" w:hAnsi="Arial" w:cs="Arial"/>
          <w:sz w:val="26"/>
          <w:szCs w:val="26"/>
        </w:rPr>
        <w:t xml:space="preserve">y </w:t>
      </w:r>
      <w:r w:rsidR="000A2B15" w:rsidRPr="00FA4B19">
        <w:rPr>
          <w:rFonts w:ascii="Arial" w:hAnsi="Arial" w:cs="Arial"/>
          <w:sz w:val="26"/>
          <w:szCs w:val="26"/>
        </w:rPr>
        <w:t xml:space="preserve">los recargos </w:t>
      </w:r>
      <w:r w:rsidR="000A2B15">
        <w:rPr>
          <w:rFonts w:ascii="Arial" w:hAnsi="Arial" w:cs="Arial"/>
          <w:sz w:val="26"/>
          <w:szCs w:val="26"/>
        </w:rPr>
        <w:t xml:space="preserve">y las multas </w:t>
      </w:r>
      <w:r w:rsidR="000A2B15" w:rsidRPr="00FA4B19">
        <w:rPr>
          <w:rFonts w:ascii="Arial" w:hAnsi="Arial" w:cs="Arial"/>
          <w:sz w:val="26"/>
          <w:szCs w:val="26"/>
        </w:rPr>
        <w:t>son accesorios de las contribuciones, lo que implica que partic</w:t>
      </w:r>
      <w:r w:rsidR="000A2B15">
        <w:rPr>
          <w:rFonts w:ascii="Arial" w:hAnsi="Arial" w:cs="Arial"/>
          <w:sz w:val="26"/>
          <w:szCs w:val="26"/>
        </w:rPr>
        <w:t xml:space="preserve">ipan </w:t>
      </w:r>
      <w:r w:rsidR="000A2B15">
        <w:rPr>
          <w:rFonts w:ascii="Arial" w:hAnsi="Arial" w:cs="Arial"/>
          <w:sz w:val="26"/>
          <w:szCs w:val="26"/>
        </w:rPr>
        <w:lastRenderedPageBreak/>
        <w:t xml:space="preserve">de la naturaleza de éstas, conforme al artículo 15 fracciones II y III del idéntico Código Tributario en cita. </w:t>
      </w:r>
    </w:p>
    <w:p w14:paraId="1ADB66C1" w14:textId="50E786AE" w:rsidR="000A2B15" w:rsidRPr="00FA4B19" w:rsidRDefault="003A7290" w:rsidP="000A2B15">
      <w:pPr>
        <w:widowControl w:val="0"/>
        <w:spacing w:before="240" w:after="0" w:line="360" w:lineRule="auto"/>
        <w:ind w:left="-142" w:right="18" w:firstLine="850"/>
        <w:jc w:val="both"/>
        <w:rPr>
          <w:rFonts w:ascii="Arial" w:hAnsi="Arial" w:cs="Arial"/>
          <w:sz w:val="26"/>
          <w:szCs w:val="26"/>
        </w:rPr>
      </w:pPr>
      <w:r>
        <w:rPr>
          <w:rFonts w:ascii="Arial" w:hAnsi="Arial" w:cs="Arial"/>
          <w:sz w:val="26"/>
          <w:szCs w:val="26"/>
        </w:rPr>
        <w:t>15</w:t>
      </w:r>
      <w:r w:rsidR="00572233">
        <w:rPr>
          <w:rFonts w:ascii="Arial" w:hAnsi="Arial" w:cs="Arial"/>
          <w:sz w:val="26"/>
          <w:szCs w:val="26"/>
        </w:rPr>
        <w:t xml:space="preserve">. </w:t>
      </w:r>
      <w:r w:rsidR="000A2B15" w:rsidRPr="00FA4B19">
        <w:rPr>
          <w:rFonts w:ascii="Arial" w:hAnsi="Arial" w:cs="Arial"/>
          <w:sz w:val="26"/>
          <w:szCs w:val="26"/>
        </w:rPr>
        <w:t xml:space="preserve">Por lo tanto, si en el caso que nos ocupa, </w:t>
      </w:r>
      <w:r w:rsidR="000A2B15">
        <w:rPr>
          <w:rFonts w:ascii="Arial" w:hAnsi="Arial" w:cs="Arial"/>
          <w:sz w:val="26"/>
          <w:szCs w:val="26"/>
        </w:rPr>
        <w:t>el comprobante fiscal digital con número de folio de impresión CAJA14-004562 de veinte de enero de dos mil veintitrés</w:t>
      </w:r>
      <w:r w:rsidR="000A2B15">
        <w:rPr>
          <w:rStyle w:val="Refdenotaalpie"/>
          <w:rFonts w:ascii="Arial" w:hAnsi="Arial" w:cs="Arial"/>
          <w:sz w:val="26"/>
          <w:szCs w:val="26"/>
        </w:rPr>
        <w:footnoteReference w:id="6"/>
      </w:r>
      <w:r w:rsidR="000A2B15">
        <w:rPr>
          <w:rFonts w:ascii="Arial" w:hAnsi="Arial" w:cs="Arial"/>
          <w:sz w:val="26"/>
          <w:szCs w:val="26"/>
        </w:rPr>
        <w:t xml:space="preserve"> </w:t>
      </w:r>
      <w:r w:rsidR="000A2B15" w:rsidRPr="00FA4B19">
        <w:rPr>
          <w:rFonts w:ascii="Arial" w:hAnsi="Arial" w:cs="Arial"/>
          <w:sz w:val="26"/>
          <w:szCs w:val="26"/>
        </w:rPr>
        <w:t xml:space="preserve">en el que se fijaron </w:t>
      </w:r>
      <w:r w:rsidR="000A2B15">
        <w:rPr>
          <w:rFonts w:ascii="Arial" w:hAnsi="Arial" w:cs="Arial"/>
          <w:sz w:val="26"/>
          <w:szCs w:val="26"/>
        </w:rPr>
        <w:t xml:space="preserve">multas, actualizaciones y </w:t>
      </w:r>
      <w:r w:rsidR="000A2B15" w:rsidRPr="00FA4B19">
        <w:rPr>
          <w:rFonts w:ascii="Arial" w:hAnsi="Arial" w:cs="Arial"/>
          <w:sz w:val="26"/>
          <w:szCs w:val="26"/>
        </w:rPr>
        <w:t xml:space="preserve">recargos </w:t>
      </w:r>
      <w:r w:rsidR="000A2B15">
        <w:rPr>
          <w:rFonts w:ascii="Arial" w:hAnsi="Arial" w:cs="Arial"/>
          <w:sz w:val="26"/>
          <w:szCs w:val="26"/>
        </w:rPr>
        <w:t xml:space="preserve">a la persona moral que hoy recurre, </w:t>
      </w:r>
      <w:r w:rsidR="000A2B15" w:rsidRPr="00FA4B19">
        <w:rPr>
          <w:rFonts w:ascii="Arial" w:hAnsi="Arial" w:cs="Arial"/>
          <w:sz w:val="26"/>
          <w:szCs w:val="26"/>
        </w:rPr>
        <w:t>derivados de la</w:t>
      </w:r>
      <w:r w:rsidR="000A2B15">
        <w:rPr>
          <w:rFonts w:ascii="Arial" w:hAnsi="Arial" w:cs="Arial"/>
          <w:sz w:val="26"/>
          <w:szCs w:val="26"/>
        </w:rPr>
        <w:t xml:space="preserve">s contribuciones relacionadas con su actividad comercial, </w:t>
      </w:r>
      <w:r w:rsidR="000A2B15" w:rsidRPr="00FA4B19">
        <w:rPr>
          <w:rFonts w:ascii="Arial" w:hAnsi="Arial" w:cs="Arial"/>
          <w:sz w:val="26"/>
          <w:szCs w:val="26"/>
        </w:rPr>
        <w:t xml:space="preserve">es el medio que tiene el contribuyente para cumplir con su obligación tributaria, es consecuente que el recibo de pago en el que se determina la contribución y además se causan los accesorios como son los recargos, sí le causa un perjuicio al sujeto obligado, y por tanto, la Primera Instancia debió admitir la demanda interpuesta en contra del </w:t>
      </w:r>
      <w:r w:rsidR="000A2B15">
        <w:rPr>
          <w:rFonts w:ascii="Arial" w:hAnsi="Arial" w:cs="Arial"/>
          <w:sz w:val="26"/>
          <w:szCs w:val="26"/>
        </w:rPr>
        <w:t>comprobante fiscal referido.</w:t>
      </w:r>
    </w:p>
    <w:p w14:paraId="6E01B42E" w14:textId="0BE07537" w:rsidR="000A2B15" w:rsidRPr="00FA4B19" w:rsidRDefault="003A7290" w:rsidP="000A2B15">
      <w:pPr>
        <w:widowControl w:val="0"/>
        <w:spacing w:before="240" w:after="0" w:line="360" w:lineRule="auto"/>
        <w:ind w:left="-142" w:right="18" w:firstLine="850"/>
        <w:jc w:val="both"/>
        <w:rPr>
          <w:rFonts w:ascii="Arial" w:hAnsi="Arial" w:cs="Arial"/>
          <w:sz w:val="26"/>
          <w:szCs w:val="26"/>
        </w:rPr>
      </w:pPr>
      <w:r>
        <w:rPr>
          <w:rFonts w:ascii="Arial" w:hAnsi="Arial" w:cs="Arial"/>
          <w:sz w:val="26"/>
          <w:szCs w:val="26"/>
        </w:rPr>
        <w:t>16</w:t>
      </w:r>
      <w:r w:rsidR="00572233">
        <w:rPr>
          <w:rFonts w:ascii="Arial" w:hAnsi="Arial" w:cs="Arial"/>
          <w:sz w:val="26"/>
          <w:szCs w:val="26"/>
        </w:rPr>
        <w:t xml:space="preserve">. </w:t>
      </w:r>
      <w:r w:rsidR="000A2B15" w:rsidRPr="00FA4B19">
        <w:rPr>
          <w:rFonts w:ascii="Arial" w:hAnsi="Arial" w:cs="Arial"/>
          <w:sz w:val="26"/>
          <w:szCs w:val="26"/>
        </w:rPr>
        <w:t>En respaldo a lo anterior, se invoca la tesis con registro digital 800495</w:t>
      </w:r>
      <w:r w:rsidR="000A2B15" w:rsidRPr="00FA4B19">
        <w:rPr>
          <w:rFonts w:ascii="Arial" w:hAnsi="Arial" w:cs="Arial"/>
          <w:sz w:val="26"/>
          <w:szCs w:val="26"/>
          <w:vertAlign w:val="superscript"/>
        </w:rPr>
        <w:footnoteReference w:id="7"/>
      </w:r>
      <w:r w:rsidR="000A2B15" w:rsidRPr="00FA4B19">
        <w:rPr>
          <w:rFonts w:ascii="Arial" w:hAnsi="Arial" w:cs="Arial"/>
          <w:sz w:val="26"/>
          <w:szCs w:val="26"/>
        </w:rPr>
        <w:t xml:space="preserve">, emitida por los Tribunales Colegiados de Circuito en la Octava Época, visible en el Semanario Judicial de la Federación. Tomo I, Segunda Parte-2, </w:t>
      </w:r>
      <w:proofErr w:type="gramStart"/>
      <w:r w:rsidR="000A2B15" w:rsidRPr="00FA4B19">
        <w:rPr>
          <w:rFonts w:ascii="Arial" w:hAnsi="Arial" w:cs="Arial"/>
          <w:sz w:val="26"/>
          <w:szCs w:val="26"/>
        </w:rPr>
        <w:t>Enero</w:t>
      </w:r>
      <w:proofErr w:type="gramEnd"/>
      <w:r w:rsidR="000A2B15" w:rsidRPr="00FA4B19">
        <w:rPr>
          <w:rFonts w:ascii="Arial" w:hAnsi="Arial" w:cs="Arial"/>
          <w:sz w:val="26"/>
          <w:szCs w:val="26"/>
        </w:rPr>
        <w:t xml:space="preserve">-Junio de 1988, página 493, de rubro y texto siguientes: </w:t>
      </w:r>
    </w:p>
    <w:p w14:paraId="526A4025" w14:textId="77777777" w:rsidR="000A2B15" w:rsidRPr="00FA4B19" w:rsidRDefault="000A2B15" w:rsidP="000A2B15">
      <w:pPr>
        <w:widowControl w:val="0"/>
        <w:spacing w:before="240" w:after="0" w:line="360" w:lineRule="auto"/>
        <w:ind w:left="567" w:right="616"/>
        <w:jc w:val="both"/>
        <w:rPr>
          <w:rFonts w:ascii="Arial" w:hAnsi="Arial" w:cs="Arial"/>
          <w:i/>
        </w:rPr>
      </w:pPr>
      <w:r w:rsidRPr="00FA4B19">
        <w:rPr>
          <w:rFonts w:ascii="Arial" w:hAnsi="Arial" w:cs="Arial"/>
          <w:i/>
        </w:rPr>
        <w:t>“PREDIAL. BOLETAS DE PAGO EN QUE SE AUMENTA EL MONTO DEL IMPUESTO. SON ACTOS DE MOLESTIA.</w:t>
      </w:r>
    </w:p>
    <w:p w14:paraId="512BB9F6" w14:textId="77777777" w:rsidR="000A2B15" w:rsidRPr="00FA4B19" w:rsidRDefault="000A2B15" w:rsidP="000A2B15">
      <w:pPr>
        <w:widowControl w:val="0"/>
        <w:spacing w:before="240" w:after="0" w:line="360" w:lineRule="auto"/>
        <w:ind w:left="567" w:right="616"/>
        <w:jc w:val="both"/>
        <w:rPr>
          <w:rFonts w:ascii="Arial" w:hAnsi="Arial" w:cs="Arial"/>
          <w:i/>
        </w:rPr>
      </w:pPr>
      <w:r w:rsidRPr="00FA4B19">
        <w:rPr>
          <w:rFonts w:ascii="Arial" w:hAnsi="Arial" w:cs="Arial"/>
          <w:i/>
        </w:rPr>
        <w:t>Las boletas de pago del impuesto predial constituyen actos de molestia y no "un mero recordatorio" o "una facilidad para la realización de los pagos" cuando en forma arbitraria se aumenta el monto del impuesto predial que venía cubriendo el contribuyente, ya que en ellos se contienen elementos que fincan y determinan en cantidad líquida un crédito fiscal a su cargo, por concepto del impuesto predial, e inclusive, determina las reducciones o recargos que deberá cubrir el contribuyente al realizar el pago en las fechas diversas que se establecen en el mismo, y siendo éste el medio que el contribuyente puede utilizar para efectuar el entero de su obligación fiscal, es incongruente concluir que no afecta sus intereses, pues no podría realizar un pago por cantidad distinta al importe que se señala en el recibo que expide la Tesorería del Distrito Federal, obligación que se encuentra consignada en el segundo párrafo del artículo 16 de la Ley de Hacienda del Departamento del Distrito Federal.”</w:t>
      </w:r>
    </w:p>
    <w:p w14:paraId="196296F1" w14:textId="77777777" w:rsidR="007C7E7E" w:rsidRDefault="007C7E7E" w:rsidP="000A2B15">
      <w:pPr>
        <w:spacing w:line="360" w:lineRule="auto"/>
        <w:ind w:firstLine="567"/>
        <w:jc w:val="both"/>
        <w:rPr>
          <w:rFonts w:ascii="Arial" w:hAnsi="Arial" w:cs="Arial"/>
          <w:b/>
          <w:snapToGrid w:val="0"/>
          <w:sz w:val="26"/>
          <w:szCs w:val="26"/>
        </w:rPr>
      </w:pPr>
    </w:p>
    <w:p w14:paraId="2C4B3D53" w14:textId="26E76606" w:rsidR="00C963A1" w:rsidRPr="00C963A1" w:rsidRDefault="003A7290" w:rsidP="000A2B15">
      <w:pPr>
        <w:spacing w:line="360" w:lineRule="auto"/>
        <w:ind w:firstLine="567"/>
        <w:jc w:val="both"/>
        <w:rPr>
          <w:rFonts w:ascii="Arial" w:hAnsi="Arial" w:cs="Arial"/>
          <w:b/>
          <w:snapToGrid w:val="0"/>
          <w:sz w:val="26"/>
          <w:szCs w:val="26"/>
        </w:rPr>
      </w:pPr>
      <w:r>
        <w:rPr>
          <w:rFonts w:ascii="Arial" w:hAnsi="Arial" w:cs="Arial"/>
          <w:b/>
          <w:snapToGrid w:val="0"/>
          <w:sz w:val="26"/>
          <w:szCs w:val="26"/>
        </w:rPr>
        <w:t>CUARTO</w:t>
      </w:r>
      <w:r w:rsidR="00A96FEC">
        <w:rPr>
          <w:rFonts w:ascii="Arial" w:hAnsi="Arial" w:cs="Arial"/>
          <w:b/>
          <w:snapToGrid w:val="0"/>
          <w:sz w:val="26"/>
          <w:szCs w:val="26"/>
        </w:rPr>
        <w:t xml:space="preserve">. </w:t>
      </w:r>
      <w:r w:rsidR="00763651">
        <w:rPr>
          <w:rFonts w:ascii="Arial" w:hAnsi="Arial" w:cs="Arial"/>
          <w:b/>
          <w:snapToGrid w:val="0"/>
          <w:sz w:val="26"/>
          <w:szCs w:val="26"/>
        </w:rPr>
        <w:t>DECISIÓN.</w:t>
      </w:r>
    </w:p>
    <w:p w14:paraId="735A966E" w14:textId="7AB2C0FD" w:rsidR="00A942AE" w:rsidRPr="007C7E7E" w:rsidRDefault="000A2B15" w:rsidP="00A942AE">
      <w:pPr>
        <w:widowControl w:val="0"/>
        <w:tabs>
          <w:tab w:val="left" w:pos="0"/>
        </w:tabs>
        <w:spacing w:before="240" w:after="0" w:line="360" w:lineRule="auto"/>
        <w:ind w:right="18"/>
        <w:jc w:val="both"/>
        <w:rPr>
          <w:rFonts w:ascii="Arial" w:eastAsia="Calibri" w:hAnsi="Arial" w:cs="Arial"/>
          <w:bCs/>
          <w:sz w:val="26"/>
          <w:szCs w:val="26"/>
        </w:rPr>
      </w:pPr>
      <w:r w:rsidRPr="00FA4B19">
        <w:rPr>
          <w:rFonts w:ascii="Arial" w:eastAsia="Calibri" w:hAnsi="Arial" w:cs="Arial"/>
          <w:bCs/>
          <w:sz w:val="26"/>
          <w:szCs w:val="26"/>
        </w:rPr>
        <w:tab/>
      </w:r>
      <w:r w:rsidR="003A7290" w:rsidRPr="007C7E7E">
        <w:rPr>
          <w:rFonts w:ascii="Arial" w:eastAsia="Calibri" w:hAnsi="Arial" w:cs="Arial"/>
          <w:bCs/>
          <w:sz w:val="26"/>
          <w:szCs w:val="26"/>
        </w:rPr>
        <w:t>17</w:t>
      </w:r>
      <w:r w:rsidR="00572233" w:rsidRPr="007C7E7E">
        <w:rPr>
          <w:rFonts w:ascii="Arial" w:eastAsia="Calibri" w:hAnsi="Arial" w:cs="Arial"/>
          <w:bCs/>
          <w:sz w:val="26"/>
          <w:szCs w:val="26"/>
        </w:rPr>
        <w:t xml:space="preserve">. </w:t>
      </w:r>
      <w:r w:rsidR="00A942AE" w:rsidRPr="007C7E7E">
        <w:rPr>
          <w:rFonts w:ascii="Arial" w:eastAsia="Calibri" w:hAnsi="Arial" w:cs="Arial"/>
          <w:bCs/>
          <w:sz w:val="26"/>
          <w:szCs w:val="26"/>
        </w:rPr>
        <w:t xml:space="preserve">Finalmente, </w:t>
      </w:r>
      <w:r w:rsidR="00A942AE" w:rsidRPr="007C7E7E">
        <w:rPr>
          <w:rFonts w:ascii="Arial" w:eastAsia="Calibri" w:hAnsi="Arial" w:cs="Arial"/>
          <w:sz w:val="26"/>
          <w:szCs w:val="26"/>
        </w:rPr>
        <w:t xml:space="preserve">por los fundamentos y motivos expuestos por esta Sala </w:t>
      </w:r>
      <w:r w:rsidR="00A942AE" w:rsidRPr="007C7E7E">
        <w:rPr>
          <w:rFonts w:ascii="Arial" w:eastAsia="Calibri" w:hAnsi="Arial" w:cs="Arial"/>
          <w:sz w:val="26"/>
          <w:szCs w:val="26"/>
        </w:rPr>
        <w:lastRenderedPageBreak/>
        <w:t xml:space="preserve">Superior, </w:t>
      </w:r>
      <w:r w:rsidR="00A942AE" w:rsidRPr="007C7E7E">
        <w:rPr>
          <w:rFonts w:ascii="Arial" w:eastAsia="Calibri" w:hAnsi="Arial" w:cs="Arial"/>
          <w:bCs/>
          <w:sz w:val="26"/>
          <w:szCs w:val="26"/>
        </w:rPr>
        <w:t>es procedente</w:t>
      </w:r>
      <w:r w:rsidR="00A942AE" w:rsidRPr="007C7E7E">
        <w:rPr>
          <w:rFonts w:ascii="Arial" w:eastAsia="Calibri" w:hAnsi="Arial" w:cs="Arial"/>
          <w:b/>
          <w:bCs/>
          <w:sz w:val="26"/>
          <w:szCs w:val="26"/>
        </w:rPr>
        <w:t xml:space="preserve"> REVOCAR </w:t>
      </w:r>
      <w:r w:rsidR="00A942AE" w:rsidRPr="007C7E7E">
        <w:rPr>
          <w:rFonts w:ascii="Arial" w:eastAsia="Calibri" w:hAnsi="Arial" w:cs="Arial"/>
          <w:sz w:val="26"/>
          <w:szCs w:val="26"/>
        </w:rPr>
        <w:t xml:space="preserve">el acuerdo de trece de febrero de dos mil veintitrés, </w:t>
      </w:r>
      <w:r w:rsidR="00A942AE" w:rsidRPr="007C7E7E">
        <w:rPr>
          <w:rFonts w:ascii="Arial" w:eastAsia="Calibri" w:hAnsi="Arial" w:cs="Arial"/>
          <w:bCs/>
          <w:sz w:val="26"/>
          <w:szCs w:val="26"/>
        </w:rPr>
        <w:t>y en su lugar se ordena a la Tercera Sala Unitaria que dicte un nuevo proveído, en el que atendiendo a la consideraciones expuestas respecto del acto impugnado y de no advertir otras causales de improcedencia, admita a la demanda de nulidad interpuesta por la parte actora.</w:t>
      </w:r>
    </w:p>
    <w:p w14:paraId="0E80D445" w14:textId="23980C0F" w:rsidR="000A2B15" w:rsidRPr="00FA4B19" w:rsidRDefault="000A2B15" w:rsidP="000A2B15">
      <w:pPr>
        <w:widowControl w:val="0"/>
        <w:tabs>
          <w:tab w:val="left" w:pos="0"/>
        </w:tabs>
        <w:spacing w:before="240" w:after="0" w:line="360" w:lineRule="auto"/>
        <w:ind w:right="18"/>
        <w:jc w:val="both"/>
        <w:rPr>
          <w:rFonts w:ascii="Arial" w:hAnsi="Arial" w:cs="Arial"/>
          <w:sz w:val="26"/>
          <w:szCs w:val="26"/>
        </w:rPr>
      </w:pPr>
      <w:r w:rsidRPr="00FA4B19">
        <w:rPr>
          <w:rFonts w:ascii="Arial" w:eastAsia="Calibri" w:hAnsi="Arial" w:cs="Arial"/>
          <w:sz w:val="26"/>
          <w:szCs w:val="26"/>
        </w:rPr>
        <w:tab/>
      </w:r>
      <w:r w:rsidR="008C415E">
        <w:rPr>
          <w:rFonts w:ascii="Arial" w:eastAsia="Calibri" w:hAnsi="Arial" w:cs="Arial"/>
          <w:sz w:val="26"/>
          <w:szCs w:val="26"/>
        </w:rPr>
        <w:t>18</w:t>
      </w:r>
      <w:r w:rsidR="00572233">
        <w:rPr>
          <w:rFonts w:ascii="Arial" w:eastAsia="Calibri" w:hAnsi="Arial" w:cs="Arial"/>
          <w:sz w:val="26"/>
          <w:szCs w:val="26"/>
        </w:rPr>
        <w:t xml:space="preserve">. </w:t>
      </w:r>
      <w:r w:rsidRPr="00FA4B19">
        <w:rPr>
          <w:rFonts w:ascii="Arial" w:eastAsia="Calibri" w:hAnsi="Arial" w:cs="Arial"/>
          <w:sz w:val="26"/>
          <w:szCs w:val="26"/>
        </w:rPr>
        <w:t xml:space="preserve">Por lo que, </w:t>
      </w:r>
      <w:r>
        <w:rPr>
          <w:rFonts w:ascii="Arial" w:eastAsia="Calibri" w:hAnsi="Arial" w:cs="Arial"/>
          <w:sz w:val="26"/>
          <w:szCs w:val="26"/>
        </w:rPr>
        <w:t xml:space="preserve">en atención a lo </w:t>
      </w:r>
      <w:r w:rsidRPr="00BB2DC9">
        <w:rPr>
          <w:rFonts w:ascii="Arial" w:eastAsia="Calibri" w:hAnsi="Arial" w:cs="Arial"/>
          <w:b/>
          <w:sz w:val="26"/>
          <w:szCs w:val="26"/>
        </w:rPr>
        <w:t xml:space="preserve">sustancialmente fundado </w:t>
      </w:r>
      <w:r>
        <w:rPr>
          <w:rFonts w:ascii="Arial" w:eastAsia="Calibri" w:hAnsi="Arial" w:cs="Arial"/>
          <w:sz w:val="26"/>
          <w:szCs w:val="26"/>
        </w:rPr>
        <w:t xml:space="preserve">de los agravios de la parte recurrente, </w:t>
      </w:r>
      <w:r w:rsidRPr="00FA4B19">
        <w:rPr>
          <w:rFonts w:ascii="Arial" w:eastAsia="Calibri" w:hAnsi="Arial" w:cs="Arial"/>
          <w:sz w:val="26"/>
          <w:szCs w:val="26"/>
        </w:rPr>
        <w:t>con fundamento en los artículos 236 y 238 de la Ley de Procedimiento y Justicia Administrativa para el Estado de Oaxaca, se</w:t>
      </w:r>
      <w:r w:rsidRPr="00FA4B19">
        <w:rPr>
          <w:rFonts w:ascii="Arial" w:hAnsi="Arial" w:cs="Arial"/>
          <w:sz w:val="26"/>
          <w:szCs w:val="26"/>
        </w:rPr>
        <w:t>:</w:t>
      </w:r>
    </w:p>
    <w:p w14:paraId="7F5C0C37" w14:textId="3A4A30A6" w:rsidR="000A2B15" w:rsidRPr="00FA4B19" w:rsidRDefault="000A2B15" w:rsidP="000A2B15">
      <w:pPr>
        <w:spacing w:before="240" w:after="0" w:line="360" w:lineRule="auto"/>
        <w:jc w:val="center"/>
        <w:rPr>
          <w:rFonts w:ascii="Arial" w:hAnsi="Arial" w:cs="Arial"/>
          <w:b/>
          <w:sz w:val="26"/>
          <w:szCs w:val="26"/>
          <w:lang w:val="es-ES"/>
        </w:rPr>
      </w:pPr>
      <w:r>
        <w:rPr>
          <w:rFonts w:ascii="Arial" w:hAnsi="Arial" w:cs="Arial"/>
          <w:b/>
          <w:sz w:val="26"/>
          <w:szCs w:val="26"/>
          <w:lang w:val="es-ES"/>
        </w:rPr>
        <w:t xml:space="preserve">3. </w:t>
      </w:r>
      <w:r w:rsidRPr="00FA4B19">
        <w:rPr>
          <w:rFonts w:ascii="Arial" w:hAnsi="Arial" w:cs="Arial"/>
          <w:b/>
          <w:sz w:val="26"/>
          <w:szCs w:val="26"/>
          <w:lang w:val="es-ES"/>
        </w:rPr>
        <w:t>R E S U E L V E</w:t>
      </w:r>
    </w:p>
    <w:p w14:paraId="094DA02E" w14:textId="47BF46B2" w:rsidR="000A2B15" w:rsidRPr="00FA4B19" w:rsidRDefault="000A2B15" w:rsidP="000A2B15">
      <w:pPr>
        <w:spacing w:before="240" w:after="0" w:line="360" w:lineRule="auto"/>
        <w:ind w:firstLine="708"/>
        <w:jc w:val="both"/>
        <w:rPr>
          <w:rFonts w:ascii="Arial" w:hAnsi="Arial" w:cs="Arial"/>
          <w:bCs/>
          <w:color w:val="000000"/>
          <w:sz w:val="26"/>
          <w:szCs w:val="26"/>
        </w:rPr>
      </w:pPr>
      <w:r w:rsidRPr="00FA4B19">
        <w:rPr>
          <w:rFonts w:ascii="Arial" w:hAnsi="Arial" w:cs="Arial"/>
          <w:b/>
          <w:color w:val="000000"/>
          <w:sz w:val="26"/>
          <w:szCs w:val="26"/>
          <w:lang w:val="es-ES"/>
        </w:rPr>
        <w:t>PRIMERO</w:t>
      </w:r>
      <w:r w:rsidRPr="00FA4B19">
        <w:rPr>
          <w:rFonts w:ascii="Arial" w:hAnsi="Arial" w:cs="Arial"/>
          <w:color w:val="000000"/>
          <w:sz w:val="26"/>
          <w:szCs w:val="26"/>
          <w:lang w:val="es-ES"/>
        </w:rPr>
        <w:t xml:space="preserve">. </w:t>
      </w:r>
      <w:r w:rsidRPr="00FA4B19">
        <w:rPr>
          <w:rFonts w:ascii="Arial" w:hAnsi="Arial" w:cs="Arial"/>
          <w:color w:val="000000"/>
          <w:sz w:val="26"/>
          <w:szCs w:val="26"/>
        </w:rPr>
        <w:t>Se</w:t>
      </w:r>
      <w:r w:rsidRPr="00FA4B19">
        <w:rPr>
          <w:rFonts w:ascii="Arial" w:hAnsi="Arial" w:cs="Arial"/>
          <w:b/>
          <w:color w:val="000000"/>
          <w:sz w:val="26"/>
          <w:szCs w:val="26"/>
        </w:rPr>
        <w:t xml:space="preserve"> REVOCA </w:t>
      </w:r>
      <w:r w:rsidRPr="00FA4B19">
        <w:rPr>
          <w:rFonts w:ascii="Arial" w:hAnsi="Arial" w:cs="Arial"/>
          <w:color w:val="000000"/>
          <w:sz w:val="26"/>
          <w:szCs w:val="26"/>
        </w:rPr>
        <w:t xml:space="preserve">el acuerdo de </w:t>
      </w:r>
      <w:r>
        <w:rPr>
          <w:rFonts w:ascii="Arial" w:hAnsi="Arial" w:cs="Arial"/>
          <w:color w:val="000000"/>
          <w:sz w:val="26"/>
          <w:szCs w:val="26"/>
        </w:rPr>
        <w:t>trece de febrero de dos mil veintitrés</w:t>
      </w:r>
      <w:r w:rsidRPr="00FA4B19">
        <w:rPr>
          <w:rFonts w:ascii="Arial" w:hAnsi="Arial" w:cs="Arial"/>
          <w:color w:val="000000"/>
          <w:sz w:val="26"/>
          <w:szCs w:val="26"/>
        </w:rPr>
        <w:t xml:space="preserve">, </w:t>
      </w:r>
      <w:r>
        <w:rPr>
          <w:rFonts w:ascii="Arial" w:hAnsi="Arial" w:cs="Arial"/>
          <w:color w:val="000000"/>
          <w:sz w:val="26"/>
          <w:szCs w:val="26"/>
        </w:rPr>
        <w:t xml:space="preserve">y se </w:t>
      </w:r>
      <w:r w:rsidR="000211D3">
        <w:rPr>
          <w:rFonts w:ascii="Arial" w:hAnsi="Arial" w:cs="Arial"/>
          <w:color w:val="000000"/>
          <w:sz w:val="26"/>
          <w:szCs w:val="26"/>
        </w:rPr>
        <w:t xml:space="preserve">ordena a la Tercera Sala Unitaria </w:t>
      </w:r>
      <w:r w:rsidR="007C7E7E">
        <w:rPr>
          <w:rFonts w:ascii="Arial" w:hAnsi="Arial" w:cs="Arial"/>
          <w:color w:val="000000"/>
          <w:sz w:val="26"/>
          <w:szCs w:val="26"/>
        </w:rPr>
        <w:t xml:space="preserve">de este Tribunal </w:t>
      </w:r>
      <w:r w:rsidR="000211D3">
        <w:rPr>
          <w:rFonts w:ascii="Arial" w:hAnsi="Arial" w:cs="Arial"/>
          <w:color w:val="000000"/>
          <w:sz w:val="26"/>
          <w:szCs w:val="26"/>
        </w:rPr>
        <w:t xml:space="preserve">que dicte </w:t>
      </w:r>
      <w:r>
        <w:rPr>
          <w:rFonts w:ascii="Arial" w:hAnsi="Arial" w:cs="Arial"/>
          <w:color w:val="000000"/>
          <w:sz w:val="26"/>
          <w:szCs w:val="26"/>
        </w:rPr>
        <w:t xml:space="preserve">uno nuevo, </w:t>
      </w:r>
      <w:r w:rsidRPr="00FA4B19">
        <w:rPr>
          <w:rFonts w:ascii="Arial" w:hAnsi="Arial" w:cs="Arial"/>
          <w:color w:val="000000"/>
          <w:sz w:val="26"/>
          <w:szCs w:val="26"/>
        </w:rPr>
        <w:t>por las razones expuestas por esta Sala Superior en el considerando que antecede.</w:t>
      </w:r>
    </w:p>
    <w:p w14:paraId="0206C47B" w14:textId="77777777" w:rsidR="000A2B15" w:rsidRPr="00FA4B19" w:rsidRDefault="000A2B15" w:rsidP="000A2B15">
      <w:pPr>
        <w:widowControl w:val="0"/>
        <w:tabs>
          <w:tab w:val="left" w:pos="0"/>
        </w:tabs>
        <w:spacing w:before="240" w:line="360" w:lineRule="auto"/>
        <w:ind w:right="18"/>
        <w:jc w:val="both"/>
        <w:rPr>
          <w:rFonts w:ascii="Arial" w:hAnsi="Arial" w:cs="Arial"/>
          <w:b/>
          <w:sz w:val="26"/>
          <w:szCs w:val="26"/>
        </w:rPr>
      </w:pPr>
      <w:r w:rsidRPr="00FA4B19">
        <w:rPr>
          <w:rFonts w:ascii="Arial" w:hAnsi="Arial" w:cs="Arial"/>
          <w:b/>
          <w:sz w:val="26"/>
          <w:szCs w:val="26"/>
        </w:rPr>
        <w:tab/>
        <w:t>SEGUNDO.- NOTIFÍQUESE Y CÚMPLASE,</w:t>
      </w:r>
      <w:r w:rsidRPr="00FA4B19">
        <w:rPr>
          <w:rFonts w:ascii="Arial" w:hAnsi="Arial" w:cs="Arial"/>
          <w:sz w:val="26"/>
          <w:szCs w:val="26"/>
        </w:rPr>
        <w:t xml:space="preserve"> remítase copia certificada de l</w:t>
      </w:r>
      <w:r>
        <w:rPr>
          <w:rFonts w:ascii="Arial" w:hAnsi="Arial" w:cs="Arial"/>
          <w:sz w:val="26"/>
          <w:szCs w:val="26"/>
        </w:rPr>
        <w:t>a presente resolución a la Tercera</w:t>
      </w:r>
      <w:r w:rsidRPr="00FA4B19">
        <w:rPr>
          <w:rFonts w:ascii="Arial" w:hAnsi="Arial" w:cs="Arial"/>
          <w:sz w:val="26"/>
          <w:szCs w:val="26"/>
        </w:rPr>
        <w:t xml:space="preserve"> Sala Unitaria de Primera Instancia de este Tribunal y en su oportunidad archívese el presente cuaderno de revisión como asunto concluido.</w:t>
      </w:r>
    </w:p>
    <w:p w14:paraId="3E9B4A91" w14:textId="6671D65B" w:rsidR="00CC2EBB" w:rsidRDefault="00F47A37" w:rsidP="002417AF">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B979B6">
        <w:rPr>
          <w:rFonts w:ascii="Arial" w:eastAsia="Times New Roman" w:hAnsi="Arial" w:cs="Arial"/>
          <w:sz w:val="26"/>
          <w:szCs w:val="26"/>
          <w:lang w:val="es-ES" w:eastAsia="es-ES"/>
        </w:rPr>
        <w:t xml:space="preserve"> (</w:t>
      </w:r>
      <w:r w:rsidR="00B979B6">
        <w:rPr>
          <w:rFonts w:ascii="Arial" w:eastAsia="Times New Roman" w:hAnsi="Arial" w:cs="Arial"/>
          <w:b/>
          <w:sz w:val="26"/>
          <w:szCs w:val="26"/>
          <w:lang w:val="es-ES" w:eastAsia="es-ES"/>
        </w:rPr>
        <w:t>ponente)</w:t>
      </w:r>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r w:rsidR="00B979B6">
        <w:rPr>
          <w:rFonts w:ascii="Arial" w:eastAsia="Times New Roman" w:hAnsi="Arial" w:cs="Arial"/>
          <w:sz w:val="26"/>
          <w:szCs w:val="26"/>
          <w:lang w:val="es-ES" w:eastAsia="es-ES"/>
        </w:rPr>
        <w:t xml:space="preserve"> - - - - - - -</w:t>
      </w: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5BA51E9C" w:rsidR="00F47A37" w:rsidRDefault="00F47A37"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76456A86" w14:textId="0CF0CEBA" w:rsidR="007C7E7E" w:rsidRDefault="007C7E7E"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(PONENTE).</w:t>
      </w:r>
    </w:p>
    <w:p w14:paraId="1007F4A8" w14:textId="77777777" w:rsidR="007C7E7E" w:rsidRDefault="007C7E7E" w:rsidP="00F47A37">
      <w:pPr>
        <w:widowControl w:val="0"/>
        <w:spacing w:line="36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200065B1" w14:textId="77777777"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C76F626" w14:textId="77777777"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sectPr w:rsidR="00E34A79" w:rsidSect="00DB1614">
      <w:headerReference w:type="even" r:id="rId8"/>
      <w:headerReference w:type="default" r:id="rId9"/>
      <w:footerReference w:type="default" r:id="rId10"/>
      <w:headerReference w:type="first" r:id="rId11"/>
      <w:pgSz w:w="12240" w:h="20160" w:code="5"/>
      <w:pgMar w:top="1134" w:right="851" w:bottom="1418" w:left="2552" w:header="709" w:footer="1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13673" w14:textId="77777777" w:rsidR="006836E3" w:rsidRDefault="006836E3" w:rsidP="00604752">
      <w:pPr>
        <w:spacing w:after="0" w:line="240" w:lineRule="auto"/>
      </w:pPr>
      <w:r>
        <w:separator/>
      </w:r>
    </w:p>
  </w:endnote>
  <w:endnote w:type="continuationSeparator" w:id="0">
    <w:p w14:paraId="33B6D3D6" w14:textId="77777777" w:rsidR="006836E3" w:rsidRDefault="006836E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D5693" w14:textId="77777777" w:rsidR="006836E3" w:rsidRDefault="006836E3" w:rsidP="00604752">
      <w:pPr>
        <w:spacing w:after="0" w:line="240" w:lineRule="auto"/>
      </w:pPr>
      <w:r>
        <w:separator/>
      </w:r>
    </w:p>
  </w:footnote>
  <w:footnote w:type="continuationSeparator" w:id="0">
    <w:p w14:paraId="28993B31" w14:textId="77777777" w:rsidR="006836E3" w:rsidRDefault="006836E3" w:rsidP="00604752">
      <w:pPr>
        <w:spacing w:after="0" w:line="240" w:lineRule="auto"/>
      </w:pPr>
      <w:r>
        <w:continuationSeparator/>
      </w:r>
    </w:p>
  </w:footnote>
  <w:footnote w:id="1">
    <w:p w14:paraId="71B210C7" w14:textId="1511C6B7" w:rsidR="003C3183" w:rsidRPr="005E2CB9" w:rsidRDefault="003C3183" w:rsidP="00572233">
      <w:pPr>
        <w:pStyle w:val="Textonotapie"/>
        <w:spacing w:after="240" w:line="276" w:lineRule="auto"/>
        <w:jc w:val="both"/>
        <w:rPr>
          <w:rFonts w:ascii="Arial" w:hAnsi="Arial" w:cs="Arial"/>
          <w:i/>
        </w:rPr>
      </w:pPr>
      <w:r w:rsidRPr="005E2CB9">
        <w:rPr>
          <w:rStyle w:val="Refdenotaalpie"/>
          <w:rFonts w:ascii="Arial" w:hAnsi="Arial" w:cs="Arial"/>
          <w:i/>
        </w:rPr>
        <w:footnoteRef/>
      </w:r>
      <w:r w:rsidRPr="005E2CB9">
        <w:rPr>
          <w:rFonts w:ascii="Arial" w:hAnsi="Arial" w:cs="Arial"/>
          <w:i/>
        </w:rPr>
        <w:t xml:space="preserve"> </w:t>
      </w:r>
      <w:r w:rsidRPr="005E2CB9">
        <w:rPr>
          <w:rFonts w:ascii="Arial" w:hAnsi="Arial" w:cs="Arial"/>
          <w:b/>
          <w:bCs/>
          <w:i/>
          <w:color w:val="000000"/>
        </w:rPr>
        <w:t>“CONCEPTOS DE VIOLACIÓN. NO ES OBLIGATORIO TRANSCRIBIRLOS EN LA SENTENCIA</w:t>
      </w:r>
      <w:r w:rsidRPr="005E2CB9">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2">
    <w:p w14:paraId="1589E923" w14:textId="77777777" w:rsidR="000A2B15" w:rsidRPr="00921A88" w:rsidRDefault="000A2B15" w:rsidP="00572233">
      <w:pPr>
        <w:pStyle w:val="Textonotapie"/>
        <w:spacing w:after="240" w:line="276" w:lineRule="auto"/>
        <w:jc w:val="both"/>
        <w:rPr>
          <w:rFonts w:ascii="Arial" w:hAnsi="Arial" w:cs="Arial"/>
          <w:i/>
        </w:rPr>
      </w:pPr>
      <w:r w:rsidRPr="00921A88">
        <w:rPr>
          <w:rStyle w:val="Refdenotaalpie"/>
          <w:rFonts w:ascii="Arial" w:hAnsi="Arial" w:cs="Arial"/>
          <w:i/>
        </w:rPr>
        <w:footnoteRef/>
      </w:r>
      <w:r w:rsidRPr="00921A88">
        <w:rPr>
          <w:rFonts w:ascii="Arial" w:hAnsi="Arial" w:cs="Arial"/>
          <w:i/>
        </w:rPr>
        <w:t xml:space="preserve"> </w:t>
      </w:r>
      <w:hyperlink r:id="rId1" w:history="1">
        <w:r w:rsidRPr="00921A88">
          <w:rPr>
            <w:rStyle w:val="Hipervnculo"/>
            <w:rFonts w:ascii="Arial" w:hAnsi="Arial" w:cs="Arial"/>
            <w:i/>
          </w:rPr>
          <w:t>https://imcp.org.mx/IMG/pdf/ANEXO_A_NOTICIAS_FISCALES_174.pdf</w:t>
        </w:r>
      </w:hyperlink>
      <w:r w:rsidRPr="00921A88">
        <w:rPr>
          <w:rFonts w:ascii="Arial" w:hAnsi="Arial" w:cs="Arial"/>
          <w:i/>
        </w:rPr>
        <w:t xml:space="preserve"> </w:t>
      </w:r>
    </w:p>
  </w:footnote>
  <w:footnote w:id="3">
    <w:p w14:paraId="66C1A43A" w14:textId="77777777" w:rsidR="000A2B15" w:rsidRPr="00921A88" w:rsidRDefault="000A2B15" w:rsidP="00572233">
      <w:pPr>
        <w:pStyle w:val="Textonotapie"/>
        <w:spacing w:after="240" w:line="276" w:lineRule="auto"/>
        <w:jc w:val="both"/>
        <w:rPr>
          <w:rFonts w:ascii="Arial" w:hAnsi="Arial" w:cs="Arial"/>
          <w:i/>
        </w:rPr>
      </w:pPr>
      <w:r w:rsidRPr="00921A88">
        <w:rPr>
          <w:rStyle w:val="Refdenotaalpie"/>
          <w:rFonts w:ascii="Arial" w:hAnsi="Arial" w:cs="Arial"/>
          <w:i/>
        </w:rPr>
        <w:footnoteRef/>
      </w:r>
      <w:r w:rsidRPr="00921A88">
        <w:rPr>
          <w:rFonts w:ascii="Arial" w:hAnsi="Arial" w:cs="Arial"/>
          <w:i/>
        </w:rPr>
        <w:t xml:space="preserve"> </w:t>
      </w:r>
      <w:hyperlink r:id="rId2" w:history="1">
        <w:r w:rsidRPr="00921A88">
          <w:rPr>
            <w:rStyle w:val="Hipervnculo"/>
            <w:rFonts w:ascii="Arial" w:hAnsi="Arial" w:cs="Arial"/>
            <w:i/>
          </w:rPr>
          <w:t>https://sjf2.scjn.gob.mx/detalle/tesis/800495</w:t>
        </w:r>
      </w:hyperlink>
    </w:p>
    <w:p w14:paraId="2DC62DF9" w14:textId="77777777" w:rsidR="000A2B15" w:rsidRPr="00921A88" w:rsidRDefault="00DB1614" w:rsidP="00572233">
      <w:pPr>
        <w:pStyle w:val="Textonotapie"/>
        <w:spacing w:after="240" w:line="276" w:lineRule="auto"/>
        <w:jc w:val="both"/>
        <w:rPr>
          <w:rFonts w:ascii="Arial" w:hAnsi="Arial" w:cs="Arial"/>
          <w:i/>
        </w:rPr>
      </w:pPr>
      <w:hyperlink r:id="rId3" w:anchor=":~:text=Los%20recargos%20constituyen%20una%20indemnizaci%C3%B3n,frente%20a%20los%20gastos%20p%C3%BAblicos" w:history="1">
        <w:r w:rsidR="000A2B15" w:rsidRPr="00921A88">
          <w:rPr>
            <w:rStyle w:val="Hipervnculo"/>
            <w:rFonts w:ascii="Arial" w:hAnsi="Arial" w:cs="Arial"/>
            <w:i/>
          </w:rPr>
          <w:t>http://m.sat.gob.mx/adeudosfiscales/Ayuda/SimuladorParcialidades/AyudaParcialidades3.htm#:~:text=Los%20recargos%20constituyen%20una%20indemnizaci%C3%B3n,frente%20a%20los%20gastos%20p%C3%BAblicos</w:t>
        </w:r>
      </w:hyperlink>
      <w:r w:rsidR="000A2B15" w:rsidRPr="00921A88">
        <w:rPr>
          <w:rFonts w:ascii="Arial" w:hAnsi="Arial" w:cs="Arial"/>
          <w:i/>
        </w:rPr>
        <w:t xml:space="preserve">. </w:t>
      </w:r>
    </w:p>
  </w:footnote>
  <w:footnote w:id="4">
    <w:p w14:paraId="26DE6853" w14:textId="77777777" w:rsidR="000A2B15" w:rsidRPr="003A7290" w:rsidRDefault="000A2B15" w:rsidP="00572233">
      <w:pPr>
        <w:pStyle w:val="Textonotapie"/>
        <w:spacing w:after="240" w:line="276" w:lineRule="auto"/>
        <w:jc w:val="both"/>
        <w:rPr>
          <w:rFonts w:ascii="Arial" w:hAnsi="Arial" w:cs="Arial"/>
          <w:i/>
        </w:rPr>
      </w:pPr>
      <w:r w:rsidRPr="003A7290">
        <w:rPr>
          <w:rStyle w:val="Refdenotaalpie"/>
          <w:rFonts w:ascii="Arial" w:hAnsi="Arial" w:cs="Arial"/>
          <w:i/>
        </w:rPr>
        <w:footnoteRef/>
      </w:r>
      <w:r w:rsidRPr="003A7290">
        <w:rPr>
          <w:rFonts w:ascii="Arial" w:hAnsi="Arial" w:cs="Arial"/>
          <w:i/>
        </w:rPr>
        <w:t xml:space="preserve"> Venegas, Sonia, Derecho Fiscal. Parte general e impuestos federales, Oxford, México, 2017, p. 192.</w:t>
      </w:r>
    </w:p>
  </w:footnote>
  <w:footnote w:id="5">
    <w:p w14:paraId="3D54FAD7" w14:textId="77777777" w:rsidR="000A2B15" w:rsidRPr="003A7290" w:rsidRDefault="000A2B15" w:rsidP="00572233">
      <w:pPr>
        <w:pStyle w:val="Textonotapie"/>
        <w:spacing w:after="240" w:line="276" w:lineRule="auto"/>
        <w:jc w:val="both"/>
        <w:rPr>
          <w:rFonts w:ascii="Arial" w:hAnsi="Arial" w:cs="Arial"/>
          <w:i/>
        </w:rPr>
      </w:pPr>
      <w:r w:rsidRPr="003A7290">
        <w:rPr>
          <w:rStyle w:val="Refdenotaalpie"/>
          <w:rFonts w:ascii="Arial" w:hAnsi="Arial" w:cs="Arial"/>
          <w:i/>
        </w:rPr>
        <w:footnoteRef/>
      </w:r>
      <w:r w:rsidRPr="003A7290">
        <w:rPr>
          <w:rFonts w:ascii="Arial" w:hAnsi="Arial" w:cs="Arial"/>
          <w:i/>
        </w:rPr>
        <w:t>“</w:t>
      </w:r>
      <w:r w:rsidRPr="003A7290">
        <w:rPr>
          <w:rFonts w:ascii="Arial" w:hAnsi="Arial" w:cs="Arial"/>
          <w:b/>
          <w:i/>
        </w:rPr>
        <w:t>Artículo 12</w:t>
      </w:r>
      <w:r w:rsidRPr="003A7290">
        <w:rPr>
          <w:rFonts w:ascii="Arial" w:hAnsi="Arial" w:cs="Arial"/>
          <w:i/>
        </w:rPr>
        <w:t>. El monto de las contribuciones, aprovechamientos, y demás créditos fiscales, así como de las devoluciones a cargo del fisco municipal, se actualizarán por el transcurso del tiempo y con motivo de los cambios de precios en el país. Esta actualización deberá realizarse desde la fecha en que el pago debió efectuarse, y hasta que el mismo se realice, tratándose de devolución la actualización comprenderá el periodo desde el mes en que se realizó el pago de lo indebido y hasta aquel en que la devolución esté a disposición del contribuyente. Para los fines de la actualización de que prevé este artículo, a las cantidades que se deban actualizar, se aplicará el factor de actualización que se obtenga dividiendo el INPC del mes anterior al más reciente del periodo que deba actualizare, entre el citado índice correspondiente al mes anterior al más antiguo de dicho periodo. Las actualizaciones a que se refiere este artículo, no se realizarán por fracciones de mes. (…)</w:t>
      </w:r>
    </w:p>
    <w:p w14:paraId="0027D6E9" w14:textId="77777777" w:rsidR="000A2B15" w:rsidRPr="003A7290" w:rsidRDefault="000A2B15" w:rsidP="00572233">
      <w:pPr>
        <w:pStyle w:val="Textonotapie"/>
        <w:spacing w:after="240" w:line="276" w:lineRule="auto"/>
        <w:jc w:val="both"/>
        <w:rPr>
          <w:rFonts w:ascii="Arial" w:hAnsi="Arial" w:cs="Arial"/>
          <w:i/>
        </w:rPr>
      </w:pPr>
      <w:r w:rsidRPr="003A7290">
        <w:rPr>
          <w:rFonts w:ascii="Arial" w:hAnsi="Arial" w:cs="Arial"/>
          <w:i/>
        </w:rPr>
        <w:t>En ningún caso se podrá liberar a los contribuyentes de la actualización de las contribuciones o aprovechamientos.”</w:t>
      </w:r>
    </w:p>
  </w:footnote>
  <w:footnote w:id="6">
    <w:p w14:paraId="136C6317" w14:textId="77777777" w:rsidR="000A2B15" w:rsidRPr="003A7290" w:rsidRDefault="000A2B15" w:rsidP="00572233">
      <w:pPr>
        <w:pStyle w:val="Textonotapie"/>
        <w:spacing w:after="240" w:line="276" w:lineRule="auto"/>
        <w:jc w:val="both"/>
        <w:rPr>
          <w:rFonts w:ascii="Arial" w:hAnsi="Arial" w:cs="Arial"/>
          <w:i/>
        </w:rPr>
      </w:pPr>
      <w:r w:rsidRPr="003A7290">
        <w:rPr>
          <w:rStyle w:val="Refdenotaalpie"/>
          <w:rFonts w:ascii="Arial" w:hAnsi="Arial" w:cs="Arial"/>
          <w:i/>
        </w:rPr>
        <w:footnoteRef/>
      </w:r>
      <w:r w:rsidRPr="003A7290">
        <w:rPr>
          <w:rFonts w:ascii="Arial" w:hAnsi="Arial" w:cs="Arial"/>
          <w:i/>
        </w:rPr>
        <w:t xml:space="preserve"> Visible en la foja 33 (treinta y tres) del cuadernillo de copias certificadas deducido del expediente </w:t>
      </w:r>
      <w:r w:rsidRPr="003A7290">
        <w:rPr>
          <w:rFonts w:ascii="Arial" w:hAnsi="Arial" w:cs="Arial"/>
          <w:b/>
          <w:i/>
        </w:rPr>
        <w:t>0013/2023</w:t>
      </w:r>
      <w:r w:rsidRPr="003A7290">
        <w:rPr>
          <w:rFonts w:ascii="Arial" w:hAnsi="Arial" w:cs="Arial"/>
          <w:i/>
        </w:rPr>
        <w:t xml:space="preserve"> del índice de la Quinta Sala Unitaria de Primera Instancia.</w:t>
      </w:r>
    </w:p>
  </w:footnote>
  <w:footnote w:id="7">
    <w:p w14:paraId="402236E8" w14:textId="77777777" w:rsidR="000A2B15" w:rsidRPr="00BF59B5" w:rsidRDefault="000A2B15" w:rsidP="00572233">
      <w:pPr>
        <w:pStyle w:val="Textonotapie"/>
        <w:spacing w:after="240" w:line="276" w:lineRule="auto"/>
        <w:jc w:val="both"/>
        <w:rPr>
          <w:rFonts w:ascii="Arial" w:hAnsi="Arial" w:cs="Arial"/>
          <w:lang w:val="es-ES"/>
        </w:rPr>
      </w:pPr>
      <w:r w:rsidRPr="00572233">
        <w:rPr>
          <w:rStyle w:val="Refdenotaalpie"/>
          <w:rFonts w:ascii="Arial" w:hAnsi="Arial" w:cs="Arial"/>
          <w:i/>
          <w:sz w:val="16"/>
          <w:szCs w:val="16"/>
        </w:rPr>
        <w:footnoteRef/>
      </w:r>
      <w:r w:rsidRPr="00572233">
        <w:rPr>
          <w:rFonts w:ascii="Arial" w:hAnsi="Arial" w:cs="Arial"/>
          <w:i/>
          <w:sz w:val="16"/>
          <w:szCs w:val="16"/>
        </w:rPr>
        <w:t xml:space="preserve"> </w:t>
      </w:r>
      <w:hyperlink r:id="rId4" w:history="1">
        <w:r w:rsidRPr="00572233">
          <w:rPr>
            <w:rStyle w:val="Hipervnculo"/>
            <w:rFonts w:ascii="Arial" w:hAnsi="Arial" w:cs="Arial"/>
            <w:i/>
            <w:sz w:val="16"/>
            <w:szCs w:val="16"/>
          </w:rPr>
          <w:t>https://sjf2.scjn.gob.mx/detalle/tesis/800495</w:t>
        </w:r>
      </w:hyperlink>
      <w:r w:rsidRPr="00572233">
        <w:rPr>
          <w:rFonts w:ascii="Arial" w:hAnsi="Arial" w:cs="Arial"/>
          <w:i/>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3A86D" w14:textId="5DDA196E" w:rsidR="00DB1614" w:rsidRDefault="00DB1614">
    <w:pPr>
      <w:pStyle w:val="Encabezado"/>
    </w:pPr>
    <w:r>
      <w:rPr>
        <w:noProof/>
      </w:rPr>
      <w:drawing>
        <wp:anchor distT="0" distB="0" distL="114300" distR="114300" simplePos="0" relativeHeight="251662336" behindDoc="1" locked="0" layoutInCell="1" allowOverlap="1" wp14:anchorId="48ED3C73" wp14:editId="2313B23C">
          <wp:simplePos x="0" y="0"/>
          <wp:positionH relativeFrom="column">
            <wp:posOffset>6041390</wp:posOffset>
          </wp:positionH>
          <wp:positionV relativeFrom="paragraph">
            <wp:posOffset>5731510</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540D7610" w:rsidR="003C3183" w:rsidRDefault="003C3183">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61312" behindDoc="0" locked="0" layoutInCell="1" allowOverlap="1" wp14:anchorId="7E4D2DD9" wp14:editId="4F912E2D">
              <wp:simplePos x="0" y="0"/>
              <wp:positionH relativeFrom="column">
                <wp:posOffset>99695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DC3AAB" w:rsidRPr="00DC3AAB">
          <w:rPr>
            <w:noProof/>
            <w:lang w:val="es-ES"/>
          </w:rPr>
          <w:t>8</w:t>
        </w:r>
        <w:r>
          <w:fldChar w:fldCharType="end"/>
        </w:r>
      </w:p>
    </w:sdtContent>
  </w:sdt>
  <w:p w14:paraId="6DE680F6" w14:textId="23772525" w:rsidR="003C3183" w:rsidRDefault="00DB1614">
    <w:pPr>
      <w:pStyle w:val="Encabezado"/>
    </w:pPr>
    <w:r>
      <w:rPr>
        <w:noProof/>
      </w:rPr>
      <w:drawing>
        <wp:anchor distT="0" distB="0" distL="114300" distR="114300" simplePos="0" relativeHeight="251664384" behindDoc="1" locked="0" layoutInCell="1" allowOverlap="1" wp14:anchorId="48191707" wp14:editId="443B9A0A">
          <wp:simplePos x="0" y="0"/>
          <wp:positionH relativeFrom="column">
            <wp:posOffset>-1239520</wp:posOffset>
          </wp:positionH>
          <wp:positionV relativeFrom="paragraph">
            <wp:posOffset>3265170</wp:posOffset>
          </wp:positionV>
          <wp:extent cx="1030605" cy="1256030"/>
          <wp:effectExtent l="0" t="0" r="0" b="1270"/>
          <wp:wrapNone/>
          <wp:docPr id="145283934" name="Imagen 145283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4A23811D" w:rsidR="003C3183" w:rsidRDefault="003C3183">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59264" behindDoc="0" locked="0" layoutInCell="1" allowOverlap="1" wp14:anchorId="1E5F3248" wp14:editId="1FFF3564">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DC3AAB" w:rsidRPr="00DC3AAB">
          <w:rPr>
            <w:noProof/>
            <w:lang w:val="es-ES"/>
          </w:rPr>
          <w:t>1</w:t>
        </w:r>
        <w:r>
          <w:fldChar w:fldCharType="end"/>
        </w:r>
      </w:p>
    </w:sdtContent>
  </w:sdt>
  <w:p w14:paraId="703CC1EE" w14:textId="1D5DCD20" w:rsidR="003C3183" w:rsidRDefault="00DB1614">
    <w:pPr>
      <w:pStyle w:val="Encabezado"/>
    </w:pPr>
    <w:r>
      <w:rPr>
        <w:noProof/>
      </w:rPr>
      <w:drawing>
        <wp:anchor distT="0" distB="0" distL="114300" distR="114300" simplePos="0" relativeHeight="251663360" behindDoc="1" locked="0" layoutInCell="1" allowOverlap="1" wp14:anchorId="1C4CF388" wp14:editId="450C1860">
          <wp:simplePos x="0" y="0"/>
          <wp:positionH relativeFrom="column">
            <wp:posOffset>-1334770</wp:posOffset>
          </wp:positionH>
          <wp:positionV relativeFrom="paragraph">
            <wp:posOffset>5741670</wp:posOffset>
          </wp:positionV>
          <wp:extent cx="1030605" cy="1256030"/>
          <wp:effectExtent l="0" t="0" r="0" b="1270"/>
          <wp:wrapNone/>
          <wp:docPr id="839367369" name="Imagen 839367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4"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6F2A758B"/>
    <w:multiLevelType w:val="hybridMultilevel"/>
    <w:tmpl w:val="DFAC731C"/>
    <w:lvl w:ilvl="0" w:tplc="6532A0AE">
      <w:start w:val="7"/>
      <w:numFmt w:val="decimal"/>
      <w:lvlText w:val="%1."/>
      <w:lvlJc w:val="left"/>
      <w:pPr>
        <w:ind w:left="502" w:hanging="360"/>
      </w:pPr>
      <w:rPr>
        <w:rFonts w:eastAsiaTheme="minorHAnsi"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1957445322">
    <w:abstractNumId w:val="10"/>
  </w:num>
  <w:num w:numId="2" w16cid:durableId="1985161375">
    <w:abstractNumId w:val="13"/>
  </w:num>
  <w:num w:numId="3" w16cid:durableId="1566911348">
    <w:abstractNumId w:val="20"/>
  </w:num>
  <w:num w:numId="4" w16cid:durableId="1708482773">
    <w:abstractNumId w:val="7"/>
  </w:num>
  <w:num w:numId="5" w16cid:durableId="1757432868">
    <w:abstractNumId w:val="16"/>
  </w:num>
  <w:num w:numId="6" w16cid:durableId="1322077505">
    <w:abstractNumId w:val="9"/>
  </w:num>
  <w:num w:numId="7" w16cid:durableId="539437494">
    <w:abstractNumId w:val="17"/>
  </w:num>
  <w:num w:numId="8" w16cid:durableId="1255015509">
    <w:abstractNumId w:val="4"/>
  </w:num>
  <w:num w:numId="9" w16cid:durableId="1984918916">
    <w:abstractNumId w:val="5"/>
  </w:num>
  <w:num w:numId="10" w16cid:durableId="1875921749">
    <w:abstractNumId w:val="3"/>
  </w:num>
  <w:num w:numId="11" w16cid:durableId="1899244851">
    <w:abstractNumId w:val="2"/>
  </w:num>
  <w:num w:numId="12" w16cid:durableId="394624864">
    <w:abstractNumId w:val="11"/>
  </w:num>
  <w:num w:numId="13" w16cid:durableId="1303078165">
    <w:abstractNumId w:val="14"/>
  </w:num>
  <w:num w:numId="14" w16cid:durableId="691033977">
    <w:abstractNumId w:val="8"/>
  </w:num>
  <w:num w:numId="15" w16cid:durableId="1662660474">
    <w:abstractNumId w:val="0"/>
  </w:num>
  <w:num w:numId="16" w16cid:durableId="1715813628">
    <w:abstractNumId w:val="12"/>
  </w:num>
  <w:num w:numId="17" w16cid:durableId="809633881">
    <w:abstractNumId w:val="15"/>
  </w:num>
  <w:num w:numId="18" w16cid:durableId="387266818">
    <w:abstractNumId w:val="1"/>
  </w:num>
  <w:num w:numId="19" w16cid:durableId="1623269077">
    <w:abstractNumId w:val="21"/>
  </w:num>
  <w:num w:numId="20" w16cid:durableId="1213543840">
    <w:abstractNumId w:val="22"/>
  </w:num>
  <w:num w:numId="21" w16cid:durableId="1162355860">
    <w:abstractNumId w:val="6"/>
  </w:num>
  <w:num w:numId="22" w16cid:durableId="913391617">
    <w:abstractNumId w:val="19"/>
  </w:num>
  <w:num w:numId="23" w16cid:durableId="10329207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203B2"/>
    <w:rsid w:val="00021165"/>
    <w:rsid w:val="000211D3"/>
    <w:rsid w:val="00022009"/>
    <w:rsid w:val="00022D0A"/>
    <w:rsid w:val="00023E0F"/>
    <w:rsid w:val="00023F66"/>
    <w:rsid w:val="00024B09"/>
    <w:rsid w:val="0002521A"/>
    <w:rsid w:val="00026BB2"/>
    <w:rsid w:val="00026F4A"/>
    <w:rsid w:val="000272BD"/>
    <w:rsid w:val="00027A22"/>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4AC2"/>
    <w:rsid w:val="000662B7"/>
    <w:rsid w:val="00070605"/>
    <w:rsid w:val="00075A85"/>
    <w:rsid w:val="00076B04"/>
    <w:rsid w:val="000809C3"/>
    <w:rsid w:val="00083AB0"/>
    <w:rsid w:val="00090D04"/>
    <w:rsid w:val="00092E1F"/>
    <w:rsid w:val="00093A8B"/>
    <w:rsid w:val="00094C52"/>
    <w:rsid w:val="00094E83"/>
    <w:rsid w:val="000951F5"/>
    <w:rsid w:val="00096FC9"/>
    <w:rsid w:val="0009786A"/>
    <w:rsid w:val="000A003F"/>
    <w:rsid w:val="000A25F3"/>
    <w:rsid w:val="000A2814"/>
    <w:rsid w:val="000A2A86"/>
    <w:rsid w:val="000A2B15"/>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9D6"/>
    <w:rsid w:val="000C7EB2"/>
    <w:rsid w:val="000D1115"/>
    <w:rsid w:val="000D1520"/>
    <w:rsid w:val="000D23FD"/>
    <w:rsid w:val="000D43D4"/>
    <w:rsid w:val="000D6A96"/>
    <w:rsid w:val="000D6EB7"/>
    <w:rsid w:val="000D730C"/>
    <w:rsid w:val="000E05B1"/>
    <w:rsid w:val="000E1601"/>
    <w:rsid w:val="000E2FD3"/>
    <w:rsid w:val="000E4994"/>
    <w:rsid w:val="000E728E"/>
    <w:rsid w:val="000F22D4"/>
    <w:rsid w:val="000F39BF"/>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85033"/>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1EF2"/>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7AF"/>
    <w:rsid w:val="002419CF"/>
    <w:rsid w:val="002432AA"/>
    <w:rsid w:val="00244364"/>
    <w:rsid w:val="00245075"/>
    <w:rsid w:val="00251577"/>
    <w:rsid w:val="002519E7"/>
    <w:rsid w:val="00252425"/>
    <w:rsid w:val="0025245F"/>
    <w:rsid w:val="002524BD"/>
    <w:rsid w:val="00252E0F"/>
    <w:rsid w:val="00254021"/>
    <w:rsid w:val="00263D95"/>
    <w:rsid w:val="00265704"/>
    <w:rsid w:val="00267C69"/>
    <w:rsid w:val="0027164D"/>
    <w:rsid w:val="0027381E"/>
    <w:rsid w:val="00273FAA"/>
    <w:rsid w:val="002744FF"/>
    <w:rsid w:val="002747AF"/>
    <w:rsid w:val="00274E07"/>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2370"/>
    <w:rsid w:val="002C2874"/>
    <w:rsid w:val="002C2EE5"/>
    <w:rsid w:val="002C48D3"/>
    <w:rsid w:val="002C4C27"/>
    <w:rsid w:val="002C501F"/>
    <w:rsid w:val="002D0236"/>
    <w:rsid w:val="002D1F19"/>
    <w:rsid w:val="002D696F"/>
    <w:rsid w:val="002D794E"/>
    <w:rsid w:val="002E0F64"/>
    <w:rsid w:val="002E19D5"/>
    <w:rsid w:val="002E2170"/>
    <w:rsid w:val="002E51ED"/>
    <w:rsid w:val="002E6A31"/>
    <w:rsid w:val="002F02FB"/>
    <w:rsid w:val="002F08AA"/>
    <w:rsid w:val="002F0F70"/>
    <w:rsid w:val="002F2F88"/>
    <w:rsid w:val="002F4A47"/>
    <w:rsid w:val="002F62ED"/>
    <w:rsid w:val="002F71C8"/>
    <w:rsid w:val="00300882"/>
    <w:rsid w:val="00301470"/>
    <w:rsid w:val="003039BE"/>
    <w:rsid w:val="00304F2A"/>
    <w:rsid w:val="003054D8"/>
    <w:rsid w:val="003056FB"/>
    <w:rsid w:val="003057ED"/>
    <w:rsid w:val="00307C60"/>
    <w:rsid w:val="00310690"/>
    <w:rsid w:val="0031131E"/>
    <w:rsid w:val="003119B9"/>
    <w:rsid w:val="00312C45"/>
    <w:rsid w:val="00313126"/>
    <w:rsid w:val="00314C35"/>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2519"/>
    <w:rsid w:val="003A36D0"/>
    <w:rsid w:val="003A4498"/>
    <w:rsid w:val="003A4813"/>
    <w:rsid w:val="003A568C"/>
    <w:rsid w:val="003A58AB"/>
    <w:rsid w:val="003A616F"/>
    <w:rsid w:val="003A66BF"/>
    <w:rsid w:val="003A7290"/>
    <w:rsid w:val="003B1245"/>
    <w:rsid w:val="003B457A"/>
    <w:rsid w:val="003B4C32"/>
    <w:rsid w:val="003B5A3A"/>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5C"/>
    <w:rsid w:val="0040451D"/>
    <w:rsid w:val="004107AC"/>
    <w:rsid w:val="00410B01"/>
    <w:rsid w:val="00411AB4"/>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C97"/>
    <w:rsid w:val="004301EB"/>
    <w:rsid w:val="00430B1C"/>
    <w:rsid w:val="0043159F"/>
    <w:rsid w:val="00432832"/>
    <w:rsid w:val="00434197"/>
    <w:rsid w:val="00434D22"/>
    <w:rsid w:val="00434DA8"/>
    <w:rsid w:val="0043687D"/>
    <w:rsid w:val="00440813"/>
    <w:rsid w:val="00440BA2"/>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F10"/>
    <w:rsid w:val="0045611E"/>
    <w:rsid w:val="00460CAD"/>
    <w:rsid w:val="00461A98"/>
    <w:rsid w:val="00461D53"/>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82E"/>
    <w:rsid w:val="004C6111"/>
    <w:rsid w:val="004D316E"/>
    <w:rsid w:val="004D3D4E"/>
    <w:rsid w:val="004D40B5"/>
    <w:rsid w:val="004D51BF"/>
    <w:rsid w:val="004D6BE1"/>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F63"/>
    <w:rsid w:val="00533365"/>
    <w:rsid w:val="00533B89"/>
    <w:rsid w:val="0053425C"/>
    <w:rsid w:val="005359BA"/>
    <w:rsid w:val="00535D70"/>
    <w:rsid w:val="00537BAE"/>
    <w:rsid w:val="005402F1"/>
    <w:rsid w:val="005428ED"/>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2233"/>
    <w:rsid w:val="005738A2"/>
    <w:rsid w:val="00573D74"/>
    <w:rsid w:val="005749C1"/>
    <w:rsid w:val="005767FA"/>
    <w:rsid w:val="00580B33"/>
    <w:rsid w:val="005814B7"/>
    <w:rsid w:val="00581667"/>
    <w:rsid w:val="005835BB"/>
    <w:rsid w:val="00583B55"/>
    <w:rsid w:val="00583E3A"/>
    <w:rsid w:val="0058415D"/>
    <w:rsid w:val="00584541"/>
    <w:rsid w:val="0058481F"/>
    <w:rsid w:val="0058547F"/>
    <w:rsid w:val="00590AE5"/>
    <w:rsid w:val="00591D82"/>
    <w:rsid w:val="00592098"/>
    <w:rsid w:val="0059353C"/>
    <w:rsid w:val="00594130"/>
    <w:rsid w:val="00595B96"/>
    <w:rsid w:val="00596348"/>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3B58"/>
    <w:rsid w:val="005D444A"/>
    <w:rsid w:val="005D495F"/>
    <w:rsid w:val="005D64B5"/>
    <w:rsid w:val="005D6536"/>
    <w:rsid w:val="005E2092"/>
    <w:rsid w:val="005E2CB9"/>
    <w:rsid w:val="005E3D37"/>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5005"/>
    <w:rsid w:val="00615417"/>
    <w:rsid w:val="00620928"/>
    <w:rsid w:val="00620938"/>
    <w:rsid w:val="006217D7"/>
    <w:rsid w:val="006249F5"/>
    <w:rsid w:val="00625ECE"/>
    <w:rsid w:val="0062715A"/>
    <w:rsid w:val="00627291"/>
    <w:rsid w:val="00630024"/>
    <w:rsid w:val="00631280"/>
    <w:rsid w:val="006339AE"/>
    <w:rsid w:val="00633E37"/>
    <w:rsid w:val="0063653A"/>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57101"/>
    <w:rsid w:val="00657217"/>
    <w:rsid w:val="0066005E"/>
    <w:rsid w:val="00661DF3"/>
    <w:rsid w:val="00662D5D"/>
    <w:rsid w:val="00663D6B"/>
    <w:rsid w:val="0066436A"/>
    <w:rsid w:val="00670A60"/>
    <w:rsid w:val="00671A70"/>
    <w:rsid w:val="00672582"/>
    <w:rsid w:val="00676804"/>
    <w:rsid w:val="006801B9"/>
    <w:rsid w:val="0068021E"/>
    <w:rsid w:val="00683324"/>
    <w:rsid w:val="006834CB"/>
    <w:rsid w:val="006836E3"/>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3DC8"/>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9C1"/>
    <w:rsid w:val="00707920"/>
    <w:rsid w:val="00707F17"/>
    <w:rsid w:val="00710FBC"/>
    <w:rsid w:val="00711A7B"/>
    <w:rsid w:val="00711B7F"/>
    <w:rsid w:val="00711DCC"/>
    <w:rsid w:val="00713214"/>
    <w:rsid w:val="0071481E"/>
    <w:rsid w:val="00714DB4"/>
    <w:rsid w:val="0071655A"/>
    <w:rsid w:val="0072000E"/>
    <w:rsid w:val="00720051"/>
    <w:rsid w:val="00720658"/>
    <w:rsid w:val="0072112F"/>
    <w:rsid w:val="007212E3"/>
    <w:rsid w:val="00723C67"/>
    <w:rsid w:val="00724A2B"/>
    <w:rsid w:val="0072588F"/>
    <w:rsid w:val="00731762"/>
    <w:rsid w:val="00731A17"/>
    <w:rsid w:val="007325E9"/>
    <w:rsid w:val="00732F50"/>
    <w:rsid w:val="007345E0"/>
    <w:rsid w:val="00734A25"/>
    <w:rsid w:val="007350E0"/>
    <w:rsid w:val="0073673D"/>
    <w:rsid w:val="00736743"/>
    <w:rsid w:val="00736F5B"/>
    <w:rsid w:val="00741456"/>
    <w:rsid w:val="00741E54"/>
    <w:rsid w:val="00742B73"/>
    <w:rsid w:val="00742C49"/>
    <w:rsid w:val="00742D1B"/>
    <w:rsid w:val="00742D40"/>
    <w:rsid w:val="00742D95"/>
    <w:rsid w:val="007438B6"/>
    <w:rsid w:val="00746507"/>
    <w:rsid w:val="00747A8F"/>
    <w:rsid w:val="00747EB3"/>
    <w:rsid w:val="00750B8A"/>
    <w:rsid w:val="00750F73"/>
    <w:rsid w:val="00751C3D"/>
    <w:rsid w:val="00754B12"/>
    <w:rsid w:val="007559C0"/>
    <w:rsid w:val="00755EFB"/>
    <w:rsid w:val="00756756"/>
    <w:rsid w:val="00756E31"/>
    <w:rsid w:val="0076119B"/>
    <w:rsid w:val="007617C7"/>
    <w:rsid w:val="007619E1"/>
    <w:rsid w:val="00762681"/>
    <w:rsid w:val="00762968"/>
    <w:rsid w:val="00763032"/>
    <w:rsid w:val="0076338B"/>
    <w:rsid w:val="00763651"/>
    <w:rsid w:val="00763C70"/>
    <w:rsid w:val="00764542"/>
    <w:rsid w:val="00765C49"/>
    <w:rsid w:val="007666BF"/>
    <w:rsid w:val="0076756B"/>
    <w:rsid w:val="00767BE1"/>
    <w:rsid w:val="00773FFE"/>
    <w:rsid w:val="00775EA3"/>
    <w:rsid w:val="00776DDD"/>
    <w:rsid w:val="00777D5B"/>
    <w:rsid w:val="007823CA"/>
    <w:rsid w:val="00782CC2"/>
    <w:rsid w:val="00783959"/>
    <w:rsid w:val="00783CAA"/>
    <w:rsid w:val="00785B67"/>
    <w:rsid w:val="007864A7"/>
    <w:rsid w:val="007866EA"/>
    <w:rsid w:val="00786B7D"/>
    <w:rsid w:val="00787341"/>
    <w:rsid w:val="007875B8"/>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82D"/>
    <w:rsid w:val="007B553E"/>
    <w:rsid w:val="007B5995"/>
    <w:rsid w:val="007B5A31"/>
    <w:rsid w:val="007C166F"/>
    <w:rsid w:val="007C4592"/>
    <w:rsid w:val="007C46E4"/>
    <w:rsid w:val="007C4EBB"/>
    <w:rsid w:val="007C5B3F"/>
    <w:rsid w:val="007C5D60"/>
    <w:rsid w:val="007C7071"/>
    <w:rsid w:val="007C75B7"/>
    <w:rsid w:val="007C7E7E"/>
    <w:rsid w:val="007D0938"/>
    <w:rsid w:val="007D0F26"/>
    <w:rsid w:val="007D1E1B"/>
    <w:rsid w:val="007D22FE"/>
    <w:rsid w:val="007D5781"/>
    <w:rsid w:val="007D64EC"/>
    <w:rsid w:val="007D64ED"/>
    <w:rsid w:val="007D75B9"/>
    <w:rsid w:val="007E019F"/>
    <w:rsid w:val="007E03E1"/>
    <w:rsid w:val="007E112A"/>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74"/>
    <w:rsid w:val="00835131"/>
    <w:rsid w:val="008357E7"/>
    <w:rsid w:val="00835922"/>
    <w:rsid w:val="008362A2"/>
    <w:rsid w:val="00840B49"/>
    <w:rsid w:val="00842D14"/>
    <w:rsid w:val="00844411"/>
    <w:rsid w:val="00846424"/>
    <w:rsid w:val="0084703A"/>
    <w:rsid w:val="0084744F"/>
    <w:rsid w:val="0085241C"/>
    <w:rsid w:val="0085255B"/>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81C2B"/>
    <w:rsid w:val="00881C3E"/>
    <w:rsid w:val="00883F1B"/>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415E"/>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841"/>
    <w:rsid w:val="00917BCC"/>
    <w:rsid w:val="00917E3A"/>
    <w:rsid w:val="00920C87"/>
    <w:rsid w:val="009210BB"/>
    <w:rsid w:val="00921A88"/>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248E"/>
    <w:rsid w:val="00953FA6"/>
    <w:rsid w:val="009544F4"/>
    <w:rsid w:val="00954BB5"/>
    <w:rsid w:val="00956581"/>
    <w:rsid w:val="00960A43"/>
    <w:rsid w:val="00961B74"/>
    <w:rsid w:val="00961D75"/>
    <w:rsid w:val="00962462"/>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9116A"/>
    <w:rsid w:val="009917C7"/>
    <w:rsid w:val="00992690"/>
    <w:rsid w:val="00992BDD"/>
    <w:rsid w:val="00993332"/>
    <w:rsid w:val="00994A50"/>
    <w:rsid w:val="00996C98"/>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62FC"/>
    <w:rsid w:val="009D6D8A"/>
    <w:rsid w:val="009D7256"/>
    <w:rsid w:val="009D7C28"/>
    <w:rsid w:val="009E0F1C"/>
    <w:rsid w:val="009E1ACE"/>
    <w:rsid w:val="009E2C90"/>
    <w:rsid w:val="009E317D"/>
    <w:rsid w:val="009E364D"/>
    <w:rsid w:val="009E4DBD"/>
    <w:rsid w:val="009E5B18"/>
    <w:rsid w:val="009E6F49"/>
    <w:rsid w:val="009F1C38"/>
    <w:rsid w:val="009F22D6"/>
    <w:rsid w:val="009F3E45"/>
    <w:rsid w:val="009F4676"/>
    <w:rsid w:val="009F5247"/>
    <w:rsid w:val="009F7D2D"/>
    <w:rsid w:val="009F7EC0"/>
    <w:rsid w:val="00A02773"/>
    <w:rsid w:val="00A03248"/>
    <w:rsid w:val="00A04B22"/>
    <w:rsid w:val="00A04DC3"/>
    <w:rsid w:val="00A061F4"/>
    <w:rsid w:val="00A067E5"/>
    <w:rsid w:val="00A0698B"/>
    <w:rsid w:val="00A11EE4"/>
    <w:rsid w:val="00A127E8"/>
    <w:rsid w:val="00A12CD4"/>
    <w:rsid w:val="00A155F9"/>
    <w:rsid w:val="00A15671"/>
    <w:rsid w:val="00A17D80"/>
    <w:rsid w:val="00A21D11"/>
    <w:rsid w:val="00A22768"/>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6078"/>
    <w:rsid w:val="00A47FAB"/>
    <w:rsid w:val="00A50724"/>
    <w:rsid w:val="00A511E0"/>
    <w:rsid w:val="00A5350D"/>
    <w:rsid w:val="00A54C84"/>
    <w:rsid w:val="00A56DBD"/>
    <w:rsid w:val="00A57D88"/>
    <w:rsid w:val="00A642E6"/>
    <w:rsid w:val="00A646F1"/>
    <w:rsid w:val="00A650C2"/>
    <w:rsid w:val="00A65340"/>
    <w:rsid w:val="00A65537"/>
    <w:rsid w:val="00A66CB3"/>
    <w:rsid w:val="00A70289"/>
    <w:rsid w:val="00A710F1"/>
    <w:rsid w:val="00A75BA6"/>
    <w:rsid w:val="00A76135"/>
    <w:rsid w:val="00A76F90"/>
    <w:rsid w:val="00A775C0"/>
    <w:rsid w:val="00A77769"/>
    <w:rsid w:val="00A81AD2"/>
    <w:rsid w:val="00A82939"/>
    <w:rsid w:val="00A84898"/>
    <w:rsid w:val="00A853A8"/>
    <w:rsid w:val="00A853EE"/>
    <w:rsid w:val="00A858EB"/>
    <w:rsid w:val="00A86463"/>
    <w:rsid w:val="00A86917"/>
    <w:rsid w:val="00A870BF"/>
    <w:rsid w:val="00A877A0"/>
    <w:rsid w:val="00A87F32"/>
    <w:rsid w:val="00A90CAE"/>
    <w:rsid w:val="00A90E17"/>
    <w:rsid w:val="00A911EA"/>
    <w:rsid w:val="00A9124C"/>
    <w:rsid w:val="00A92CEE"/>
    <w:rsid w:val="00A92EC1"/>
    <w:rsid w:val="00A94211"/>
    <w:rsid w:val="00A942AE"/>
    <w:rsid w:val="00A94B98"/>
    <w:rsid w:val="00A9514B"/>
    <w:rsid w:val="00A95593"/>
    <w:rsid w:val="00A95C95"/>
    <w:rsid w:val="00A96768"/>
    <w:rsid w:val="00A96B17"/>
    <w:rsid w:val="00A96FEC"/>
    <w:rsid w:val="00AA32BD"/>
    <w:rsid w:val="00AA5876"/>
    <w:rsid w:val="00AA68B4"/>
    <w:rsid w:val="00AA750C"/>
    <w:rsid w:val="00AB07F0"/>
    <w:rsid w:val="00AB0979"/>
    <w:rsid w:val="00AB34AE"/>
    <w:rsid w:val="00AB5A0D"/>
    <w:rsid w:val="00AC195E"/>
    <w:rsid w:val="00AC1B63"/>
    <w:rsid w:val="00AC1D35"/>
    <w:rsid w:val="00AC2EA9"/>
    <w:rsid w:val="00AC3430"/>
    <w:rsid w:val="00AC41BB"/>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2B90"/>
    <w:rsid w:val="00B14904"/>
    <w:rsid w:val="00B15B86"/>
    <w:rsid w:val="00B17526"/>
    <w:rsid w:val="00B20292"/>
    <w:rsid w:val="00B20A18"/>
    <w:rsid w:val="00B2155C"/>
    <w:rsid w:val="00B224EB"/>
    <w:rsid w:val="00B2367A"/>
    <w:rsid w:val="00B25059"/>
    <w:rsid w:val="00B26266"/>
    <w:rsid w:val="00B267BE"/>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9B6"/>
    <w:rsid w:val="00B97E75"/>
    <w:rsid w:val="00BA097E"/>
    <w:rsid w:val="00BA0F6A"/>
    <w:rsid w:val="00BA6B36"/>
    <w:rsid w:val="00BA763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29CD"/>
    <w:rsid w:val="00C7360C"/>
    <w:rsid w:val="00C73B09"/>
    <w:rsid w:val="00C75230"/>
    <w:rsid w:val="00C7592B"/>
    <w:rsid w:val="00C76286"/>
    <w:rsid w:val="00C8163F"/>
    <w:rsid w:val="00C81C24"/>
    <w:rsid w:val="00C83BBD"/>
    <w:rsid w:val="00C8425A"/>
    <w:rsid w:val="00C84671"/>
    <w:rsid w:val="00C86257"/>
    <w:rsid w:val="00C8754F"/>
    <w:rsid w:val="00C908F5"/>
    <w:rsid w:val="00C91EE6"/>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708"/>
    <w:rsid w:val="00CF3075"/>
    <w:rsid w:val="00CF31A1"/>
    <w:rsid w:val="00CF43EA"/>
    <w:rsid w:val="00CF61E3"/>
    <w:rsid w:val="00CF6AB8"/>
    <w:rsid w:val="00CF77DA"/>
    <w:rsid w:val="00D019AA"/>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2BDF"/>
    <w:rsid w:val="00D63CB2"/>
    <w:rsid w:val="00D670DA"/>
    <w:rsid w:val="00D67268"/>
    <w:rsid w:val="00D67C75"/>
    <w:rsid w:val="00D67D4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614"/>
    <w:rsid w:val="00DB1E04"/>
    <w:rsid w:val="00DB2E20"/>
    <w:rsid w:val="00DB3BD6"/>
    <w:rsid w:val="00DB3E7B"/>
    <w:rsid w:val="00DB7A20"/>
    <w:rsid w:val="00DC2B07"/>
    <w:rsid w:val="00DC37B7"/>
    <w:rsid w:val="00DC3AAB"/>
    <w:rsid w:val="00DC47AE"/>
    <w:rsid w:val="00DC5150"/>
    <w:rsid w:val="00DC6C1F"/>
    <w:rsid w:val="00DC6F3F"/>
    <w:rsid w:val="00DC7145"/>
    <w:rsid w:val="00DC765E"/>
    <w:rsid w:val="00DD3CCF"/>
    <w:rsid w:val="00DD4023"/>
    <w:rsid w:val="00DD4FB7"/>
    <w:rsid w:val="00DD5898"/>
    <w:rsid w:val="00DD6510"/>
    <w:rsid w:val="00DD658D"/>
    <w:rsid w:val="00DD6947"/>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309E5"/>
    <w:rsid w:val="00E30A39"/>
    <w:rsid w:val="00E32860"/>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17C78"/>
    <w:rsid w:val="00F2057D"/>
    <w:rsid w:val="00F2112F"/>
    <w:rsid w:val="00F23495"/>
    <w:rsid w:val="00F24602"/>
    <w:rsid w:val="00F27766"/>
    <w:rsid w:val="00F31017"/>
    <w:rsid w:val="00F31FB2"/>
    <w:rsid w:val="00F35939"/>
    <w:rsid w:val="00F3684C"/>
    <w:rsid w:val="00F37940"/>
    <w:rsid w:val="00F40571"/>
    <w:rsid w:val="00F412C3"/>
    <w:rsid w:val="00F41707"/>
    <w:rsid w:val="00F42FC7"/>
    <w:rsid w:val="00F439A1"/>
    <w:rsid w:val="00F4400B"/>
    <w:rsid w:val="00F444B9"/>
    <w:rsid w:val="00F446A8"/>
    <w:rsid w:val="00F45547"/>
    <w:rsid w:val="00F4736A"/>
    <w:rsid w:val="00F47A37"/>
    <w:rsid w:val="00F5135D"/>
    <w:rsid w:val="00F5245A"/>
    <w:rsid w:val="00F53072"/>
    <w:rsid w:val="00F53B7A"/>
    <w:rsid w:val="00F53C55"/>
    <w:rsid w:val="00F53F61"/>
    <w:rsid w:val="00F54ED1"/>
    <w:rsid w:val="00F55045"/>
    <w:rsid w:val="00F571F9"/>
    <w:rsid w:val="00F6100D"/>
    <w:rsid w:val="00F6211E"/>
    <w:rsid w:val="00F64899"/>
    <w:rsid w:val="00F64CF9"/>
    <w:rsid w:val="00F65A57"/>
    <w:rsid w:val="00F67F53"/>
    <w:rsid w:val="00F706E7"/>
    <w:rsid w:val="00F71B86"/>
    <w:rsid w:val="00F74D2E"/>
    <w:rsid w:val="00F75388"/>
    <w:rsid w:val="00F762F3"/>
    <w:rsid w:val="00F76551"/>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2D5D"/>
    <w:rsid w:val="00FE3F41"/>
    <w:rsid w:val="00FE3F7D"/>
    <w:rsid w:val="00FE5F7B"/>
    <w:rsid w:val="00FE626D"/>
    <w:rsid w:val="00FF079C"/>
    <w:rsid w:val="00FF13FE"/>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m.sat.gob.mx/adeudosfiscales/Ayuda/SimuladorParcialidades/AyudaParcialidades3.htm" TargetMode="External"/><Relationship Id="rId2" Type="http://schemas.openxmlformats.org/officeDocument/2006/relationships/hyperlink" Target="https://sjf2.scjn.gob.mx/detalle/tesis/800495" TargetMode="External"/><Relationship Id="rId1" Type="http://schemas.openxmlformats.org/officeDocument/2006/relationships/hyperlink" Target="https://imcp.org.mx/IMG/pdf/ANEXO_A_NOTICIAS_FISCALES_174.pdf" TargetMode="External"/><Relationship Id="rId4" Type="http://schemas.openxmlformats.org/officeDocument/2006/relationships/hyperlink" Target="https://sjf2.scjn.gob.mx/detalle/tesis/80049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95A98-1186-466F-A6A8-2E4FBB463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2564</Words>
  <Characters>14105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14</cp:revision>
  <cp:lastPrinted>2023-09-13T20:02:00Z</cp:lastPrinted>
  <dcterms:created xsi:type="dcterms:W3CDTF">2023-09-12T20:37:00Z</dcterms:created>
  <dcterms:modified xsi:type="dcterms:W3CDTF">2023-10-25T18:05:00Z</dcterms:modified>
</cp:coreProperties>
</file>