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A83D54" w14:textId="77777777" w:rsidR="007D54F6" w:rsidRDefault="00D366D9" w:rsidP="00B436C9">
      <w:pPr>
        <w:ind w:left="3261" w:right="51"/>
        <w:jc w:val="both"/>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RECURSO DE REVISIÓN: </w:t>
      </w:r>
      <w:r>
        <w:rPr>
          <w:rFonts w:ascii="Century Gothic" w:eastAsia="Century Gothic" w:hAnsi="Century Gothic" w:cs="Century Gothic"/>
          <w:sz w:val="24"/>
          <w:szCs w:val="24"/>
        </w:rPr>
        <w:t>0200/2023.</w:t>
      </w:r>
    </w:p>
    <w:p w14:paraId="0B45661B" w14:textId="77777777" w:rsidR="007D54F6" w:rsidRDefault="00D366D9" w:rsidP="00B436C9">
      <w:pPr>
        <w:ind w:left="3261" w:right="51"/>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JUICIO DE NULIDAD:</w:t>
      </w:r>
      <w:r>
        <w:rPr>
          <w:rFonts w:ascii="Century Gothic" w:eastAsia="Century Gothic" w:hAnsi="Century Gothic" w:cs="Century Gothic"/>
          <w:sz w:val="24"/>
          <w:szCs w:val="24"/>
        </w:rPr>
        <w:t xml:space="preserve"> </w:t>
      </w:r>
      <w:r>
        <w:rPr>
          <w:rFonts w:ascii="Century Gothic" w:eastAsia="Century Gothic" w:hAnsi="Century Gothic" w:cs="Century Gothic"/>
          <w:b/>
          <w:sz w:val="24"/>
          <w:szCs w:val="24"/>
        </w:rPr>
        <w:t>260/2023 RADICADO EN LA SALA ESPECIALIZADA EN MATERIA DE RESPONSABILIDADES ADMINISTRATIVAS Y COMBATE A LA CORRUPCIÓN DEL TRIBUNAL DE JUSTICIA ADMINISTRATIVA Y COMBATE A LA CORRUPCIÓN DEL ESTADO DE OAXACA,</w:t>
      </w:r>
      <w:r>
        <w:rPr>
          <w:rFonts w:ascii="Century Gothic" w:eastAsia="Century Gothic" w:hAnsi="Century Gothic" w:cs="Century Gothic"/>
          <w:sz w:val="24"/>
          <w:szCs w:val="24"/>
        </w:rPr>
        <w:t xml:space="preserve"> ANTES 86/2022 DE LA SEXTA SALA UNITARIA DE PRIMERA INSTANCIA.</w:t>
      </w:r>
    </w:p>
    <w:p w14:paraId="006AE232" w14:textId="77777777" w:rsidR="007D54F6" w:rsidRDefault="00D366D9" w:rsidP="00B436C9">
      <w:pPr>
        <w:ind w:left="3261" w:right="51"/>
        <w:jc w:val="both"/>
        <w:rPr>
          <w:rFonts w:ascii="Century Gothic" w:eastAsia="Century Gothic" w:hAnsi="Century Gothic" w:cs="Century Gothic"/>
          <w:sz w:val="24"/>
          <w:szCs w:val="24"/>
        </w:rPr>
      </w:pPr>
      <w:bookmarkStart w:id="0" w:name="_heading=h.gjdgxs" w:colFirst="0" w:colLast="0"/>
      <w:bookmarkEnd w:id="0"/>
      <w:r>
        <w:rPr>
          <w:rFonts w:ascii="Century Gothic" w:eastAsia="Century Gothic" w:hAnsi="Century Gothic" w:cs="Century Gothic"/>
          <w:b/>
          <w:sz w:val="24"/>
          <w:szCs w:val="24"/>
        </w:rPr>
        <w:t>RECURRENTE:</w:t>
      </w:r>
      <w:r>
        <w:rPr>
          <w:rFonts w:ascii="Century Gothic" w:eastAsia="Century Gothic" w:hAnsi="Century Gothic" w:cs="Century Gothic"/>
          <w:sz w:val="24"/>
          <w:szCs w:val="24"/>
        </w:rPr>
        <w:t xml:space="preserve"> FREDI RODRÍGO JUÁREZ LEÓN, EN SU CARÁCTER DE POLICÍA VIAL CON NÚMERO ESTADÍSTICO P.V.-119 ADSCRITO A LA DIRECCIÓN DE MOVILIDAD DEL MUNICIPIO DE OAXACA DE JUÁREZ.</w:t>
      </w:r>
    </w:p>
    <w:p w14:paraId="4BE52400" w14:textId="149E7340" w:rsidR="007D54F6" w:rsidRDefault="00D366D9" w:rsidP="00B436C9">
      <w:pPr>
        <w:ind w:left="3261" w:right="51"/>
        <w:jc w:val="both"/>
        <w:rPr>
          <w:rFonts w:ascii="Century Gothic" w:eastAsia="Century Gothic" w:hAnsi="Century Gothic" w:cs="Century Gothic"/>
          <w:sz w:val="24"/>
          <w:szCs w:val="24"/>
        </w:rPr>
      </w:pPr>
      <w:r>
        <w:rPr>
          <w:rFonts w:ascii="Century Gothic" w:eastAsia="Century Gothic" w:hAnsi="Century Gothic" w:cs="Century Gothic"/>
          <w:b/>
          <w:sz w:val="24"/>
          <w:szCs w:val="24"/>
        </w:rPr>
        <w:t>PONENTE:</w:t>
      </w:r>
      <w:r>
        <w:rPr>
          <w:rFonts w:ascii="Century Gothic" w:eastAsia="Century Gothic" w:hAnsi="Century Gothic" w:cs="Century Gothic"/>
          <w:sz w:val="24"/>
          <w:szCs w:val="24"/>
        </w:rPr>
        <w:t xml:space="preserve"> MAGISTRADA CRUZ ITZEL ESPINOSA ROJAS</w:t>
      </w:r>
      <w:r w:rsidR="00B436C9">
        <w:rPr>
          <w:rFonts w:ascii="Century Gothic" w:eastAsia="Century Gothic" w:hAnsi="Century Gothic" w:cs="Century Gothic"/>
          <w:sz w:val="24"/>
          <w:szCs w:val="24"/>
        </w:rPr>
        <w:t>.</w:t>
      </w:r>
    </w:p>
    <w:p w14:paraId="3AE5CEB9" w14:textId="77777777" w:rsidR="00B436C9" w:rsidRDefault="00B436C9" w:rsidP="00B436C9">
      <w:pPr>
        <w:spacing w:after="0"/>
        <w:ind w:left="2694" w:right="51"/>
        <w:jc w:val="both"/>
        <w:rPr>
          <w:rFonts w:ascii="Century Gothic" w:eastAsia="Century Gothic" w:hAnsi="Century Gothic" w:cs="Century Gothic"/>
          <w:sz w:val="24"/>
          <w:szCs w:val="24"/>
        </w:rPr>
      </w:pPr>
    </w:p>
    <w:p w14:paraId="30A2E94F" w14:textId="68A37A61" w:rsidR="007D54F6" w:rsidRDefault="00D366D9" w:rsidP="000472C8">
      <w:pPr>
        <w:widowControl w:val="0"/>
        <w:spacing w:line="360" w:lineRule="auto"/>
        <w:ind w:right="51" w:firstLine="709"/>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OAXACA DE JUÁREZ, OAXACA, </w:t>
      </w:r>
      <w:r w:rsidRPr="00766C15">
        <w:rPr>
          <w:rFonts w:ascii="Century Gothic" w:eastAsia="Century Gothic" w:hAnsi="Century Gothic" w:cs="Century Gothic"/>
          <w:b/>
          <w:sz w:val="24"/>
          <w:szCs w:val="24"/>
        </w:rPr>
        <w:t>A VEINTIUNO</w:t>
      </w:r>
      <w:r>
        <w:rPr>
          <w:rFonts w:ascii="Century Gothic" w:eastAsia="Century Gothic" w:hAnsi="Century Gothic" w:cs="Century Gothic"/>
          <w:b/>
          <w:sz w:val="24"/>
          <w:szCs w:val="24"/>
        </w:rPr>
        <w:t xml:space="preserve"> DE SEPTIEMBRE DE DOS MIL VEINTITRÉS.</w:t>
      </w:r>
      <w:r w:rsidR="000472C8">
        <w:rPr>
          <w:rFonts w:ascii="Century Gothic" w:eastAsia="Century Gothic" w:hAnsi="Century Gothic" w:cs="Century Gothic"/>
          <w:b/>
          <w:sz w:val="24"/>
          <w:szCs w:val="24"/>
        </w:rPr>
        <w:t xml:space="preserve"> - - - - - - - - - - - - - - - - - - - - - - - - - - - - - - - - - - - -</w:t>
      </w:r>
    </w:p>
    <w:p w14:paraId="74DD3AA3" w14:textId="15289DB0" w:rsidR="007D54F6" w:rsidRDefault="00B436C9">
      <w:pPr>
        <w:ind w:firstLine="708"/>
        <w:jc w:val="both"/>
        <w:rPr>
          <w:rFonts w:ascii="Century Gothic" w:eastAsia="Century Gothic" w:hAnsi="Century Gothic" w:cs="Century Gothic"/>
          <w:sz w:val="24"/>
          <w:szCs w:val="24"/>
        </w:rPr>
      </w:pPr>
      <w:r w:rsidRPr="00B436C9">
        <w:rPr>
          <w:rFonts w:ascii="Century Gothic" w:eastAsia="Century Gothic" w:hAnsi="Century Gothic" w:cs="Century Gothic"/>
          <w:bCs/>
          <w:sz w:val="24"/>
          <w:szCs w:val="24"/>
        </w:rPr>
        <w:t xml:space="preserve">1. </w:t>
      </w:r>
      <w:r w:rsidR="00D366D9">
        <w:rPr>
          <w:rFonts w:ascii="Century Gothic" w:eastAsia="Century Gothic" w:hAnsi="Century Gothic" w:cs="Century Gothic"/>
          <w:b/>
          <w:sz w:val="24"/>
          <w:szCs w:val="24"/>
        </w:rPr>
        <w:t>ÚNICO. Remisión del recurso</w:t>
      </w:r>
      <w:r w:rsidR="00D366D9">
        <w:rPr>
          <w:rFonts w:ascii="Century Gothic" w:eastAsia="Century Gothic" w:hAnsi="Century Gothic" w:cs="Century Gothic"/>
          <w:sz w:val="24"/>
          <w:szCs w:val="24"/>
        </w:rPr>
        <w:t xml:space="preserve">. Se tiene por recibido el cuaderno de revisión </w:t>
      </w:r>
      <w:r w:rsidR="00D366D9">
        <w:rPr>
          <w:rFonts w:ascii="Century Gothic" w:eastAsia="Century Gothic" w:hAnsi="Century Gothic" w:cs="Century Gothic"/>
          <w:b/>
          <w:sz w:val="24"/>
          <w:szCs w:val="24"/>
        </w:rPr>
        <w:t>0200/2023</w:t>
      </w:r>
      <w:r w:rsidR="00D366D9">
        <w:rPr>
          <w:rFonts w:ascii="Century Gothic" w:eastAsia="Century Gothic" w:hAnsi="Century Gothic" w:cs="Century Gothic"/>
          <w:sz w:val="24"/>
          <w:szCs w:val="24"/>
        </w:rPr>
        <w:t xml:space="preserve"> que remite la Secretaría General de Acuerdos, con motivo del recurso de revisión interpuesto por </w:t>
      </w:r>
      <w:r w:rsidR="00D366D9">
        <w:rPr>
          <w:rFonts w:ascii="Century Gothic" w:eastAsia="Century Gothic" w:hAnsi="Century Gothic" w:cs="Century Gothic"/>
          <w:b/>
          <w:sz w:val="24"/>
          <w:szCs w:val="24"/>
        </w:rPr>
        <w:t>FREDI RODRÍGO JUÁREZ LEÓN, en su carácter de Policía Vial con número estadístico P.V.-119, adscrito a la Dirección de  Movilidad del Municipio de Oaxaca de Juárez, Oaxaca,</w:t>
      </w:r>
      <w:r w:rsidR="00D366D9">
        <w:rPr>
          <w:rFonts w:ascii="Century Gothic" w:eastAsia="Century Gothic" w:hAnsi="Century Gothic" w:cs="Century Gothic"/>
          <w:sz w:val="24"/>
          <w:szCs w:val="24"/>
        </w:rPr>
        <w:t xml:space="preserve"> en contra de la sentencia de fecha veintiséis de enero de dos mil veintitrés, dictada en el expediente </w:t>
      </w:r>
      <w:r w:rsidR="00D366D9">
        <w:rPr>
          <w:rFonts w:ascii="Century Gothic" w:eastAsia="Century Gothic" w:hAnsi="Century Gothic" w:cs="Century Gothic"/>
          <w:b/>
          <w:sz w:val="24"/>
          <w:szCs w:val="24"/>
        </w:rPr>
        <w:t>260/2023 del Índice de la Sala Especializada en Materia de Responsabilidades Administrativas y Combate a la Corrupción del Tribunal de Justicia Administrativa y Combate a la Corrupción del Estado de Oaxaca, antes 86/2022 de la Sexta Sala Unitaria de Primera Instancia del extinto Tribunal de Justicia Administrativa del Estado de Oaxaca,</w:t>
      </w:r>
      <w:r w:rsidR="00D366D9">
        <w:rPr>
          <w:rFonts w:ascii="Century Gothic" w:eastAsia="Century Gothic" w:hAnsi="Century Gothic" w:cs="Century Gothic"/>
          <w:sz w:val="24"/>
          <w:szCs w:val="24"/>
        </w:rPr>
        <w:t xml:space="preserve"> relativo al juicio de nulidad promovido por</w:t>
      </w:r>
      <w:r w:rsidR="004828AB">
        <w:rPr>
          <w:rFonts w:ascii="Century Gothic" w:eastAsia="Century Gothic" w:hAnsi="Century Gothic" w:cs="Century Gothic"/>
          <w:b/>
          <w:sz w:val="24"/>
          <w:szCs w:val="24"/>
        </w:rPr>
        <w:t xml:space="preserve"> **********</w:t>
      </w:r>
      <w:r w:rsidR="00D366D9">
        <w:rPr>
          <w:rFonts w:ascii="Century Gothic" w:eastAsia="Century Gothic" w:hAnsi="Century Gothic" w:cs="Century Gothic"/>
          <w:b/>
          <w:sz w:val="24"/>
          <w:szCs w:val="24"/>
        </w:rPr>
        <w:t xml:space="preserve">; </w:t>
      </w:r>
      <w:r w:rsidR="00D366D9">
        <w:rPr>
          <w:rFonts w:ascii="Century Gothic" w:eastAsia="Century Gothic" w:hAnsi="Century Gothic" w:cs="Century Gothic"/>
          <w:sz w:val="24"/>
          <w:szCs w:val="24"/>
        </w:rPr>
        <w:t xml:space="preserve">por lo que, con fundamento en los artículos 236 y 238 de la Ley de Procedimiento y 23, fracciones I y IV de la Ley Orgánica del Tribunal de Justicia Administrativa y Combate a la Corrupción del Estado de Oaxaca, se procede a dictar resolución en los siguientes términos:- - - - - - - - - - - - - - - - - - - - - - - - - - - - - - - - - - - - - </w:t>
      </w:r>
    </w:p>
    <w:p w14:paraId="661F6F3B" w14:textId="77777777" w:rsidR="007D54F6" w:rsidRDefault="00D366D9">
      <w:pPr>
        <w:tabs>
          <w:tab w:val="center" w:pos="4418"/>
          <w:tab w:val="left" w:pos="6330"/>
        </w:tabs>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GLOSARIO:</w:t>
      </w:r>
    </w:p>
    <w:tbl>
      <w:tblPr>
        <w:tblStyle w:val="a"/>
        <w:tblW w:w="84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40"/>
        <w:gridCol w:w="5135"/>
      </w:tblGrid>
      <w:tr w:rsidR="007D54F6" w14:paraId="1F6A0EC9" w14:textId="77777777">
        <w:trPr>
          <w:trHeight w:val="583"/>
        </w:trPr>
        <w:tc>
          <w:tcPr>
            <w:tcW w:w="3340" w:type="dxa"/>
          </w:tcPr>
          <w:p w14:paraId="5EFB198D" w14:textId="77777777" w:rsidR="007D54F6" w:rsidRDefault="00D366D9">
            <w:pPr>
              <w:tabs>
                <w:tab w:val="center" w:pos="4418"/>
                <w:tab w:val="left" w:pos="6330"/>
              </w:tabs>
              <w:spacing w:line="276" w:lineRule="auto"/>
              <w:jc w:val="center"/>
              <w:rPr>
                <w:rFonts w:ascii="Century Gothic" w:eastAsia="Century Gothic" w:hAnsi="Century Gothic" w:cs="Century Gothic"/>
                <w:b/>
                <w:i/>
              </w:rPr>
            </w:pPr>
            <w:r>
              <w:rPr>
                <w:rFonts w:ascii="Century Gothic" w:eastAsia="Century Gothic" w:hAnsi="Century Gothic" w:cs="Century Gothic"/>
                <w:b/>
                <w:i/>
              </w:rPr>
              <w:t>Constitución Federal:</w:t>
            </w:r>
          </w:p>
        </w:tc>
        <w:tc>
          <w:tcPr>
            <w:tcW w:w="5135" w:type="dxa"/>
          </w:tcPr>
          <w:p w14:paraId="62101E5F" w14:textId="77777777" w:rsidR="007D54F6" w:rsidRDefault="00D366D9">
            <w:pPr>
              <w:tabs>
                <w:tab w:val="center" w:pos="4418"/>
                <w:tab w:val="left" w:pos="6330"/>
              </w:tabs>
              <w:spacing w:line="276" w:lineRule="auto"/>
              <w:jc w:val="center"/>
              <w:rPr>
                <w:rFonts w:ascii="Century Gothic" w:eastAsia="Century Gothic" w:hAnsi="Century Gothic" w:cs="Century Gothic"/>
              </w:rPr>
            </w:pPr>
            <w:r>
              <w:rPr>
                <w:rFonts w:ascii="Century Gothic" w:eastAsia="Century Gothic" w:hAnsi="Century Gothic" w:cs="Century Gothic"/>
              </w:rPr>
              <w:t>Constitución Política de los Estados Unidos Mexicanos.</w:t>
            </w:r>
          </w:p>
        </w:tc>
      </w:tr>
      <w:tr w:rsidR="007D54F6" w14:paraId="21E88B3E" w14:textId="77777777">
        <w:trPr>
          <w:trHeight w:val="601"/>
        </w:trPr>
        <w:tc>
          <w:tcPr>
            <w:tcW w:w="3340" w:type="dxa"/>
          </w:tcPr>
          <w:p w14:paraId="42C5FA8E" w14:textId="77777777" w:rsidR="007D54F6" w:rsidRDefault="00D366D9">
            <w:pPr>
              <w:tabs>
                <w:tab w:val="center" w:pos="4418"/>
                <w:tab w:val="left" w:pos="6330"/>
              </w:tabs>
              <w:spacing w:line="276" w:lineRule="auto"/>
              <w:jc w:val="center"/>
              <w:rPr>
                <w:rFonts w:ascii="Century Gothic" w:eastAsia="Century Gothic" w:hAnsi="Century Gothic" w:cs="Century Gothic"/>
                <w:b/>
                <w:i/>
              </w:rPr>
            </w:pPr>
            <w:r>
              <w:rPr>
                <w:rFonts w:ascii="Century Gothic" w:eastAsia="Century Gothic" w:hAnsi="Century Gothic" w:cs="Century Gothic"/>
                <w:b/>
                <w:i/>
              </w:rPr>
              <w:t>Constitución Local:</w:t>
            </w:r>
          </w:p>
        </w:tc>
        <w:tc>
          <w:tcPr>
            <w:tcW w:w="5135" w:type="dxa"/>
          </w:tcPr>
          <w:p w14:paraId="4029E2A4" w14:textId="77777777" w:rsidR="007D54F6" w:rsidRDefault="00D366D9">
            <w:pPr>
              <w:tabs>
                <w:tab w:val="center" w:pos="4418"/>
                <w:tab w:val="left" w:pos="6330"/>
              </w:tabs>
              <w:spacing w:line="276" w:lineRule="auto"/>
              <w:jc w:val="center"/>
              <w:rPr>
                <w:rFonts w:ascii="Century Gothic" w:eastAsia="Century Gothic" w:hAnsi="Century Gothic" w:cs="Century Gothic"/>
              </w:rPr>
            </w:pPr>
            <w:r>
              <w:rPr>
                <w:rFonts w:ascii="Century Gothic" w:eastAsia="Century Gothic" w:hAnsi="Century Gothic" w:cs="Century Gothic"/>
              </w:rPr>
              <w:t>Constitución Política del Estado Libre y Soberano de Oaxaca.</w:t>
            </w:r>
          </w:p>
        </w:tc>
      </w:tr>
      <w:tr w:rsidR="007D54F6" w14:paraId="72E87307" w14:textId="77777777">
        <w:trPr>
          <w:trHeight w:val="895"/>
        </w:trPr>
        <w:tc>
          <w:tcPr>
            <w:tcW w:w="3340" w:type="dxa"/>
          </w:tcPr>
          <w:p w14:paraId="71327EF2" w14:textId="77777777" w:rsidR="007D54F6" w:rsidRDefault="00D366D9">
            <w:pPr>
              <w:tabs>
                <w:tab w:val="center" w:pos="4418"/>
                <w:tab w:val="left" w:pos="6330"/>
              </w:tabs>
              <w:spacing w:line="276" w:lineRule="auto"/>
              <w:jc w:val="center"/>
              <w:rPr>
                <w:rFonts w:ascii="Century Gothic" w:eastAsia="Century Gothic" w:hAnsi="Century Gothic" w:cs="Century Gothic"/>
                <w:b/>
                <w:i/>
              </w:rPr>
            </w:pPr>
            <w:r>
              <w:rPr>
                <w:rFonts w:ascii="Century Gothic" w:eastAsia="Century Gothic" w:hAnsi="Century Gothic" w:cs="Century Gothic"/>
                <w:b/>
                <w:i/>
              </w:rPr>
              <w:t>Ley de Procedimiento:</w:t>
            </w:r>
          </w:p>
        </w:tc>
        <w:tc>
          <w:tcPr>
            <w:tcW w:w="5135" w:type="dxa"/>
          </w:tcPr>
          <w:p w14:paraId="393CF74F" w14:textId="77777777" w:rsidR="007D54F6" w:rsidRDefault="00D366D9">
            <w:pPr>
              <w:tabs>
                <w:tab w:val="center" w:pos="4418"/>
                <w:tab w:val="left" w:pos="6330"/>
              </w:tabs>
              <w:spacing w:line="276" w:lineRule="auto"/>
              <w:jc w:val="center"/>
              <w:rPr>
                <w:rFonts w:ascii="Century Gothic" w:eastAsia="Century Gothic" w:hAnsi="Century Gothic" w:cs="Century Gothic"/>
              </w:rPr>
            </w:pPr>
            <w:r>
              <w:rPr>
                <w:rFonts w:ascii="Century Gothic" w:eastAsia="Century Gothic" w:hAnsi="Century Gothic" w:cs="Century Gothic"/>
              </w:rPr>
              <w:t>Ley de Procedimiento y Justicia Administrativa para el Estado de Oaxaca.</w:t>
            </w:r>
          </w:p>
        </w:tc>
      </w:tr>
      <w:tr w:rsidR="007D54F6" w14:paraId="0D4E3951" w14:textId="77777777">
        <w:trPr>
          <w:trHeight w:val="588"/>
        </w:trPr>
        <w:tc>
          <w:tcPr>
            <w:tcW w:w="3340" w:type="dxa"/>
          </w:tcPr>
          <w:p w14:paraId="5A91D1DF" w14:textId="77777777" w:rsidR="007D54F6" w:rsidRDefault="00D366D9">
            <w:pPr>
              <w:tabs>
                <w:tab w:val="center" w:pos="4418"/>
                <w:tab w:val="left" w:pos="6330"/>
              </w:tabs>
              <w:spacing w:line="276" w:lineRule="auto"/>
              <w:jc w:val="center"/>
              <w:rPr>
                <w:rFonts w:ascii="Century Gothic" w:eastAsia="Century Gothic" w:hAnsi="Century Gothic" w:cs="Century Gothic"/>
                <w:b/>
                <w:i/>
              </w:rPr>
            </w:pPr>
            <w:r>
              <w:rPr>
                <w:rFonts w:ascii="Century Gothic" w:eastAsia="Century Gothic" w:hAnsi="Century Gothic" w:cs="Century Gothic"/>
                <w:b/>
                <w:i/>
              </w:rPr>
              <w:lastRenderedPageBreak/>
              <w:t>Reglamento:</w:t>
            </w:r>
          </w:p>
        </w:tc>
        <w:tc>
          <w:tcPr>
            <w:tcW w:w="5135" w:type="dxa"/>
          </w:tcPr>
          <w:p w14:paraId="272D3B72" w14:textId="77777777" w:rsidR="007D54F6" w:rsidRDefault="00D366D9">
            <w:pPr>
              <w:tabs>
                <w:tab w:val="center" w:pos="4418"/>
                <w:tab w:val="left" w:pos="6330"/>
              </w:tabs>
              <w:spacing w:line="276" w:lineRule="auto"/>
              <w:jc w:val="center"/>
              <w:rPr>
                <w:rFonts w:ascii="Century Gothic" w:eastAsia="Century Gothic" w:hAnsi="Century Gothic" w:cs="Century Gothic"/>
                <w:b/>
              </w:rPr>
            </w:pPr>
            <w:r>
              <w:rPr>
                <w:rFonts w:ascii="Century Gothic" w:eastAsia="Century Gothic" w:hAnsi="Century Gothic" w:cs="Century Gothic"/>
              </w:rPr>
              <w:t>Reglamento de Vialidad para el Municipio de Oaxaca de Juárez</w:t>
            </w:r>
          </w:p>
        </w:tc>
      </w:tr>
    </w:tbl>
    <w:p w14:paraId="0CF9950C" w14:textId="77777777" w:rsidR="007D54F6" w:rsidRDefault="00D366D9">
      <w:pPr>
        <w:ind w:firstLine="708"/>
        <w:jc w:val="both"/>
        <w:rPr>
          <w:rFonts w:ascii="Century Gothic" w:eastAsia="Century Gothic" w:hAnsi="Century Gothic" w:cs="Century Gothic"/>
          <w:b/>
          <w:sz w:val="24"/>
          <w:szCs w:val="24"/>
        </w:rPr>
      </w:pPr>
      <w:r>
        <w:rPr>
          <w:rFonts w:ascii="Century Gothic" w:eastAsia="Century Gothic" w:hAnsi="Century Gothic" w:cs="Century Gothic"/>
          <w:sz w:val="24"/>
          <w:szCs w:val="24"/>
        </w:rPr>
        <w:t xml:space="preserve"> </w:t>
      </w:r>
    </w:p>
    <w:p w14:paraId="5DD79ED0" w14:textId="77777777" w:rsidR="007D54F6" w:rsidRDefault="00D366D9">
      <w:pPr>
        <w:ind w:firstLine="708"/>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R E S U L T A N D O</w:t>
      </w:r>
    </w:p>
    <w:p w14:paraId="33F466E8" w14:textId="77777777" w:rsidR="007D54F6" w:rsidRDefault="00D366D9">
      <w:pPr>
        <w:spacing w:after="120"/>
        <w:ind w:right="-376"/>
        <w:jc w:val="both"/>
        <w:rPr>
          <w:rFonts w:ascii="Century Gothic" w:eastAsia="Century Gothic" w:hAnsi="Century Gothic" w:cs="Century Gothic"/>
          <w:sz w:val="24"/>
          <w:szCs w:val="24"/>
        </w:rPr>
      </w:pPr>
      <w:r>
        <w:rPr>
          <w:rFonts w:ascii="Century Gothic" w:eastAsia="Century Gothic" w:hAnsi="Century Gothic" w:cs="Century Gothic"/>
          <w:b/>
          <w:sz w:val="24"/>
          <w:szCs w:val="24"/>
        </w:rPr>
        <w:t>PRIMERO. Antecedentes</w:t>
      </w:r>
      <w:r>
        <w:rPr>
          <w:rFonts w:ascii="Century Gothic" w:eastAsia="Century Gothic" w:hAnsi="Century Gothic" w:cs="Century Gothic"/>
          <w:sz w:val="24"/>
          <w:szCs w:val="24"/>
        </w:rPr>
        <w:t>.</w:t>
      </w:r>
    </w:p>
    <w:p w14:paraId="421CA7D9" w14:textId="77777777" w:rsidR="007D54F6" w:rsidRDefault="007D54F6">
      <w:pPr>
        <w:pBdr>
          <w:top w:val="nil"/>
          <w:left w:val="nil"/>
          <w:bottom w:val="nil"/>
          <w:right w:val="nil"/>
          <w:between w:val="nil"/>
        </w:pBdr>
        <w:spacing w:after="0"/>
        <w:ind w:left="851" w:right="-376"/>
        <w:jc w:val="both"/>
        <w:rPr>
          <w:rFonts w:ascii="Century Gothic" w:eastAsia="Century Gothic" w:hAnsi="Century Gothic" w:cs="Century Gothic"/>
          <w:color w:val="000000"/>
          <w:sz w:val="24"/>
          <w:szCs w:val="24"/>
        </w:rPr>
      </w:pPr>
    </w:p>
    <w:p w14:paraId="60601A4E" w14:textId="4ACB051D" w:rsidR="007D54F6" w:rsidRDefault="00D366D9">
      <w:pPr>
        <w:numPr>
          <w:ilvl w:val="0"/>
          <w:numId w:val="1"/>
        </w:numPr>
        <w:pBdr>
          <w:top w:val="nil"/>
          <w:left w:val="nil"/>
          <w:bottom w:val="nil"/>
          <w:right w:val="nil"/>
          <w:between w:val="nil"/>
        </w:pBdr>
        <w:spacing w:after="0"/>
        <w:ind w:right="-376"/>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Por acuerdo de veintiuno de septiembre de dos mil veintidós, se admitió a trámite la demanda de nulidad del C. </w:t>
      </w:r>
      <w:r w:rsidR="004828AB">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en contra del Policía Vial con número estadístico PV-119, adscrito a la Dirección de Movilidad del Municipio de Oaxaca de Juárez, Oaxaca; ordenándose notificar, emplazar y correr traslado a dicha autoridad, para que dentro del plazo de nueve días hábiles produjera su contestación, con el apercibimiento que de no hacerlo dentro del plazo otorgado, se le tendría contestando en sentido afirmativo y de no referirse a todos los hechos, se le tendrían como ciertos.</w:t>
      </w:r>
    </w:p>
    <w:p w14:paraId="61DE0072" w14:textId="77777777" w:rsidR="007D54F6" w:rsidRDefault="00D366D9">
      <w:pPr>
        <w:numPr>
          <w:ilvl w:val="0"/>
          <w:numId w:val="1"/>
        </w:numPr>
        <w:pBdr>
          <w:top w:val="nil"/>
          <w:left w:val="nil"/>
          <w:bottom w:val="nil"/>
          <w:right w:val="nil"/>
          <w:between w:val="nil"/>
        </w:pBdr>
        <w:spacing w:after="0"/>
        <w:ind w:right="-376"/>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Por auto de veintitrés de noviembre de dos mil veintidós, se tuvo a la autoridad demandada contestando la demanda entablada en su contra, por ofrecidas y admitidas sus pruebas; se ordenó notificar y correr traslado a la parte actora con la copia de la demanda, para los efectos legales a que hubiera lugar, y se señalaron las once horas del dieciocho de enero del año en curso para la celebración de la audiencia final.</w:t>
      </w:r>
    </w:p>
    <w:p w14:paraId="1CC3F4A7" w14:textId="77777777" w:rsidR="007D54F6" w:rsidRDefault="00D366D9">
      <w:pPr>
        <w:numPr>
          <w:ilvl w:val="0"/>
          <w:numId w:val="1"/>
        </w:numPr>
        <w:pBdr>
          <w:top w:val="nil"/>
          <w:left w:val="nil"/>
          <w:bottom w:val="nil"/>
          <w:right w:val="nil"/>
          <w:between w:val="nil"/>
        </w:pBdr>
        <w:spacing w:after="0"/>
        <w:ind w:left="851" w:right="-376" w:hanging="42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El dieciocho de enero de dos mil veintitrés, se llevó a cabo la audiencia final. sin comparecencia de las partes ni persona alguna que legalmente las representara; se desahogaron las pruebas ofrecidas y se abrió el periodo de alegatos, declarándose cerrada la etapa de instrucción; por último, se citó a las partes para oír sentencia.</w:t>
      </w:r>
    </w:p>
    <w:p w14:paraId="248D58FA" w14:textId="77777777" w:rsidR="007D54F6" w:rsidRDefault="00D366D9">
      <w:pPr>
        <w:numPr>
          <w:ilvl w:val="0"/>
          <w:numId w:val="1"/>
        </w:numPr>
        <w:pBdr>
          <w:top w:val="nil"/>
          <w:left w:val="nil"/>
          <w:bottom w:val="nil"/>
          <w:right w:val="nil"/>
          <w:between w:val="nil"/>
        </w:pBdr>
        <w:spacing w:after="0"/>
        <w:ind w:left="851" w:right="-376" w:hanging="42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Con fecha veintiséis de enero de dos mil veintitrés, se emitió resolución dentro del expediente 0086/2022 de la Sexta Sala Unitaria de Primera Instancia del extinto Tribunal de Justicia Administrativa del Estado de Oaxaca, ahora radicado dentro del expediente 0260/2023 del índice de la Sala Especializada en Materia de Responsabilidades Administrativas y Combate a la Corrupción del Tribunal de Justicia Administrativa y Combate a la Corrupción del Estado de Oaxaca. </w:t>
      </w:r>
    </w:p>
    <w:p w14:paraId="5D9B2C09" w14:textId="77777777" w:rsidR="007D54F6" w:rsidRDefault="00D366D9">
      <w:pPr>
        <w:numPr>
          <w:ilvl w:val="0"/>
          <w:numId w:val="1"/>
        </w:numPr>
        <w:pBdr>
          <w:top w:val="nil"/>
          <w:left w:val="nil"/>
          <w:bottom w:val="nil"/>
          <w:right w:val="nil"/>
          <w:between w:val="nil"/>
        </w:pBdr>
        <w:spacing w:after="120"/>
        <w:ind w:left="851" w:right="-376" w:hanging="42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Mediante auto de fecha diez de abril de dos mil veintitrés se tuvo por recibido el oficio DM/DJ/228/2023, suscrito por </w:t>
      </w:r>
      <w:r>
        <w:rPr>
          <w:rFonts w:ascii="Century Gothic" w:eastAsia="Century Gothic" w:hAnsi="Century Gothic" w:cs="Century Gothic"/>
          <w:b/>
          <w:color w:val="000000"/>
          <w:sz w:val="24"/>
          <w:szCs w:val="24"/>
        </w:rPr>
        <w:t>FREDI RODRÍGO JUÁREZ LEÓN</w:t>
      </w:r>
      <w:r>
        <w:rPr>
          <w:rFonts w:ascii="Century Gothic" w:eastAsia="Century Gothic" w:hAnsi="Century Gothic" w:cs="Century Gothic"/>
          <w:color w:val="000000"/>
          <w:sz w:val="24"/>
          <w:szCs w:val="24"/>
        </w:rPr>
        <w:t>, Policía Vial con número estadístico PV-119, adscrito a la Dirección de Movilidad del Municipio de Oaxaca de Juárez, Oaxaca por el cual interpone recurso de revisión en contra de la sentencia de fecha veintiséis de enero de dos mil veintitrés emitida en el juicio de nulidad al rubro indicado.</w:t>
      </w:r>
    </w:p>
    <w:p w14:paraId="24F53E79" w14:textId="2F9EE99F" w:rsidR="007D54F6" w:rsidRDefault="00B436C9">
      <w:pPr>
        <w:ind w:firstLine="708"/>
        <w:jc w:val="both"/>
        <w:rPr>
          <w:rFonts w:ascii="Century Gothic" w:eastAsia="Century Gothic" w:hAnsi="Century Gothic" w:cs="Century Gothic"/>
          <w:sz w:val="24"/>
          <w:szCs w:val="24"/>
        </w:rPr>
      </w:pPr>
      <w:r w:rsidRPr="00B436C9">
        <w:rPr>
          <w:rFonts w:ascii="Century Gothic" w:eastAsia="Century Gothic" w:hAnsi="Century Gothic" w:cs="Century Gothic"/>
          <w:bCs/>
          <w:sz w:val="24"/>
          <w:szCs w:val="24"/>
        </w:rPr>
        <w:t xml:space="preserve">2. </w:t>
      </w:r>
      <w:r w:rsidR="00D366D9">
        <w:rPr>
          <w:rFonts w:ascii="Century Gothic" w:eastAsia="Century Gothic" w:hAnsi="Century Gothic" w:cs="Century Gothic"/>
          <w:b/>
          <w:sz w:val="24"/>
          <w:szCs w:val="24"/>
        </w:rPr>
        <w:t xml:space="preserve">SEGUNDO. Determinación recurrida. </w:t>
      </w:r>
      <w:r w:rsidR="00D366D9">
        <w:rPr>
          <w:rFonts w:ascii="Century Gothic" w:eastAsia="Century Gothic" w:hAnsi="Century Gothic" w:cs="Century Gothic"/>
          <w:sz w:val="24"/>
          <w:szCs w:val="24"/>
        </w:rPr>
        <w:t xml:space="preserve">Inconforme con la sentencia de fecha veintiséis de enero de dos mil veintitrés dictada dentro del juicio de nulidad con número de expediente 0086/2022 de la </w:t>
      </w:r>
      <w:r w:rsidR="00D366D9">
        <w:rPr>
          <w:rFonts w:ascii="Century Gothic" w:eastAsia="Century Gothic" w:hAnsi="Century Gothic" w:cs="Century Gothic"/>
          <w:sz w:val="24"/>
          <w:szCs w:val="24"/>
        </w:rPr>
        <w:lastRenderedPageBreak/>
        <w:t>Sexta Sala Unitaria de Primera Instancia del extinto Tribunal de Justicia Administrativa del Estado de Oaxaca, ahora radicado dentro del expediente 0260/2023 del índice de la Sala Especializada en Materia de Responsabilidades Administrativas y Combate a la Corrupción del Tribunal de Justicia Administrativa y Combate a la Corrupción del Estado de Oaxaca.</w:t>
      </w:r>
    </w:p>
    <w:p w14:paraId="6F6A5C54" w14:textId="108A6A37" w:rsidR="007D54F6" w:rsidRDefault="00B436C9">
      <w:pPr>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3. </w:t>
      </w:r>
      <w:r w:rsidR="00D366D9">
        <w:rPr>
          <w:rFonts w:ascii="Century Gothic" w:eastAsia="Century Gothic" w:hAnsi="Century Gothic" w:cs="Century Gothic"/>
          <w:sz w:val="24"/>
          <w:szCs w:val="24"/>
        </w:rPr>
        <w:t>Los puntos resolutivos de la sentencia recurrida son los siguientes:</w:t>
      </w:r>
    </w:p>
    <w:p w14:paraId="5E650171" w14:textId="77777777" w:rsidR="007D54F6" w:rsidRDefault="00D366D9">
      <w:pPr>
        <w:spacing w:after="0"/>
        <w:ind w:left="567" w:right="616" w:firstLine="283"/>
        <w:jc w:val="both"/>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“PRIMERO. </w:t>
      </w:r>
      <w:r>
        <w:rPr>
          <w:rFonts w:ascii="Century Gothic" w:eastAsia="Century Gothic" w:hAnsi="Century Gothic" w:cs="Century Gothic"/>
          <w:sz w:val="24"/>
          <w:szCs w:val="24"/>
        </w:rPr>
        <w:t xml:space="preserve">Esta Sexta Sala Unitaria de Primera Instancia del Tribunal de Justicia Administrativa del Estado de Oaxaca, es competente para conocer y resolver del presente asunto. - - - </w:t>
      </w:r>
    </w:p>
    <w:p w14:paraId="63F540DD" w14:textId="77777777" w:rsidR="007D54F6" w:rsidRDefault="00D366D9">
      <w:pPr>
        <w:spacing w:after="0"/>
        <w:ind w:left="567" w:right="616" w:firstLine="283"/>
        <w:jc w:val="both"/>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SEGUNDO. </w:t>
      </w:r>
      <w:r>
        <w:rPr>
          <w:rFonts w:ascii="Century Gothic" w:eastAsia="Century Gothic" w:hAnsi="Century Gothic" w:cs="Century Gothic"/>
          <w:sz w:val="24"/>
          <w:szCs w:val="24"/>
        </w:rPr>
        <w:t xml:space="preserve">La personalidad de las partes quedo acreditada en autos. - - - - - - - - - - - - - - - - - - - - - - - - - - - - - - - - - - - - - - - - - - </w:t>
      </w:r>
    </w:p>
    <w:p w14:paraId="52C63EF1" w14:textId="77777777" w:rsidR="007D54F6" w:rsidRDefault="00D366D9">
      <w:pPr>
        <w:spacing w:after="0"/>
        <w:ind w:left="567" w:right="616" w:firstLine="283"/>
        <w:jc w:val="both"/>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TERCERO. </w:t>
      </w:r>
      <w:r>
        <w:rPr>
          <w:rFonts w:ascii="Century Gothic" w:eastAsia="Century Gothic" w:hAnsi="Century Gothic" w:cs="Century Gothic"/>
          <w:sz w:val="24"/>
          <w:szCs w:val="24"/>
        </w:rPr>
        <w:t xml:space="preserve">No se actualizaron las causales de improcedencia y sobreseimiento en el presente asunto contenidas en el artículo 161 de la Ley de la Materia, por lo que </w:t>
      </w:r>
      <w:r>
        <w:rPr>
          <w:rFonts w:ascii="Century Gothic" w:eastAsia="Century Gothic" w:hAnsi="Century Gothic" w:cs="Century Gothic"/>
          <w:b/>
          <w:sz w:val="24"/>
          <w:szCs w:val="24"/>
        </w:rPr>
        <w:t>NO SE SOBRESEE EL JUICIO</w:t>
      </w:r>
      <w:r>
        <w:rPr>
          <w:rFonts w:ascii="Century Gothic" w:eastAsia="Century Gothic" w:hAnsi="Century Gothic" w:cs="Century Gothic"/>
          <w:sz w:val="24"/>
          <w:szCs w:val="24"/>
        </w:rPr>
        <w:t xml:space="preserve">. - - - - - - - - - - - - - - - - - - - - - - - - </w:t>
      </w:r>
    </w:p>
    <w:p w14:paraId="1A698988" w14:textId="36AC4E37" w:rsidR="007D54F6" w:rsidRDefault="00D366D9">
      <w:pPr>
        <w:spacing w:after="0"/>
        <w:ind w:left="567" w:right="616" w:firstLine="283"/>
        <w:jc w:val="both"/>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CUARTO. </w:t>
      </w:r>
      <w:r>
        <w:rPr>
          <w:rFonts w:ascii="Century Gothic" w:eastAsia="Century Gothic" w:hAnsi="Century Gothic" w:cs="Century Gothic"/>
          <w:sz w:val="24"/>
          <w:szCs w:val="24"/>
        </w:rPr>
        <w:t xml:space="preserve">Se declara la </w:t>
      </w:r>
      <w:r>
        <w:rPr>
          <w:rFonts w:ascii="Century Gothic" w:eastAsia="Century Gothic" w:hAnsi="Century Gothic" w:cs="Century Gothic"/>
          <w:b/>
          <w:sz w:val="24"/>
          <w:szCs w:val="24"/>
        </w:rPr>
        <w:t xml:space="preserve">NULIDAD LISA Y LLANA </w:t>
      </w:r>
      <w:r>
        <w:rPr>
          <w:rFonts w:ascii="Century Gothic" w:eastAsia="Century Gothic" w:hAnsi="Century Gothic" w:cs="Century Gothic"/>
          <w:sz w:val="24"/>
          <w:szCs w:val="24"/>
        </w:rPr>
        <w:t>del acta de infracción de tránsito con número de folio</w:t>
      </w:r>
      <w:r w:rsidR="0016395C">
        <w:rPr>
          <w:rFonts w:ascii="Century Gothic" w:eastAsia="Century Gothic" w:hAnsi="Century Gothic" w:cs="Century Gothic"/>
          <w:sz w:val="24"/>
          <w:szCs w:val="24"/>
        </w:rPr>
        <w:t xml:space="preserve"> *********</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de fecha cinco de septiembre de dos mil veintidós y, en consecuencia, se le restituye en el pleno goce de sus derechos afectados, como quedó precisado en el considerando séptimo de esta sentencia. - - - - - - - - - - - - - - - - - - - - - - - - - - - - - - - - - - - - - - - - - </w:t>
      </w:r>
    </w:p>
    <w:p w14:paraId="5DCDE20C" w14:textId="77777777" w:rsidR="007D54F6" w:rsidRDefault="00D366D9">
      <w:pPr>
        <w:spacing w:after="0"/>
        <w:ind w:left="567" w:right="616" w:firstLine="283"/>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QUINTO. </w:t>
      </w:r>
      <w:r>
        <w:rPr>
          <w:rFonts w:ascii="Century Gothic" w:eastAsia="Century Gothic" w:hAnsi="Century Gothic" w:cs="Century Gothic"/>
          <w:sz w:val="24"/>
          <w:szCs w:val="24"/>
        </w:rPr>
        <w:t xml:space="preserve">Con fundamento en los artículos 172 fracción I y 173 fracciones I, y II, de la Ley de Procedimiento, </w:t>
      </w:r>
      <w:r>
        <w:rPr>
          <w:rFonts w:ascii="Century Gothic" w:eastAsia="Century Gothic" w:hAnsi="Century Gothic" w:cs="Century Gothic"/>
          <w:b/>
          <w:sz w:val="24"/>
          <w:szCs w:val="24"/>
        </w:rPr>
        <w:t xml:space="preserve">NOTIFÍQUESE </w:t>
      </w:r>
      <w:r>
        <w:rPr>
          <w:rFonts w:ascii="Century Gothic" w:eastAsia="Century Gothic" w:hAnsi="Century Gothic" w:cs="Century Gothic"/>
          <w:sz w:val="24"/>
          <w:szCs w:val="24"/>
        </w:rPr>
        <w:t xml:space="preserve">personalmente al actor y por oficio a la autoridad demandada. </w:t>
      </w:r>
      <w:r>
        <w:rPr>
          <w:rFonts w:ascii="Century Gothic" w:eastAsia="Century Gothic" w:hAnsi="Century Gothic" w:cs="Century Gothic"/>
          <w:b/>
          <w:sz w:val="24"/>
          <w:szCs w:val="24"/>
        </w:rPr>
        <w:t>CÚMPLASE.</w:t>
      </w:r>
      <w:r>
        <w:rPr>
          <w:rFonts w:ascii="Century Gothic" w:eastAsia="Century Gothic" w:hAnsi="Century Gothic" w:cs="Century Gothic"/>
          <w:sz w:val="24"/>
          <w:szCs w:val="24"/>
        </w:rPr>
        <w:t xml:space="preserve"> - - - - - - - - - - - - - - - - - - - - - -  - - - - - </w:t>
      </w:r>
      <w:r>
        <w:rPr>
          <w:rFonts w:ascii="Century Gothic" w:eastAsia="Century Gothic" w:hAnsi="Century Gothic" w:cs="Century Gothic"/>
          <w:b/>
          <w:sz w:val="24"/>
          <w:szCs w:val="24"/>
        </w:rPr>
        <w:t>”</w:t>
      </w:r>
    </w:p>
    <w:p w14:paraId="3E65D6AD" w14:textId="77777777" w:rsidR="007D54F6" w:rsidRDefault="00D366D9">
      <w:pPr>
        <w:widowControl w:val="0"/>
        <w:tabs>
          <w:tab w:val="left" w:pos="7938"/>
        </w:tabs>
        <w:spacing w:before="240" w:after="0"/>
        <w:ind w:left="1134" w:right="616"/>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C O N S I D E R A N D O</w:t>
      </w:r>
    </w:p>
    <w:p w14:paraId="209C4338" w14:textId="77777777" w:rsidR="00B436C9" w:rsidRDefault="00D366D9">
      <w:pPr>
        <w:widowControl w:val="0"/>
        <w:pBdr>
          <w:top w:val="nil"/>
          <w:left w:val="nil"/>
          <w:bottom w:val="nil"/>
          <w:right w:val="nil"/>
          <w:between w:val="nil"/>
        </w:pBdr>
        <w:spacing w:before="240" w:after="0"/>
        <w:ind w:right="18" w:firstLine="708"/>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PRIMERO. Jurisdicción y Competencia</w:t>
      </w:r>
      <w:r>
        <w:rPr>
          <w:rFonts w:ascii="Century Gothic" w:eastAsia="Century Gothic" w:hAnsi="Century Gothic" w:cs="Century Gothic"/>
          <w:color w:val="000000"/>
          <w:sz w:val="24"/>
          <w:szCs w:val="24"/>
        </w:rPr>
        <w:t>.</w:t>
      </w:r>
    </w:p>
    <w:p w14:paraId="63E98F66" w14:textId="25165510" w:rsidR="007D54F6" w:rsidRDefault="00B436C9">
      <w:pPr>
        <w:widowControl w:val="0"/>
        <w:pBdr>
          <w:top w:val="nil"/>
          <w:left w:val="nil"/>
          <w:bottom w:val="nil"/>
          <w:right w:val="nil"/>
          <w:between w:val="nil"/>
        </w:pBdr>
        <w:spacing w:before="240" w:after="0"/>
        <w:ind w:right="18" w:firstLine="708"/>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4. </w:t>
      </w:r>
      <w:r w:rsidR="00D366D9">
        <w:rPr>
          <w:rFonts w:ascii="Century Gothic" w:eastAsia="Century Gothic" w:hAnsi="Century Gothic" w:cs="Century Gothic"/>
          <w:color w:val="000000"/>
          <w:sz w:val="24"/>
          <w:szCs w:val="24"/>
        </w:rPr>
        <w:t xml:space="preserve">El Tribunal de Justicia Administrativa y Combate a la Corrupción del Estado de Oaxaca ejerce jurisdicción y esta Sala Superior es competente para conocer del presente asunto, conforme a lo dispuesto por los artículos 114 </w:t>
      </w:r>
      <w:proofErr w:type="spellStart"/>
      <w:r w:rsidR="00D366D9">
        <w:rPr>
          <w:rFonts w:ascii="Century Gothic" w:eastAsia="Century Gothic" w:hAnsi="Century Gothic" w:cs="Century Gothic"/>
          <w:color w:val="000000"/>
          <w:sz w:val="24"/>
          <w:szCs w:val="24"/>
        </w:rPr>
        <w:t>Quáter</w:t>
      </w:r>
      <w:proofErr w:type="spellEnd"/>
      <w:r w:rsidR="00D366D9">
        <w:rPr>
          <w:rFonts w:ascii="Century Gothic" w:eastAsia="Century Gothic" w:hAnsi="Century Gothic" w:cs="Century Gothic"/>
          <w:color w:val="000000"/>
          <w:sz w:val="24"/>
          <w:szCs w:val="24"/>
        </w:rPr>
        <w:t xml:space="preserve">  de la Constitución Política del Estado Libre y Soberano de Oaxaca</w:t>
      </w:r>
      <w:r w:rsidR="00D366D9">
        <w:rPr>
          <w:rFonts w:ascii="Century Gothic" w:eastAsia="Century Gothic" w:hAnsi="Century Gothic" w:cs="Century Gothic"/>
          <w:color w:val="000000"/>
          <w:sz w:val="24"/>
          <w:szCs w:val="24"/>
          <w:vertAlign w:val="superscript"/>
        </w:rPr>
        <w:footnoteReference w:id="1"/>
      </w:r>
      <w:r w:rsidR="00D366D9">
        <w:rPr>
          <w:rFonts w:ascii="Century Gothic" w:eastAsia="Century Gothic" w:hAnsi="Century Gothic" w:cs="Century Gothic"/>
          <w:color w:val="000000"/>
          <w:sz w:val="24"/>
          <w:szCs w:val="24"/>
        </w:rPr>
        <w:t>; 1, 2, 4, fracción V</w:t>
      </w:r>
      <w:r w:rsidR="002C54D2">
        <w:rPr>
          <w:rFonts w:ascii="Century Gothic" w:eastAsia="Century Gothic" w:hAnsi="Century Gothic" w:cs="Century Gothic"/>
          <w:color w:val="000000"/>
          <w:sz w:val="24"/>
          <w:szCs w:val="24"/>
        </w:rPr>
        <w:t>I, 22, 23 fracciones I y IV</w:t>
      </w:r>
      <w:r w:rsidR="008E2E68">
        <w:rPr>
          <w:rFonts w:ascii="Century Gothic" w:eastAsia="Century Gothic" w:hAnsi="Century Gothic" w:cs="Century Gothic"/>
          <w:color w:val="000000"/>
          <w:sz w:val="24"/>
          <w:szCs w:val="24"/>
        </w:rPr>
        <w:t>, 24, fracción I y 26</w:t>
      </w:r>
      <w:r w:rsidR="00D366D9">
        <w:rPr>
          <w:rFonts w:ascii="Century Gothic" w:eastAsia="Century Gothic" w:hAnsi="Century Gothic" w:cs="Century Gothic"/>
          <w:color w:val="000000"/>
          <w:sz w:val="24"/>
          <w:szCs w:val="24"/>
        </w:rPr>
        <w:t xml:space="preserve"> de la </w:t>
      </w:r>
      <w:r w:rsidR="004E1ABD">
        <w:rPr>
          <w:rFonts w:ascii="Century Gothic" w:eastAsia="Century Gothic" w:hAnsi="Century Gothic" w:cs="Century Gothic"/>
          <w:sz w:val="24"/>
          <w:szCs w:val="24"/>
        </w:rPr>
        <w:t xml:space="preserve">Ley Orgánica del Tribunal de Justicia Administrativa y Combate a la Corrupción del Estado de </w:t>
      </w:r>
      <w:r w:rsidR="004E1ABD">
        <w:rPr>
          <w:rFonts w:ascii="Century Gothic" w:eastAsia="Century Gothic" w:hAnsi="Century Gothic" w:cs="Century Gothic"/>
          <w:sz w:val="24"/>
          <w:szCs w:val="24"/>
        </w:rPr>
        <w:lastRenderedPageBreak/>
        <w:t>Oaxaca</w:t>
      </w:r>
      <w:r w:rsidR="00D366D9">
        <w:rPr>
          <w:rFonts w:ascii="Century Gothic" w:eastAsia="Century Gothic" w:hAnsi="Century Gothic" w:cs="Century Gothic"/>
          <w:color w:val="000000"/>
          <w:sz w:val="24"/>
          <w:szCs w:val="24"/>
        </w:rPr>
        <w:t xml:space="preserve">, vigente; 120, 125, 127, 129,130, fracción l, 131, 201, 236, fracción VII y 238 de la Ley de Procedimiento, dado que se trata de un recurso de revisión interpuesto en contra de la sentencia de fecha veintiséis de enero de dos mil veintitrés, dictada en el juicio de nulidad con número de  expediente 0086/2022 de la Sexta Sala Unitaria de Primera Instancia del extinto Tribunal de Justicia Administrativa del Estado de Oaxaca, ahora radicado dentro del expediente 0260/2023 del índice de la Sala Especializada en Materia de Responsabilidades Administrativas y Combate a la Corrupción del Tribunal de Justicia Administrativa y Combate a la Corrupción del Estado de Oaxaca.  </w:t>
      </w:r>
    </w:p>
    <w:p w14:paraId="35B0223E" w14:textId="77777777" w:rsidR="00B436C9" w:rsidRDefault="00D366D9">
      <w:pPr>
        <w:spacing w:before="240"/>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SEGUNDO. Requisitos de procedencia. </w:t>
      </w:r>
    </w:p>
    <w:p w14:paraId="122F331E" w14:textId="694B947B" w:rsidR="007D54F6" w:rsidRDefault="00B436C9">
      <w:pPr>
        <w:spacing w:before="240"/>
        <w:ind w:firstLine="708"/>
        <w:jc w:val="both"/>
        <w:rPr>
          <w:rFonts w:ascii="Century Gothic" w:eastAsia="Century Gothic" w:hAnsi="Century Gothic" w:cs="Century Gothic"/>
          <w:sz w:val="24"/>
          <w:szCs w:val="24"/>
        </w:rPr>
      </w:pPr>
      <w:r w:rsidRPr="00B436C9">
        <w:rPr>
          <w:rFonts w:ascii="Century Gothic" w:eastAsia="Century Gothic" w:hAnsi="Century Gothic" w:cs="Century Gothic"/>
          <w:bCs/>
          <w:sz w:val="24"/>
          <w:szCs w:val="24"/>
        </w:rPr>
        <w:t xml:space="preserve">5. </w:t>
      </w:r>
      <w:r w:rsidR="00D366D9">
        <w:rPr>
          <w:rFonts w:ascii="Century Gothic" w:eastAsia="Century Gothic" w:hAnsi="Century Gothic" w:cs="Century Gothic"/>
          <w:sz w:val="24"/>
          <w:szCs w:val="24"/>
        </w:rPr>
        <w:t>Se tienen por satisfechos los requisitos de procedencia previstos en los artículos 236, 237 de la Ley de Procedimiento.</w:t>
      </w:r>
    </w:p>
    <w:p w14:paraId="37C8D16D" w14:textId="77777777" w:rsidR="007D54F6" w:rsidRDefault="00D366D9">
      <w:pPr>
        <w:numPr>
          <w:ilvl w:val="0"/>
          <w:numId w:val="2"/>
        </w:numPr>
        <w:pBdr>
          <w:top w:val="nil"/>
          <w:left w:val="nil"/>
          <w:bottom w:val="nil"/>
          <w:right w:val="nil"/>
          <w:between w:val="nil"/>
        </w:pBdr>
        <w:spacing w:before="240" w:after="0"/>
        <w:ind w:left="0" w:firstLine="426"/>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Forma. </w:t>
      </w:r>
      <w:r>
        <w:rPr>
          <w:rFonts w:ascii="Century Gothic" w:eastAsia="Century Gothic" w:hAnsi="Century Gothic" w:cs="Century Gothic"/>
          <w:color w:val="000000"/>
          <w:sz w:val="24"/>
          <w:szCs w:val="24"/>
        </w:rPr>
        <w:t>Se observa que el</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recurso se efectuó conforme a los lineamientos que exige el artículo 236 de la Ley de Procedimiento, ya que se presentó por escrito, con la expresión de agravios ante la Sala que dictó la sentencia que se impugna.</w:t>
      </w:r>
    </w:p>
    <w:p w14:paraId="2E172009" w14:textId="77777777" w:rsidR="007D54F6" w:rsidRDefault="00D366D9">
      <w:pPr>
        <w:numPr>
          <w:ilvl w:val="0"/>
          <w:numId w:val="2"/>
        </w:numPr>
        <w:pBdr>
          <w:top w:val="nil"/>
          <w:left w:val="nil"/>
          <w:bottom w:val="nil"/>
          <w:right w:val="nil"/>
          <w:between w:val="nil"/>
        </w:pBdr>
        <w:spacing w:after="0"/>
        <w:ind w:left="0" w:firstLine="426"/>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Oportunidad. </w:t>
      </w:r>
      <w:r>
        <w:rPr>
          <w:rFonts w:ascii="Century Gothic" w:eastAsia="Century Gothic" w:hAnsi="Century Gothic" w:cs="Century Gothic"/>
          <w:color w:val="000000"/>
          <w:sz w:val="24"/>
          <w:szCs w:val="24"/>
        </w:rPr>
        <w:t>Se cumple tal requisito, toda vez que el acto impugnado fue notificado al recurrente, el veintiuno de marzo de dos mil veintitrés, en tanto el correspondiente recurso se interpuso el día veintidós de marzo del dos mil veintitrés, siendo éste dentro del plazo de cinco días previsto en el artículo 237 de la Ley de Procedimiento, en virtud que el día miércoles veintidós de marzo del año en curso surtió efectos y empezando a correr el conteo a partir del día jueves veintitrés al veintinueve de marzo del presente año (sin ser contados los días sábado y domingo por ser inhábiles, de conformidad con el artículo 39 de la Ley de Procedimiento</w:t>
      </w:r>
      <w:r>
        <w:rPr>
          <w:rFonts w:ascii="Century Gothic" w:eastAsia="Century Gothic" w:hAnsi="Century Gothic" w:cs="Century Gothic"/>
          <w:color w:val="000000"/>
          <w:sz w:val="24"/>
          <w:szCs w:val="24"/>
          <w:vertAlign w:val="superscript"/>
        </w:rPr>
        <w:footnoteReference w:id="2"/>
      </w:r>
      <w:r>
        <w:rPr>
          <w:rFonts w:ascii="Century Gothic" w:eastAsia="Century Gothic" w:hAnsi="Century Gothic" w:cs="Century Gothic"/>
          <w:color w:val="000000"/>
          <w:sz w:val="24"/>
          <w:szCs w:val="24"/>
        </w:rPr>
        <w:t>).</w:t>
      </w:r>
    </w:p>
    <w:p w14:paraId="4834C027" w14:textId="77777777" w:rsidR="007D54F6" w:rsidRDefault="00D366D9">
      <w:pPr>
        <w:numPr>
          <w:ilvl w:val="0"/>
          <w:numId w:val="2"/>
        </w:numPr>
        <w:pBdr>
          <w:top w:val="nil"/>
          <w:left w:val="nil"/>
          <w:bottom w:val="nil"/>
          <w:right w:val="nil"/>
          <w:between w:val="nil"/>
        </w:pBdr>
        <w:spacing w:after="0"/>
        <w:ind w:left="0" w:firstLine="426"/>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Legitimación. </w:t>
      </w:r>
      <w:r>
        <w:rPr>
          <w:rFonts w:ascii="Century Gothic" w:eastAsia="Century Gothic" w:hAnsi="Century Gothic" w:cs="Century Gothic"/>
          <w:color w:val="000000"/>
          <w:sz w:val="24"/>
          <w:szCs w:val="24"/>
        </w:rPr>
        <w:t>El presente recurso fue interpuesto por parte legítima. Ello, porque de conformidad con señalado en el artículo 236, de la Ley de Procedimiento, el recurso de revisión en que se actúa, puede ser impugnado por las partes.</w:t>
      </w:r>
    </w:p>
    <w:p w14:paraId="2ABC6B91" w14:textId="7AC82863" w:rsidR="007D54F6" w:rsidRDefault="00D366D9">
      <w:pPr>
        <w:numPr>
          <w:ilvl w:val="0"/>
          <w:numId w:val="2"/>
        </w:numPr>
        <w:pBdr>
          <w:top w:val="nil"/>
          <w:left w:val="nil"/>
          <w:bottom w:val="nil"/>
          <w:right w:val="nil"/>
          <w:between w:val="nil"/>
        </w:pBdr>
        <w:ind w:left="0" w:firstLine="426"/>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Idoneidad. </w:t>
      </w:r>
      <w:r>
        <w:rPr>
          <w:rFonts w:ascii="Century Gothic" w:eastAsia="Century Gothic" w:hAnsi="Century Gothic" w:cs="Century Gothic"/>
          <w:color w:val="000000"/>
          <w:sz w:val="24"/>
          <w:szCs w:val="24"/>
        </w:rPr>
        <w:t xml:space="preserve">Ahora, por lo que hace a este requisito, éste se cumple, en virtud que la determinación de la Sala Unitaria de Primera Instancia que fue recurrida es la declaración de la </w:t>
      </w:r>
      <w:r>
        <w:rPr>
          <w:rFonts w:ascii="Century Gothic" w:eastAsia="Century Gothic" w:hAnsi="Century Gothic" w:cs="Century Gothic"/>
          <w:b/>
          <w:color w:val="000000"/>
          <w:sz w:val="24"/>
          <w:szCs w:val="24"/>
        </w:rPr>
        <w:t xml:space="preserve">NULIDAD LISA Y LLANA </w:t>
      </w:r>
      <w:r>
        <w:rPr>
          <w:rFonts w:ascii="Century Gothic" w:eastAsia="Century Gothic" w:hAnsi="Century Gothic" w:cs="Century Gothic"/>
          <w:color w:val="000000"/>
          <w:sz w:val="24"/>
          <w:szCs w:val="24"/>
        </w:rPr>
        <w:t>del acta de infracción de tránsito con número de folio</w:t>
      </w:r>
      <w:r w:rsidR="002923D9">
        <w:rPr>
          <w:rFonts w:ascii="Century Gothic" w:eastAsia="Century Gothic" w:hAnsi="Century Gothic" w:cs="Century Gothic"/>
          <w:color w:val="000000"/>
          <w:sz w:val="24"/>
          <w:szCs w:val="24"/>
        </w:rPr>
        <w:t xml:space="preserve"> *********</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 xml:space="preserve">de fecha cinco de septiembre de dos mil veintidós y, en consecuencia, se le restituye en el pleno goce de sus derechos afectados, por ende, se </w:t>
      </w:r>
      <w:r>
        <w:rPr>
          <w:rFonts w:ascii="Century Gothic" w:eastAsia="Century Gothic" w:hAnsi="Century Gothic" w:cs="Century Gothic"/>
          <w:color w:val="000000"/>
          <w:sz w:val="24"/>
          <w:szCs w:val="24"/>
        </w:rPr>
        <w:lastRenderedPageBreak/>
        <w:t>encuentra dentro de ese catálogo que enlista el numeral 236 fracción VII, de la Ley de Procedimiento, por lo cual procede el recurso de revisión.</w:t>
      </w:r>
    </w:p>
    <w:p w14:paraId="1971BB31" w14:textId="77777777" w:rsidR="00B436C9" w:rsidRDefault="00D366D9">
      <w:pPr>
        <w:spacing w:before="240" w:after="0"/>
        <w:ind w:right="49"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TERCERO. Agravios.</w:t>
      </w:r>
      <w:r>
        <w:rPr>
          <w:rFonts w:ascii="Century Gothic" w:eastAsia="Century Gothic" w:hAnsi="Century Gothic" w:cs="Century Gothic"/>
          <w:sz w:val="24"/>
          <w:szCs w:val="24"/>
        </w:rPr>
        <w:t xml:space="preserve"> </w:t>
      </w:r>
    </w:p>
    <w:p w14:paraId="19775386" w14:textId="1A325EF6" w:rsidR="007D54F6" w:rsidRDefault="00B436C9">
      <w:pPr>
        <w:spacing w:before="240" w:after="0"/>
        <w:ind w:right="49"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6. </w:t>
      </w:r>
      <w:r w:rsidR="00D366D9">
        <w:rPr>
          <w:rFonts w:ascii="Century Gothic" w:eastAsia="Century Gothic" w:hAnsi="Century Gothic" w:cs="Century Gothic"/>
          <w:sz w:val="24"/>
          <w:szCs w:val="24"/>
        </w:rPr>
        <w:t>Los agravios hechos valer se encuentran expuestos en el escrito respectivo del recurrente, por lo que no existe necesidad de transcribirlos, al no transgredírsele derecho alguno, como tampoco se vulnera disposición expresa que imponga tal obligación.</w:t>
      </w:r>
    </w:p>
    <w:p w14:paraId="11CBF7DA" w14:textId="3F90B994" w:rsidR="007D54F6" w:rsidRDefault="00B436C9">
      <w:pPr>
        <w:widowControl w:val="0"/>
        <w:tabs>
          <w:tab w:val="left" w:pos="7938"/>
          <w:tab w:val="left" w:pos="8222"/>
        </w:tabs>
        <w:spacing w:before="240"/>
        <w:ind w:right="49" w:firstLine="851"/>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7. </w:t>
      </w:r>
      <w:r w:rsidR="00D366D9">
        <w:rPr>
          <w:rFonts w:ascii="Century Gothic" w:eastAsia="Century Gothic" w:hAnsi="Century Gothic" w:cs="Century Gothic"/>
          <w:sz w:val="24"/>
          <w:szCs w:val="24"/>
        </w:rPr>
        <w:t xml:space="preserve">Se invoca en apoyo, la Jurisprudencia en materia común, número 2a./J. 58/2010, de la Novena Época, emitida por la Segunda Sala de la Suprema Corte de Justicia de la Nación, con número de registro digital 164618, publicada en el Semanario Judicial de la Federación y su Gaceta. En el Tomo XXXI, </w:t>
      </w:r>
      <w:proofErr w:type="gramStart"/>
      <w:r w:rsidR="00D366D9">
        <w:rPr>
          <w:rFonts w:ascii="Century Gothic" w:eastAsia="Century Gothic" w:hAnsi="Century Gothic" w:cs="Century Gothic"/>
          <w:sz w:val="24"/>
          <w:szCs w:val="24"/>
        </w:rPr>
        <w:t>Mayo</w:t>
      </w:r>
      <w:proofErr w:type="gramEnd"/>
      <w:r w:rsidR="00D366D9">
        <w:rPr>
          <w:rFonts w:ascii="Century Gothic" w:eastAsia="Century Gothic" w:hAnsi="Century Gothic" w:cs="Century Gothic"/>
          <w:sz w:val="24"/>
          <w:szCs w:val="24"/>
        </w:rPr>
        <w:t xml:space="preserve"> de 2010, visible a página 830, bajo el rubro y texto siguiente: </w:t>
      </w:r>
    </w:p>
    <w:p w14:paraId="58F01433" w14:textId="77777777" w:rsidR="007D54F6" w:rsidRDefault="00D366D9">
      <w:pPr>
        <w:spacing w:before="240"/>
        <w:ind w:left="567" w:right="616"/>
        <w:jc w:val="both"/>
        <w:rPr>
          <w:rFonts w:ascii="Century Gothic" w:eastAsia="Century Gothic" w:hAnsi="Century Gothic" w:cs="Century Gothic"/>
          <w:i/>
          <w:sz w:val="24"/>
          <w:szCs w:val="24"/>
        </w:rPr>
      </w:pPr>
      <w:r>
        <w:rPr>
          <w:rFonts w:ascii="Century Gothic" w:eastAsia="Century Gothic" w:hAnsi="Century Gothic" w:cs="Century Gothic"/>
          <w:b/>
          <w:i/>
          <w:sz w:val="24"/>
          <w:szCs w:val="24"/>
        </w:rPr>
        <w:t xml:space="preserve">“CONCEPTOS DE VIOLACIÓN O AGRAVIOS. PARA CUMPLIR CON LOS PRINCIPIOS DE CONGRUENCIA Y EXHAUSTIVIDAD EN LAS SENTENCIAS DE AMPARO ES INNECESARIA SU TRANSCRIPCIÓN”. </w:t>
      </w:r>
      <w:r>
        <w:rPr>
          <w:rFonts w:ascii="Century Gothic" w:eastAsia="Century Gothic" w:hAnsi="Century Gothic" w:cs="Century Gothic"/>
          <w:b/>
          <w:i/>
          <w:sz w:val="24"/>
          <w:szCs w:val="24"/>
          <w:vertAlign w:val="superscript"/>
        </w:rPr>
        <w:footnoteReference w:id="3"/>
      </w:r>
    </w:p>
    <w:p w14:paraId="0D43D69A" w14:textId="77777777" w:rsidR="007D54F6" w:rsidRDefault="00D366D9">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CUARTO. Estudio y análisis de los agravios</w:t>
      </w:r>
      <w:r>
        <w:rPr>
          <w:rFonts w:ascii="Century Gothic" w:eastAsia="Century Gothic" w:hAnsi="Century Gothic" w:cs="Century Gothic"/>
          <w:sz w:val="24"/>
          <w:szCs w:val="24"/>
        </w:rPr>
        <w:t xml:space="preserve">. </w:t>
      </w:r>
    </w:p>
    <w:p w14:paraId="7E8C7EE6" w14:textId="0D68EC4D" w:rsidR="007D54F6" w:rsidRDefault="00B436C9">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8. </w:t>
      </w:r>
      <w:r w:rsidR="00D366D9">
        <w:rPr>
          <w:rFonts w:ascii="Century Gothic" w:eastAsia="Century Gothic" w:hAnsi="Century Gothic" w:cs="Century Gothic"/>
          <w:sz w:val="24"/>
          <w:szCs w:val="24"/>
        </w:rPr>
        <w:t xml:space="preserve">Del análisis del </w:t>
      </w:r>
      <w:r w:rsidR="00D366D9">
        <w:rPr>
          <w:rFonts w:ascii="Century Gothic" w:eastAsia="Century Gothic" w:hAnsi="Century Gothic" w:cs="Century Gothic"/>
          <w:b/>
          <w:sz w:val="24"/>
          <w:szCs w:val="24"/>
        </w:rPr>
        <w:t>PRIMER AGRAVIO</w:t>
      </w:r>
      <w:r w:rsidR="00D366D9">
        <w:rPr>
          <w:rFonts w:ascii="Century Gothic" w:eastAsia="Century Gothic" w:hAnsi="Century Gothic" w:cs="Century Gothic"/>
          <w:sz w:val="24"/>
          <w:szCs w:val="24"/>
        </w:rPr>
        <w:t xml:space="preserve"> hecho por el recurrente, donde aduce que el considerando séptimo de la sentencia que combate, viola en perjuicio de la autoridad que representa los artículos 14 y 16 de la Constitución Política de los Estados Unidos Mexicanos y 207, fracción II de la Ley de Procedimiento, en virtud de que no está emitida de forma congruente con el acto impugnado, ya que a pesar de que quedó acreditada la correcta fundamentación y motivación del acto, y con </w:t>
      </w:r>
      <w:r w:rsidR="00D366D9">
        <w:rPr>
          <w:rFonts w:ascii="Century Gothic" w:eastAsia="Century Gothic" w:hAnsi="Century Gothic" w:cs="Century Gothic"/>
          <w:sz w:val="24"/>
          <w:szCs w:val="24"/>
        </w:rPr>
        <w:lastRenderedPageBreak/>
        <w:t>ello la validez del mismo, la Magistrada</w:t>
      </w:r>
      <w:r w:rsidR="00D366D9">
        <w:rPr>
          <w:rFonts w:ascii="Century Gothic" w:eastAsia="Century Gothic" w:hAnsi="Century Gothic" w:cs="Century Gothic"/>
          <w:i/>
          <w:sz w:val="24"/>
          <w:szCs w:val="24"/>
        </w:rPr>
        <w:t xml:space="preserve"> </w:t>
      </w:r>
      <w:r w:rsidR="00D366D9">
        <w:rPr>
          <w:rFonts w:ascii="Century Gothic" w:eastAsia="Century Gothic" w:hAnsi="Century Gothic" w:cs="Century Gothic"/>
          <w:sz w:val="24"/>
          <w:szCs w:val="24"/>
        </w:rPr>
        <w:t>omitió razonarla para declarar su nulidad lisa y llana.</w:t>
      </w:r>
    </w:p>
    <w:p w14:paraId="6EED3D28" w14:textId="098AF83F" w:rsidR="007D54F6" w:rsidRDefault="00B436C9">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9. </w:t>
      </w:r>
      <w:r w:rsidR="00D366D9">
        <w:rPr>
          <w:rFonts w:ascii="Century Gothic" w:eastAsia="Century Gothic" w:hAnsi="Century Gothic" w:cs="Century Gothic"/>
          <w:sz w:val="24"/>
          <w:szCs w:val="24"/>
        </w:rPr>
        <w:t xml:space="preserve">Refiere que la entonces titular de la Sexta Sala Unitaria de Primera Instancia, le causa agravio a su investidura como Policía Vial Municipal, ya que en primer término el acta de infracción con número de folio </w:t>
      </w:r>
      <w:r w:rsidR="0016395C">
        <w:rPr>
          <w:rFonts w:ascii="Century Gothic" w:eastAsia="Century Gothic" w:hAnsi="Century Gothic" w:cs="Century Gothic"/>
          <w:sz w:val="24"/>
          <w:szCs w:val="24"/>
        </w:rPr>
        <w:t xml:space="preserve">********* </w:t>
      </w:r>
      <w:r w:rsidR="00D366D9">
        <w:rPr>
          <w:rFonts w:ascii="Century Gothic" w:eastAsia="Century Gothic" w:hAnsi="Century Gothic" w:cs="Century Gothic"/>
          <w:sz w:val="24"/>
          <w:szCs w:val="24"/>
        </w:rPr>
        <w:t xml:space="preserve">de fecha cinco de septiembre de dos mil veintidós, se indicó como fundamentación los artículos 16 fracción II, 86 fracción XXXIII y 130 del Reglamento de Vialidad para el Municipio de  Oaxaca de Juárez, Oaxaca, que prevé la conducta ilegal del infractor por estacionarse en lugar prohibido,  por lo que se hizo acreedor a una sanción como consecuencia de su conducta ilegal, de lo que se desprende la legalidad de la multa impuesta; por ello, la sentencia no está apegada a derecho, ni fundada ni motivada. </w:t>
      </w:r>
    </w:p>
    <w:p w14:paraId="1E500E43" w14:textId="2C59E7A1" w:rsidR="007D54F6" w:rsidRDefault="00B436C9">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10. </w:t>
      </w:r>
      <w:r w:rsidR="00D366D9">
        <w:rPr>
          <w:rFonts w:ascii="Century Gothic" w:eastAsia="Century Gothic" w:hAnsi="Century Gothic" w:cs="Century Gothic"/>
          <w:sz w:val="24"/>
          <w:szCs w:val="24"/>
        </w:rPr>
        <w:t>Aunado a que en el acta de infracción se citaron las circunstancias de modo, tiempo y lugar, para cumplir con el requisito de fundamentación y motivación que exige el artículo 17, fracción V de la Ley de Procedimiento; que si bien es cierto que el artículo 16 de la Constitución Federal establece la obligación de las autoridades de fundar y motivar sus actos, desde el punto de vista formal, cuando se expresen las normas legales aplicables y los hechos que hacen que el caso encaje en las hipótesis normativas, basta el razonamiento sustancial, sin que pueda exigirse formalmente mayor amplitud o abundancia, para que se comprenda el argumento expresado; además que se debe resolver bajo la premisa de que todo acto de autoridad es válido hasta demostrar lo contrario, correspondiéndole al promovente aportar los elementos necesarios para que desvirtúen la legalidad del acto de autoridad.</w:t>
      </w:r>
    </w:p>
    <w:p w14:paraId="003FD505" w14:textId="704A310B" w:rsidR="007D54F6" w:rsidRDefault="00B436C9">
      <w:pPr>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11. </w:t>
      </w:r>
      <w:r w:rsidR="00D366D9">
        <w:rPr>
          <w:rFonts w:ascii="Century Gothic" w:eastAsia="Century Gothic" w:hAnsi="Century Gothic" w:cs="Century Gothic"/>
          <w:sz w:val="24"/>
          <w:szCs w:val="24"/>
        </w:rPr>
        <w:t>Al caso,</w:t>
      </w:r>
      <w:r w:rsidR="00D366D9">
        <w:rPr>
          <w:rFonts w:ascii="Century Gothic" w:eastAsia="Century Gothic" w:hAnsi="Century Gothic" w:cs="Century Gothic"/>
          <w:b/>
          <w:color w:val="000000"/>
          <w:sz w:val="24"/>
          <w:szCs w:val="24"/>
        </w:rPr>
        <w:t xml:space="preserve"> </w:t>
      </w:r>
      <w:r w:rsidR="00D366D9">
        <w:rPr>
          <w:rFonts w:ascii="Century Gothic" w:eastAsia="Century Gothic" w:hAnsi="Century Gothic" w:cs="Century Gothic"/>
          <w:color w:val="000000"/>
          <w:sz w:val="24"/>
          <w:szCs w:val="24"/>
        </w:rPr>
        <w:t xml:space="preserve"> el agravio expuesto por el recurrente resulta </w:t>
      </w:r>
      <w:r w:rsidR="00D366D9">
        <w:rPr>
          <w:rFonts w:ascii="Century Gothic" w:eastAsia="Century Gothic" w:hAnsi="Century Gothic" w:cs="Century Gothic"/>
          <w:b/>
          <w:color w:val="000000"/>
          <w:sz w:val="24"/>
          <w:szCs w:val="24"/>
        </w:rPr>
        <w:t xml:space="preserve">INOPERANTE, </w:t>
      </w:r>
      <w:r w:rsidR="00D366D9">
        <w:rPr>
          <w:rFonts w:ascii="Century Gothic" w:eastAsia="Century Gothic" w:hAnsi="Century Gothic" w:cs="Century Gothic"/>
          <w:color w:val="000000"/>
          <w:sz w:val="24"/>
          <w:szCs w:val="24"/>
        </w:rPr>
        <w:t xml:space="preserve">ya que </w:t>
      </w:r>
      <w:r w:rsidR="00D366D9">
        <w:rPr>
          <w:rFonts w:ascii="Century Gothic" w:eastAsia="Century Gothic" w:hAnsi="Century Gothic" w:cs="Century Gothic"/>
          <w:sz w:val="24"/>
          <w:szCs w:val="24"/>
        </w:rPr>
        <w:t xml:space="preserve">no basta que exprese de forma genérica y abstracta que en la sentencia en estudio se incurrió en indebida fundamentación y motivación, sino que debe exponer en forma precisa y razonada, los motivos concretos en los que explique el porqué de sus aseveraciones; es decir, debe señalar cual es el pronunciamiento específico de la sentencia en la que se incurrió en indebida fundamentación y motivación y relacionar sus razones de disenso con el perjuicio que se le cause, </w:t>
      </w:r>
      <w:r w:rsidR="00D366D9">
        <w:rPr>
          <w:rFonts w:ascii="Century Gothic" w:eastAsia="Century Gothic" w:hAnsi="Century Gothic" w:cs="Century Gothic"/>
          <w:sz w:val="24"/>
          <w:szCs w:val="24"/>
          <w:highlight w:val="white"/>
        </w:rPr>
        <w:t xml:space="preserve">pues es obvio que el hoy recurrente como autoridad demandada en el juicio natural, le corresponde exponer razonadamente por qué estima ilegal el acto que recurre, debiendo señalar la parte de la sentencia que considera se encuentra indebidamente fundada y motivada, mas no expresar simples aseveraciones con la finalidad de que esta Sala Superior emprenda el examen de legalidad de la sentencia recurrida con base en tales manifestaciones; consecuentemente, al no controvertir </w:t>
      </w:r>
      <w:r w:rsidR="00D366D9">
        <w:rPr>
          <w:rFonts w:ascii="Century Gothic" w:eastAsia="Century Gothic" w:hAnsi="Century Gothic" w:cs="Century Gothic"/>
          <w:sz w:val="24"/>
          <w:szCs w:val="24"/>
        </w:rPr>
        <w:t xml:space="preserve">de forma adecuada los fundamentos legales y las consideraciones de la Primera Instancia plasmadas en la sentencia impugnada, es que resulta </w:t>
      </w:r>
      <w:r w:rsidR="00D366D9">
        <w:rPr>
          <w:rFonts w:ascii="Century Gothic" w:eastAsia="Century Gothic" w:hAnsi="Century Gothic" w:cs="Century Gothic"/>
          <w:b/>
          <w:sz w:val="24"/>
          <w:szCs w:val="24"/>
        </w:rPr>
        <w:t>inoperante</w:t>
      </w:r>
      <w:r w:rsidR="00D366D9">
        <w:rPr>
          <w:rFonts w:ascii="Century Gothic" w:eastAsia="Century Gothic" w:hAnsi="Century Gothic" w:cs="Century Gothic"/>
          <w:sz w:val="24"/>
          <w:szCs w:val="24"/>
        </w:rPr>
        <w:t xml:space="preserve"> lo alegado por el recurrente en el agravio analizado. </w:t>
      </w:r>
    </w:p>
    <w:p w14:paraId="2BDBC888" w14:textId="6D410472" w:rsidR="007D54F6" w:rsidRDefault="00B436C9">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 xml:space="preserve">12. </w:t>
      </w:r>
      <w:r w:rsidR="00D366D9">
        <w:rPr>
          <w:rFonts w:ascii="Century Gothic" w:eastAsia="Century Gothic" w:hAnsi="Century Gothic" w:cs="Century Gothic"/>
          <w:sz w:val="24"/>
          <w:szCs w:val="24"/>
        </w:rPr>
        <w:t>De igual forma el citado agravio resulta infundado, toda vez que contrario a lo manifestado por el recurrente del análisis del acta de infracción, destacan puntos importantes que la Sala de Primera Instancia valoro al momento de emitir la resolución recurrida:</w:t>
      </w:r>
    </w:p>
    <w:p w14:paraId="29A8C73A" w14:textId="77777777" w:rsidR="007D54F6" w:rsidRDefault="00D366D9">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a)</w:t>
      </w:r>
      <w:r>
        <w:rPr>
          <w:rFonts w:ascii="Century Gothic" w:eastAsia="Century Gothic" w:hAnsi="Century Gothic" w:cs="Century Gothic"/>
          <w:sz w:val="24"/>
          <w:szCs w:val="24"/>
        </w:rPr>
        <w:t xml:space="preserve"> El acta de infracción fue emitida por un Policía Vial el cual cuenta con las atribuciones y obligaciones para formular actas de infracción cometidas por los conductores que infrinjan el Reglamento, pero estas deben estar debidamente fundadas y motivadas correctamente.</w:t>
      </w:r>
    </w:p>
    <w:p w14:paraId="4AEFB850" w14:textId="77777777" w:rsidR="007D54F6" w:rsidRDefault="00D366D9">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b)</w:t>
      </w:r>
      <w:r>
        <w:rPr>
          <w:rFonts w:ascii="Century Gothic" w:eastAsia="Century Gothic" w:hAnsi="Century Gothic" w:cs="Century Gothic"/>
          <w:sz w:val="24"/>
          <w:szCs w:val="24"/>
        </w:rPr>
        <w:t xml:space="preserve"> El acta de infracción no se encuentra debidamente sustentada, pues en el apartado de motivación del acta de infracción, la autoridad vial se limitó a indicar “</w:t>
      </w:r>
      <w:r>
        <w:rPr>
          <w:rFonts w:ascii="Century Gothic" w:eastAsia="Century Gothic" w:hAnsi="Century Gothic" w:cs="Century Gothic"/>
          <w:i/>
          <w:sz w:val="24"/>
          <w:szCs w:val="24"/>
        </w:rPr>
        <w:t>POR ESTACIONARSE EN LUGAR PROHIBIDO; EXISTEN SEÑALAMIENTOS DE NO ESTACIONARSE</w:t>
      </w:r>
      <w:r>
        <w:rPr>
          <w:rFonts w:ascii="Century Gothic" w:eastAsia="Century Gothic" w:hAnsi="Century Gothic" w:cs="Century Gothic"/>
          <w:sz w:val="24"/>
          <w:szCs w:val="24"/>
        </w:rPr>
        <w:t>”, sin haber precisado las circunstancias de tiempo, modo y lugar, así como las razones particulares, causas inmediatas, motivos o circunstancias especiales que se ajustaron a los artículos “</w:t>
      </w:r>
      <w:r>
        <w:rPr>
          <w:rFonts w:ascii="Century Gothic" w:eastAsia="Century Gothic" w:hAnsi="Century Gothic" w:cs="Century Gothic"/>
          <w:i/>
          <w:sz w:val="24"/>
          <w:szCs w:val="24"/>
        </w:rPr>
        <w:t>ARTÍCULO 86 FRACCIÓN XXXIII; ARTÍCULO 21, 16 DE LA CONSTITUCIÓN POLÍTICA DE LOS ESTADOS MEXICANOS</w:t>
      </w:r>
      <w:r>
        <w:rPr>
          <w:rFonts w:ascii="Century Gothic" w:eastAsia="Century Gothic" w:hAnsi="Century Gothic" w:cs="Century Gothic"/>
          <w:sz w:val="24"/>
          <w:szCs w:val="24"/>
        </w:rPr>
        <w:t>”, escritos en el apartado de la fundamentación.</w:t>
      </w:r>
    </w:p>
    <w:p w14:paraId="697EB066" w14:textId="77777777" w:rsidR="007D54F6" w:rsidRDefault="00D366D9">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c)</w:t>
      </w:r>
      <w:r>
        <w:rPr>
          <w:rFonts w:ascii="Century Gothic" w:eastAsia="Century Gothic" w:hAnsi="Century Gothic" w:cs="Century Gothic"/>
          <w:sz w:val="24"/>
          <w:szCs w:val="24"/>
        </w:rPr>
        <w:t xml:space="preserve"> El acta de infracción con número de folio 7149 A de fecha cinco de septiembre del año dos mil veintidós, emitida por el Policía Vial FREDI RODRIGO JUÁREZ LEÓN, con número estadístico PV-119, adscrito a la Dirección de Movilidad del Municipio de Oaxaca de Juárez; en la parte inferior de la boleta de mérito se advierte la leyenda, "</w:t>
      </w:r>
      <w:r>
        <w:rPr>
          <w:rFonts w:ascii="Century Gothic" w:eastAsia="Century Gothic" w:hAnsi="Century Gothic" w:cs="Century Gothic"/>
          <w:b/>
          <w:sz w:val="24"/>
          <w:szCs w:val="24"/>
        </w:rPr>
        <w:t>FIRMA DE QUIEN INFRACCIONA</w:t>
      </w:r>
      <w:r>
        <w:rPr>
          <w:rFonts w:ascii="Century Gothic" w:eastAsia="Century Gothic" w:hAnsi="Century Gothic" w:cs="Century Gothic"/>
          <w:sz w:val="24"/>
          <w:szCs w:val="24"/>
        </w:rPr>
        <w:t xml:space="preserve">", </w:t>
      </w:r>
      <w:r>
        <w:rPr>
          <w:rFonts w:ascii="Century Gothic" w:eastAsia="Century Gothic" w:hAnsi="Century Gothic" w:cs="Century Gothic"/>
          <w:b/>
          <w:sz w:val="24"/>
          <w:szCs w:val="24"/>
        </w:rPr>
        <w:t>sin que exista la firma del funcionario emisor</w:t>
      </w:r>
      <w:r>
        <w:rPr>
          <w:rFonts w:ascii="Century Gothic" w:eastAsia="Century Gothic" w:hAnsi="Century Gothic" w:cs="Century Gothic"/>
          <w:sz w:val="24"/>
          <w:szCs w:val="24"/>
        </w:rPr>
        <w:t xml:space="preserve">, por lo que incumple con lo exigido por el artículo 17 fracción IV, de la Ley de Procedimiento. </w:t>
      </w:r>
    </w:p>
    <w:p w14:paraId="3C422301" w14:textId="270F7839" w:rsidR="007D54F6" w:rsidRDefault="00B436C9">
      <w:pPr>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13. </w:t>
      </w:r>
      <w:r w:rsidR="00D366D9">
        <w:rPr>
          <w:rFonts w:ascii="Century Gothic" w:eastAsia="Century Gothic" w:hAnsi="Century Gothic" w:cs="Century Gothic"/>
          <w:sz w:val="24"/>
          <w:szCs w:val="24"/>
        </w:rPr>
        <w:t xml:space="preserve">De lo antes señalado se obtiene que el agravio hecho por el recurrente, resulta infundado ya que la Magistrada de Primera Instancia si resolvió con la debida congruencia y exhaustividad al analizar si el acto que motivo la controversia (acta de infracción) se encontraba debidamente fundado y motivado. </w:t>
      </w:r>
    </w:p>
    <w:p w14:paraId="393249EF" w14:textId="77777777" w:rsidR="00B436C9" w:rsidRDefault="00D366D9">
      <w:pPr>
        <w:widowControl w:val="0"/>
        <w:spacing w:before="240" w:after="0"/>
        <w:ind w:firstLine="567"/>
        <w:jc w:val="both"/>
        <w:rPr>
          <w:rFonts w:ascii="Century Gothic" w:eastAsia="Century Gothic" w:hAnsi="Century Gothic" w:cs="Century Gothic"/>
          <w:sz w:val="24"/>
          <w:szCs w:val="24"/>
        </w:rPr>
      </w:pPr>
      <w:r>
        <w:rPr>
          <w:rFonts w:ascii="Century Gothic" w:eastAsia="Century Gothic" w:hAnsi="Century Gothic" w:cs="Century Gothic"/>
          <w:b/>
          <w:sz w:val="24"/>
          <w:szCs w:val="24"/>
        </w:rPr>
        <w:t>SEGUNDO AGRAVIO</w:t>
      </w:r>
      <w:r>
        <w:rPr>
          <w:rFonts w:ascii="Century Gothic" w:eastAsia="Century Gothic" w:hAnsi="Century Gothic" w:cs="Century Gothic"/>
          <w:sz w:val="24"/>
          <w:szCs w:val="24"/>
        </w:rPr>
        <w:t xml:space="preserve">. </w:t>
      </w:r>
    </w:p>
    <w:p w14:paraId="5045B10F" w14:textId="3A93BC5B" w:rsidR="007D54F6" w:rsidRDefault="00B436C9">
      <w:pPr>
        <w:widowControl w:val="0"/>
        <w:spacing w:before="240" w:after="0"/>
        <w:ind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14. </w:t>
      </w:r>
      <w:r w:rsidR="00D366D9">
        <w:rPr>
          <w:rFonts w:ascii="Century Gothic" w:eastAsia="Century Gothic" w:hAnsi="Century Gothic" w:cs="Century Gothic"/>
          <w:sz w:val="24"/>
          <w:szCs w:val="24"/>
        </w:rPr>
        <w:t>Ahora bien, respecto a lo manifestado por el recurrente, tocante a</w:t>
      </w:r>
      <w:r w:rsidR="00D366D9">
        <w:rPr>
          <w:rFonts w:ascii="Century Gothic" w:eastAsia="Century Gothic" w:hAnsi="Century Gothic" w:cs="Century Gothic"/>
          <w:b/>
          <w:sz w:val="24"/>
          <w:szCs w:val="24"/>
        </w:rPr>
        <w:t xml:space="preserve"> </w:t>
      </w:r>
      <w:r w:rsidR="00D366D9">
        <w:rPr>
          <w:rFonts w:ascii="Century Gothic" w:eastAsia="Century Gothic" w:hAnsi="Century Gothic" w:cs="Century Gothic"/>
          <w:sz w:val="24"/>
          <w:szCs w:val="24"/>
        </w:rPr>
        <w:t xml:space="preserve">que la motivación en el acta de infracción fue correcta y los preceptos legales citados, son aplicables al caso particular, por lo que de ninguna manera se dejó al administrado en estado de indefensión, ya que se señalaron los  motivos, circunstancias especiales o razones particulares para determinar la conducta ilegal del infractor, así como los artículos invocados por el recurrente elementos suficientes para cumplir con los requisitos de fundamentación y motivación previsto por el artículo 17, fracción V de la Ley de Procedimiento; en ese tenor, es evidente que la sentencia que recurre fue dictada en contravención al </w:t>
      </w:r>
      <w:r w:rsidR="00D366D9">
        <w:rPr>
          <w:rFonts w:ascii="Century Gothic" w:eastAsia="Century Gothic" w:hAnsi="Century Gothic" w:cs="Century Gothic"/>
          <w:sz w:val="24"/>
          <w:szCs w:val="24"/>
        </w:rPr>
        <w:lastRenderedPageBreak/>
        <w:t>artículo 207, fracción II de la Ley de la materia.</w:t>
      </w:r>
    </w:p>
    <w:p w14:paraId="1CA6622B" w14:textId="3660B7B7" w:rsidR="007D54F6" w:rsidRDefault="00B436C9">
      <w:pPr>
        <w:spacing w:before="240"/>
        <w:ind w:firstLine="708"/>
        <w:jc w:val="both"/>
        <w:rPr>
          <w:rFonts w:ascii="Century Gothic" w:eastAsia="Century Gothic" w:hAnsi="Century Gothic" w:cs="Century Gothic"/>
          <w:color w:val="FF0000"/>
          <w:sz w:val="24"/>
          <w:szCs w:val="24"/>
        </w:rPr>
      </w:pPr>
      <w:r>
        <w:rPr>
          <w:rFonts w:ascii="Century Gothic" w:eastAsia="Century Gothic" w:hAnsi="Century Gothic" w:cs="Century Gothic"/>
          <w:sz w:val="24"/>
          <w:szCs w:val="24"/>
        </w:rPr>
        <w:t xml:space="preserve">15. </w:t>
      </w:r>
      <w:r w:rsidR="00D366D9">
        <w:rPr>
          <w:rFonts w:ascii="Century Gothic" w:eastAsia="Century Gothic" w:hAnsi="Century Gothic" w:cs="Century Gothic"/>
          <w:sz w:val="24"/>
          <w:szCs w:val="24"/>
        </w:rPr>
        <w:t xml:space="preserve">Es </w:t>
      </w:r>
      <w:r w:rsidR="00D366D9">
        <w:rPr>
          <w:rFonts w:ascii="Century Gothic" w:eastAsia="Century Gothic" w:hAnsi="Century Gothic" w:cs="Century Gothic"/>
          <w:b/>
          <w:sz w:val="24"/>
          <w:szCs w:val="24"/>
        </w:rPr>
        <w:t>INFUNDADO</w:t>
      </w:r>
      <w:r w:rsidR="00D366D9">
        <w:rPr>
          <w:rFonts w:ascii="Century Gothic" w:eastAsia="Century Gothic" w:hAnsi="Century Gothic" w:cs="Century Gothic"/>
          <w:sz w:val="24"/>
          <w:szCs w:val="24"/>
        </w:rPr>
        <w:t xml:space="preserve"> el agravio anterior, en razón del análisis de las constancias de autos que fueron remitidas para la substanciación del presente asunto, con valor probatorio pleno conforme lo dispuesto por el artículo 203, fracción I, de la Ley de Procedimiento, por tratarse de actuaciones judiciales; que de las fojas veinticuatro a la foja treinta y dos, se advierte la sentencia impugnada en cuya parte que interesa del considerando Séptimo, la Magistrada de la Sexta Sala Unitaria de Primera Instancia determinó lo siguiente: </w:t>
      </w:r>
    </w:p>
    <w:p w14:paraId="4014BEFD" w14:textId="3774C837" w:rsidR="007D54F6" w:rsidRDefault="00D366D9" w:rsidP="00B436C9">
      <w:pPr>
        <w:ind w:left="567" w:right="616" w:firstLine="283"/>
        <w:jc w:val="both"/>
        <w:rPr>
          <w:rFonts w:ascii="Century Gothic" w:eastAsia="Century Gothic" w:hAnsi="Century Gothic" w:cs="Century Gothic"/>
          <w:b/>
          <w:i/>
        </w:rPr>
      </w:pPr>
      <w:r>
        <w:rPr>
          <w:rFonts w:ascii="Century Gothic" w:eastAsia="Century Gothic" w:hAnsi="Century Gothic" w:cs="Century Gothic"/>
          <w:i/>
        </w:rPr>
        <w:t>“</w:t>
      </w:r>
      <w:r>
        <w:rPr>
          <w:rFonts w:ascii="Century Gothic" w:eastAsia="Century Gothic" w:hAnsi="Century Gothic" w:cs="Century Gothic"/>
          <w:b/>
          <w:i/>
        </w:rPr>
        <w:t>Séptimo (…)</w:t>
      </w:r>
    </w:p>
    <w:p w14:paraId="76EFCFE4" w14:textId="77777777" w:rsidR="007D54F6" w:rsidRDefault="00D366D9">
      <w:pPr>
        <w:ind w:left="567" w:right="616" w:firstLine="283"/>
        <w:jc w:val="both"/>
        <w:rPr>
          <w:rFonts w:ascii="Century Gothic" w:eastAsia="Century Gothic" w:hAnsi="Century Gothic" w:cs="Century Gothic"/>
          <w:i/>
        </w:rPr>
      </w:pPr>
      <w:r>
        <w:rPr>
          <w:rFonts w:ascii="Century Gothic" w:eastAsia="Century Gothic" w:hAnsi="Century Gothic" w:cs="Century Gothic"/>
          <w:i/>
        </w:rPr>
        <w:t>Lo cierto es, que del estudio que se realiza al acta de mérito, se advierte que esta fue emitida por FREDI RODRIGO JUÁREZ LEÓN, en su carácter de Policía Vial con número estadístico PV-119, adscrito a la Dirección de Movilidad del Municipio de Oaxaca de Juárez; pero, en la parte inferior de la boleta de mérito se advierte la leyenda, "FIRMA DE QUIEN INFRACCIONA", sin que exista la firma del funcionario emisor, incumpliendo de esta manera con lo exigido por el artículo 17 fracción IV, de la Ley de Procedimiento y Justicia Administrativa para el Estado de Oaxaca, el cual señala que uno de los elementos y requisitos de validez de los actos administrativos, es que estos deben de constar por escrito y con la firma autógrafa de la autoridad que lo expida.</w:t>
      </w:r>
    </w:p>
    <w:p w14:paraId="690751D1" w14:textId="77777777" w:rsidR="007D54F6" w:rsidRDefault="00D366D9">
      <w:pPr>
        <w:ind w:left="567" w:right="616" w:firstLine="283"/>
        <w:jc w:val="both"/>
        <w:rPr>
          <w:rFonts w:ascii="Century Gothic" w:eastAsia="Century Gothic" w:hAnsi="Century Gothic" w:cs="Century Gothic"/>
          <w:i/>
        </w:rPr>
      </w:pPr>
      <w:r>
        <w:rPr>
          <w:rFonts w:ascii="Century Gothic" w:eastAsia="Century Gothic" w:hAnsi="Century Gothic" w:cs="Century Gothic"/>
          <w:i/>
        </w:rPr>
        <w:t>Por ello, para que un acto o resolución administrativa cumpla con las exigencias establecidas en el artículo 16 constitucional debe contener firma autógrafa del funcionario emisor, por ser este signo gráfico el que otorga certeza y eficacia a los actos de autoridad ya que constituye la única forma en que puede asegurarse al particular que la autoridad emisora acepta su contenido.</w:t>
      </w:r>
    </w:p>
    <w:p w14:paraId="58DA9FA8" w14:textId="45A4F669" w:rsidR="007D54F6" w:rsidRDefault="00D366D9">
      <w:pPr>
        <w:ind w:left="567" w:right="616" w:firstLine="283"/>
        <w:jc w:val="both"/>
        <w:rPr>
          <w:rFonts w:ascii="Century Gothic" w:eastAsia="Century Gothic" w:hAnsi="Century Gothic" w:cs="Century Gothic"/>
          <w:i/>
        </w:rPr>
      </w:pPr>
      <w:r>
        <w:rPr>
          <w:rFonts w:ascii="Century Gothic" w:eastAsia="Century Gothic" w:hAnsi="Century Gothic" w:cs="Century Gothic"/>
          <w:i/>
        </w:rPr>
        <w:t xml:space="preserve">De lo analizado por esta Juzgadora, se concluye que el acta de infracción de tránsito con número </w:t>
      </w:r>
      <w:r w:rsidR="0016395C">
        <w:rPr>
          <w:rFonts w:ascii="Century Gothic" w:eastAsia="Century Gothic" w:hAnsi="Century Gothic" w:cs="Century Gothic"/>
          <w:i/>
        </w:rPr>
        <w:t xml:space="preserve">********* </w:t>
      </w:r>
      <w:r>
        <w:rPr>
          <w:rFonts w:ascii="Century Gothic" w:eastAsia="Century Gothic" w:hAnsi="Century Gothic" w:cs="Century Gothic"/>
          <w:i/>
        </w:rPr>
        <w:t>de fecha cinco de septiembre de dos mil veintidós, incumple con lo estatuido por el artículo 17 fracción IV de la Ley de Procedimiento y Justicia Administrativa para el Estado de Oaxaca, pues el acto administrativo impugnado carece de la firma del funcionario emisor.</w:t>
      </w:r>
    </w:p>
    <w:p w14:paraId="562BDCFA" w14:textId="19CB4EF2" w:rsidR="007D54F6" w:rsidRDefault="00D366D9">
      <w:pPr>
        <w:ind w:left="567" w:right="616" w:firstLine="283"/>
        <w:jc w:val="both"/>
        <w:rPr>
          <w:rFonts w:ascii="Century Gothic" w:eastAsia="Century Gothic" w:hAnsi="Century Gothic" w:cs="Century Gothic"/>
          <w:i/>
        </w:rPr>
      </w:pPr>
      <w:r>
        <w:rPr>
          <w:rFonts w:ascii="Century Gothic" w:eastAsia="Century Gothic" w:hAnsi="Century Gothic" w:cs="Century Gothic"/>
          <w:i/>
        </w:rPr>
        <w:t xml:space="preserve">Por estas razones, con fundamento en el artículo 208, fracción VI, de la Ley de Procedimiento y Justicia Administrativa para el Estado, se declara la NULIDAD LISA Y LLANA del acta de infracción de tránsito con número de folio </w:t>
      </w:r>
      <w:r w:rsidR="0016395C">
        <w:rPr>
          <w:rFonts w:ascii="Century Gothic" w:eastAsia="Century Gothic" w:hAnsi="Century Gothic" w:cs="Century Gothic"/>
          <w:i/>
        </w:rPr>
        <w:t xml:space="preserve">********** </w:t>
      </w:r>
      <w:r>
        <w:rPr>
          <w:rFonts w:ascii="Century Gothic" w:eastAsia="Century Gothic" w:hAnsi="Century Gothic" w:cs="Century Gothic"/>
          <w:i/>
        </w:rPr>
        <w:t xml:space="preserve">de cinco de septiembre de dos mil veintidós, así como nulos los actos posteriores que se hayan realizado como consecuencia de la misma; por tanto, y para estar en condiciones de restituir al administrado en el pleno goce de sus derechos afectado, se ordena a la parte demandada, Policía vial adscrito a la Dirección de Movilidad de la Secretaria de Seguridad Ciudadana, Movilidad y Protección Civil del Municipio de Oaxaca </w:t>
      </w:r>
      <w:r>
        <w:rPr>
          <w:rFonts w:ascii="Century Gothic" w:eastAsia="Century Gothic" w:hAnsi="Century Gothic" w:cs="Century Gothic"/>
          <w:i/>
        </w:rPr>
        <w:lastRenderedPageBreak/>
        <w:t>de Juárez, Oaxaca, proceda a la cancelación de la citada acta de infracción del sistema correspondiente”</w:t>
      </w:r>
    </w:p>
    <w:p w14:paraId="6BC940B4" w14:textId="77777777" w:rsidR="007D54F6" w:rsidRDefault="007D54F6">
      <w:pPr>
        <w:spacing w:after="0"/>
        <w:ind w:left="567" w:right="616"/>
        <w:jc w:val="both"/>
        <w:rPr>
          <w:rFonts w:ascii="Century Gothic" w:eastAsia="Century Gothic" w:hAnsi="Century Gothic" w:cs="Century Gothic"/>
          <w:sz w:val="24"/>
          <w:szCs w:val="24"/>
        </w:rPr>
      </w:pPr>
    </w:p>
    <w:p w14:paraId="22C42A16" w14:textId="457B8697" w:rsidR="007D54F6" w:rsidRDefault="00B436C9">
      <w:pPr>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16. </w:t>
      </w:r>
      <w:r w:rsidR="00D366D9">
        <w:rPr>
          <w:rFonts w:ascii="Century Gothic" w:eastAsia="Century Gothic" w:hAnsi="Century Gothic" w:cs="Century Gothic"/>
          <w:sz w:val="24"/>
          <w:szCs w:val="24"/>
        </w:rPr>
        <w:t xml:space="preserve">De lo expuesto en el considerando séptimo de la sentencia que nos ocupa, se advierte que </w:t>
      </w:r>
      <w:r w:rsidR="00D366D9">
        <w:rPr>
          <w:rFonts w:ascii="Century Gothic" w:eastAsia="Century Gothic" w:hAnsi="Century Gothic" w:cs="Century Gothic"/>
          <w:color w:val="000000"/>
          <w:sz w:val="24"/>
          <w:szCs w:val="24"/>
        </w:rPr>
        <w:t>contrario a lo que alega la autoridad recurrente, la Sala de Primera Instancia se abocó a analizar todas las constancias que integran el expediente, e hizo un análisis exhaustivo del acto administrativo impugnado</w:t>
      </w:r>
      <w:r w:rsidR="00D366D9">
        <w:rPr>
          <w:rFonts w:ascii="Century Gothic" w:eastAsia="Century Gothic" w:hAnsi="Century Gothic" w:cs="Century Gothic"/>
          <w:sz w:val="24"/>
          <w:szCs w:val="24"/>
        </w:rPr>
        <w:t xml:space="preserve">, para verter las consideraciones sustentadas en razonamientos debidamente fundados y motivados, que la llevaron a determinar la nulidad lisa y llana del acto de autoridad. </w:t>
      </w:r>
    </w:p>
    <w:p w14:paraId="5A8F48A9" w14:textId="093B2E4A" w:rsidR="007D54F6" w:rsidRDefault="00B436C9">
      <w:pPr>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17. </w:t>
      </w:r>
      <w:r w:rsidR="00D366D9">
        <w:rPr>
          <w:rFonts w:ascii="Century Gothic" w:eastAsia="Century Gothic" w:hAnsi="Century Gothic" w:cs="Century Gothic"/>
          <w:sz w:val="24"/>
          <w:szCs w:val="24"/>
        </w:rPr>
        <w:t xml:space="preserve">Se dice lo anterior, porque en la foja siete de los autos, obra glosada el acta de infracción de </w:t>
      </w:r>
      <w:proofErr w:type="gramStart"/>
      <w:r w:rsidR="00D366D9">
        <w:rPr>
          <w:rFonts w:ascii="Century Gothic" w:eastAsia="Century Gothic" w:hAnsi="Century Gothic" w:cs="Century Gothic"/>
          <w:sz w:val="24"/>
          <w:szCs w:val="24"/>
        </w:rPr>
        <w:t xml:space="preserve">folio </w:t>
      </w:r>
      <w:r w:rsidR="0016395C">
        <w:rPr>
          <w:rFonts w:ascii="Century Gothic" w:eastAsia="Century Gothic" w:hAnsi="Century Gothic" w:cs="Century Gothic"/>
          <w:sz w:val="24"/>
          <w:szCs w:val="24"/>
        </w:rPr>
        <w:t xml:space="preserve"> *</w:t>
      </w:r>
      <w:proofErr w:type="gramEnd"/>
      <w:r w:rsidR="0016395C">
        <w:rPr>
          <w:rFonts w:ascii="Century Gothic" w:eastAsia="Century Gothic" w:hAnsi="Century Gothic" w:cs="Century Gothic"/>
          <w:sz w:val="24"/>
          <w:szCs w:val="24"/>
        </w:rPr>
        <w:t xml:space="preserve">********* </w:t>
      </w:r>
      <w:r w:rsidR="00D366D9">
        <w:rPr>
          <w:rFonts w:ascii="Century Gothic" w:eastAsia="Century Gothic" w:hAnsi="Century Gothic" w:cs="Century Gothic"/>
          <w:sz w:val="24"/>
          <w:szCs w:val="24"/>
        </w:rPr>
        <w:t>de fecha cinco de septiembre del año dos mil veintidós, emitida por el Policía Vial recurrente, de cuyo texto se advierte que en el apartado relativo a todos los supuestos descritos como “Faltas Administrativas contempladas en el Reglamento de Vialidad para el Municipio de Oaxaca de Juárez”, remarcó la hipótesis que señala:</w:t>
      </w:r>
    </w:p>
    <w:p w14:paraId="45E35DDA" w14:textId="77777777" w:rsidR="007D54F6" w:rsidRDefault="00D366D9">
      <w:pPr>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“ESTACIONARSE EN LUGAR PROHIBIDO. ARTÍCULOS 85 Y 86 FRACCIÓN XXXIII”</w:t>
      </w:r>
    </w:p>
    <w:p w14:paraId="3E944199" w14:textId="318AAF09" w:rsidR="007D54F6" w:rsidRDefault="00B436C9">
      <w:pPr>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18. </w:t>
      </w:r>
      <w:r w:rsidR="00D366D9">
        <w:rPr>
          <w:rFonts w:ascii="Century Gothic" w:eastAsia="Century Gothic" w:hAnsi="Century Gothic" w:cs="Century Gothic"/>
          <w:sz w:val="24"/>
          <w:szCs w:val="24"/>
        </w:rPr>
        <w:t>En el espacio reservado para la “MOTIVACIÓN” del acta de infracción plasmó:</w:t>
      </w:r>
    </w:p>
    <w:p w14:paraId="58A55669" w14:textId="77777777" w:rsidR="007D54F6" w:rsidRDefault="00D366D9">
      <w:pPr>
        <w:spacing w:after="0"/>
        <w:ind w:left="851" w:right="616"/>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“POR ESTACIONARSE EN LUGAR PROHIBIDO</w:t>
      </w:r>
    </w:p>
    <w:p w14:paraId="59F0CD17" w14:textId="77777777" w:rsidR="007D54F6" w:rsidRDefault="00D366D9">
      <w:pPr>
        <w:spacing w:after="0"/>
        <w:ind w:left="851" w:right="616"/>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EXISTEN SEÑALAMIENTOS DE NO ESTACIONARSE”</w:t>
      </w:r>
    </w:p>
    <w:p w14:paraId="65F025AF" w14:textId="77777777" w:rsidR="00B436C9" w:rsidRDefault="00B436C9">
      <w:pPr>
        <w:ind w:firstLine="708"/>
        <w:jc w:val="both"/>
        <w:rPr>
          <w:rFonts w:ascii="Century Gothic" w:eastAsia="Century Gothic" w:hAnsi="Century Gothic" w:cs="Century Gothic"/>
          <w:sz w:val="24"/>
          <w:szCs w:val="24"/>
        </w:rPr>
      </w:pPr>
    </w:p>
    <w:p w14:paraId="05F8C81F" w14:textId="35597E22" w:rsidR="007D54F6" w:rsidRDefault="00B436C9">
      <w:pPr>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19. </w:t>
      </w:r>
      <w:r w:rsidR="00D366D9">
        <w:rPr>
          <w:rFonts w:ascii="Century Gothic" w:eastAsia="Century Gothic" w:hAnsi="Century Gothic" w:cs="Century Gothic"/>
          <w:sz w:val="24"/>
          <w:szCs w:val="24"/>
        </w:rPr>
        <w:t xml:space="preserve">En el recuadro relativo a la “Fundamentación”, se advierte el texto preestablecido en el formato del acta de infracción que versa lo siguiente: </w:t>
      </w:r>
    </w:p>
    <w:p w14:paraId="3421FBCB" w14:textId="77777777" w:rsidR="007D54F6" w:rsidRDefault="00D366D9">
      <w:pPr>
        <w:spacing w:before="240" w:after="0"/>
        <w:ind w:firstLine="708"/>
        <w:jc w:val="both"/>
        <w:rPr>
          <w:rFonts w:ascii="Century Gothic" w:eastAsia="Century Gothic" w:hAnsi="Century Gothic" w:cs="Century Gothic"/>
          <w:b/>
          <w:sz w:val="24"/>
          <w:szCs w:val="24"/>
        </w:rPr>
      </w:pPr>
      <w:bookmarkStart w:id="1" w:name="_heading=h.30j0zll" w:colFirst="0" w:colLast="0"/>
      <w:bookmarkEnd w:id="1"/>
      <w:r>
        <w:rPr>
          <w:rFonts w:ascii="Century Gothic" w:eastAsia="Century Gothic" w:hAnsi="Century Gothic" w:cs="Century Gothic"/>
          <w:sz w:val="24"/>
          <w:szCs w:val="24"/>
        </w:rPr>
        <w:t>“</w:t>
      </w:r>
      <w:r>
        <w:rPr>
          <w:rFonts w:ascii="Century Gothic" w:eastAsia="Century Gothic" w:hAnsi="Century Gothic" w:cs="Century Gothic"/>
          <w:b/>
          <w:sz w:val="24"/>
          <w:szCs w:val="24"/>
        </w:rPr>
        <w:t xml:space="preserve">ARTÍCULO 86 FRACCIÓN XXXIII; </w:t>
      </w:r>
    </w:p>
    <w:p w14:paraId="16C56CDF" w14:textId="77777777" w:rsidR="007D54F6" w:rsidRDefault="00D366D9">
      <w:pPr>
        <w:spacing w:before="240" w:after="0"/>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ARTÍCULO 21, 16 DE LA CONSTITUCIÓN POLÍTICA DE LOS ESTADOS MEXICANOS” </w:t>
      </w:r>
    </w:p>
    <w:p w14:paraId="2EEE5D7C" w14:textId="1E4DC50A" w:rsidR="007D54F6" w:rsidRDefault="00B436C9">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20. </w:t>
      </w:r>
      <w:r w:rsidR="00D366D9">
        <w:rPr>
          <w:rFonts w:ascii="Century Gothic" w:eastAsia="Century Gothic" w:hAnsi="Century Gothic" w:cs="Century Gothic"/>
          <w:sz w:val="24"/>
          <w:szCs w:val="24"/>
        </w:rPr>
        <w:t>De lo anterior se advierte que la falta administrativa señalada en el acta motivo del juicio de nulidad, no se encuentra debidamente sustentada, pues en el apartado de motivación del acta de infracción, la autoridad vial se limitó a indicar “</w:t>
      </w:r>
      <w:r w:rsidR="00D366D9">
        <w:rPr>
          <w:rFonts w:ascii="Century Gothic" w:eastAsia="Century Gothic" w:hAnsi="Century Gothic" w:cs="Century Gothic"/>
          <w:i/>
          <w:sz w:val="24"/>
          <w:szCs w:val="24"/>
        </w:rPr>
        <w:t>POR ESTACIONARSE EN LUGAR PROHIBIDO; EXISTEN SEÑALAMIENTOS DE NO ESTACIONARSE</w:t>
      </w:r>
      <w:r w:rsidR="00D366D9">
        <w:rPr>
          <w:rFonts w:ascii="Century Gothic" w:eastAsia="Century Gothic" w:hAnsi="Century Gothic" w:cs="Century Gothic"/>
          <w:sz w:val="24"/>
          <w:szCs w:val="24"/>
        </w:rPr>
        <w:t>”, sin haber precisado las circunstancias de tiempo, modo y lugar, así como las razones particulares, causas inmediatas, motivos o circunstancias especiales que se ajustaron a los artículos “</w:t>
      </w:r>
      <w:r w:rsidR="00D366D9">
        <w:rPr>
          <w:rFonts w:ascii="Century Gothic" w:eastAsia="Century Gothic" w:hAnsi="Century Gothic" w:cs="Century Gothic"/>
          <w:i/>
          <w:sz w:val="24"/>
          <w:szCs w:val="24"/>
        </w:rPr>
        <w:t>ARTÍCULO 86 FRACCIÓN XXXIII; ARTÍCULO 21, 16 DE LA CONSTITUCIÓN POLÍTICA DE LOS ESTADOS MEXICANOS</w:t>
      </w:r>
      <w:r w:rsidR="00D366D9">
        <w:rPr>
          <w:rFonts w:ascii="Century Gothic" w:eastAsia="Century Gothic" w:hAnsi="Century Gothic" w:cs="Century Gothic"/>
          <w:sz w:val="24"/>
          <w:szCs w:val="24"/>
        </w:rPr>
        <w:t xml:space="preserve">”, escritos en el apartado de la fundamentación en el que </w:t>
      </w:r>
      <w:r w:rsidR="00D366D9">
        <w:rPr>
          <w:rFonts w:ascii="Century Gothic" w:eastAsia="Century Gothic" w:hAnsi="Century Gothic" w:cs="Century Gothic"/>
          <w:sz w:val="24"/>
          <w:szCs w:val="24"/>
        </w:rPr>
        <w:lastRenderedPageBreak/>
        <w:t xml:space="preserve">se basa la falta administrativa motivo del acta de infracción, ya que, en el apartado de motivación debió explicar la forma como se percató de que la unidad de motor del actor se encontraba estacionado en un lugar prohibido, por lo que se concluye que dicha acta contiene deficiente fundamentación y motivación </w:t>
      </w:r>
      <w:r w:rsidR="00D366D9">
        <w:rPr>
          <w:rFonts w:ascii="Century Gothic" w:eastAsia="Century Gothic" w:hAnsi="Century Gothic" w:cs="Century Gothic"/>
          <w:color w:val="000000"/>
          <w:sz w:val="24"/>
          <w:szCs w:val="24"/>
        </w:rPr>
        <w:t>al no constar de manera exhaustiva ni completa, las razones que permitan conocer el criterio utilizado por la autoridad demandada para considerar infringido el artículo 86 fracción XXXIII”</w:t>
      </w:r>
    </w:p>
    <w:p w14:paraId="098539EA" w14:textId="16F9CBFC" w:rsidR="007D54F6" w:rsidRDefault="00B436C9">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21. </w:t>
      </w:r>
      <w:r w:rsidR="00D366D9">
        <w:rPr>
          <w:rFonts w:ascii="Century Gothic" w:eastAsia="Century Gothic" w:hAnsi="Century Gothic" w:cs="Century Gothic"/>
          <w:sz w:val="24"/>
          <w:szCs w:val="24"/>
        </w:rPr>
        <w:t xml:space="preserve">Aunado a lo anterior, se tiene que el acta de infracción con número de folio </w:t>
      </w:r>
      <w:r w:rsidR="0016395C">
        <w:rPr>
          <w:rFonts w:ascii="Century Gothic" w:eastAsia="Century Gothic" w:hAnsi="Century Gothic" w:cs="Century Gothic"/>
          <w:sz w:val="24"/>
          <w:szCs w:val="24"/>
        </w:rPr>
        <w:t xml:space="preserve"> ********* </w:t>
      </w:r>
      <w:r w:rsidR="00D366D9">
        <w:rPr>
          <w:rFonts w:ascii="Century Gothic" w:eastAsia="Century Gothic" w:hAnsi="Century Gothic" w:cs="Century Gothic"/>
          <w:sz w:val="24"/>
          <w:szCs w:val="24"/>
        </w:rPr>
        <w:t>de fecha cinco de septiembre del año dos mil veintidós, emitida por el Policía Vial FREDI RODRIGO JUÁREZ LEÓN, con número estadístico PV-119, adscrito a la Dirección de Movilidad del Municipio de Oaxaca de Juárez; en la parte inferior de la boleta de mérito se advierte la leyenda, "</w:t>
      </w:r>
      <w:r w:rsidR="00D366D9">
        <w:rPr>
          <w:rFonts w:ascii="Century Gothic" w:eastAsia="Century Gothic" w:hAnsi="Century Gothic" w:cs="Century Gothic"/>
          <w:b/>
          <w:sz w:val="24"/>
          <w:szCs w:val="24"/>
        </w:rPr>
        <w:t>FIRMA DE QUIEN INFRACCIONA</w:t>
      </w:r>
      <w:r w:rsidR="00D366D9">
        <w:rPr>
          <w:rFonts w:ascii="Century Gothic" w:eastAsia="Century Gothic" w:hAnsi="Century Gothic" w:cs="Century Gothic"/>
          <w:sz w:val="24"/>
          <w:szCs w:val="24"/>
        </w:rPr>
        <w:t xml:space="preserve">", sin que exista la firma del funcionario emisor, por lo que incumple con lo exigido por el artículo 17 fracción IV, de la Ley de Procedimiento, el cual señala que uno de los elementos y requisitos de validez de los actos administrativos, es que estos deben de constar por escrito y </w:t>
      </w:r>
      <w:r w:rsidR="00D366D9">
        <w:rPr>
          <w:rFonts w:ascii="Century Gothic" w:eastAsia="Century Gothic" w:hAnsi="Century Gothic" w:cs="Century Gothic"/>
          <w:b/>
          <w:sz w:val="24"/>
          <w:szCs w:val="24"/>
        </w:rPr>
        <w:t>con la firma autógrafa de la autoridad que lo expida</w:t>
      </w:r>
      <w:r w:rsidR="00D366D9">
        <w:rPr>
          <w:rFonts w:ascii="Century Gothic" w:eastAsia="Century Gothic" w:hAnsi="Century Gothic" w:cs="Century Gothic"/>
          <w:sz w:val="24"/>
          <w:szCs w:val="24"/>
        </w:rPr>
        <w:t>, lo que en el presente caso no sucedió.</w:t>
      </w:r>
    </w:p>
    <w:p w14:paraId="05571CB7" w14:textId="77777777" w:rsidR="00B436C9" w:rsidRDefault="00B436C9" w:rsidP="00B436C9">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22. </w:t>
      </w:r>
      <w:r w:rsidR="00D366D9">
        <w:rPr>
          <w:rFonts w:ascii="Century Gothic" w:eastAsia="Century Gothic" w:hAnsi="Century Gothic" w:cs="Century Gothic"/>
          <w:sz w:val="24"/>
          <w:szCs w:val="24"/>
        </w:rPr>
        <w:t>Por ello, para que un acto o resolución administrativa cumpla con las exigencias establecidas en el artículo 16 constitucional debe contener firma autógrafa del funcionario emisor, por ser este signo gráfico el que otorga certeza y eficacia a los actos de autoridad ya que constituye la única forma en que puede asegurarse al particular que la autoridad emisora acepta su contenido.</w:t>
      </w:r>
      <w:bookmarkStart w:id="2" w:name="_heading=h.1fob9te" w:colFirst="0" w:colLast="0"/>
      <w:bookmarkEnd w:id="2"/>
    </w:p>
    <w:p w14:paraId="26962083" w14:textId="07F962FC" w:rsidR="007D54F6" w:rsidRDefault="00B436C9" w:rsidP="00B436C9">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23. </w:t>
      </w:r>
      <w:r w:rsidR="00D366D9">
        <w:rPr>
          <w:rFonts w:ascii="Century Gothic" w:eastAsia="Century Gothic" w:hAnsi="Century Gothic" w:cs="Century Gothic"/>
          <w:sz w:val="24"/>
          <w:szCs w:val="24"/>
        </w:rPr>
        <w:t xml:space="preserve">Ahora bien, tomando en consideración que </w:t>
      </w:r>
      <w:r w:rsidR="00D366D9">
        <w:rPr>
          <w:rFonts w:ascii="Century Gothic" w:eastAsia="Century Gothic" w:hAnsi="Century Gothic" w:cs="Century Gothic"/>
          <w:b/>
          <w:sz w:val="24"/>
          <w:szCs w:val="24"/>
        </w:rPr>
        <w:t>FREDI RODRÍGO JUÁREZ LEÓN, en su carácter de Policía Vial con número estadístico P.V.-119, adscrito a la Dirección de  Movilidad del Municipio de Oaxaca de Juárez, Oaxaca</w:t>
      </w:r>
      <w:r w:rsidR="00D366D9">
        <w:rPr>
          <w:rFonts w:ascii="Century Gothic" w:eastAsia="Century Gothic" w:hAnsi="Century Gothic" w:cs="Century Gothic"/>
          <w:sz w:val="24"/>
          <w:szCs w:val="24"/>
        </w:rPr>
        <w:t xml:space="preserve">, se encuentra investido con el carácter de autoridad, tiene la obligación de emitir actos debidamente fundados y motivados para legitimar su actuación; esto es, que debe precisar los numerales de la legislación aplicable al caso (fundamentación); y especificar las circunstancias de tiempo, modo y lugar, así como las razones particulares, causas inmediatas, motivos o circunstancias especiales, que justifiquen la aplicación de los artículos al acto de molestia (motivación), y estos actos deben contener firma autógrafa del funcionario emisor, para  salvaguardar el principio de legalidad contenido del artículo 16 de la Constitución Política de los Estados Unidos Mexicanos; de lo contrario, es decir, de emitir actos indebidamente fundados y motivados en contra de los administrados, los colocará en estado de indefensión por impedirles conocer los motivos y fundamentos ejercidos en contra de ellos. </w:t>
      </w:r>
    </w:p>
    <w:p w14:paraId="6869FB0F" w14:textId="4208BC08" w:rsidR="007D54F6" w:rsidRDefault="00B436C9">
      <w:pPr>
        <w:tabs>
          <w:tab w:val="left" w:pos="0"/>
          <w:tab w:val="left" w:pos="5670"/>
        </w:tabs>
        <w:spacing w:before="240"/>
        <w:ind w:right="51" w:firstLine="709"/>
        <w:jc w:val="both"/>
        <w:rPr>
          <w:rFonts w:ascii="Century Gothic" w:eastAsia="Century Gothic" w:hAnsi="Century Gothic" w:cs="Century Gothic"/>
        </w:rPr>
      </w:pPr>
      <w:r>
        <w:rPr>
          <w:rFonts w:ascii="Century Gothic" w:eastAsia="Century Gothic" w:hAnsi="Century Gothic" w:cs="Century Gothic"/>
          <w:sz w:val="24"/>
          <w:szCs w:val="24"/>
        </w:rPr>
        <w:t xml:space="preserve">24. </w:t>
      </w:r>
      <w:r w:rsidR="00D366D9">
        <w:rPr>
          <w:rFonts w:ascii="Century Gothic" w:eastAsia="Century Gothic" w:hAnsi="Century Gothic" w:cs="Century Gothic"/>
          <w:sz w:val="24"/>
          <w:szCs w:val="24"/>
        </w:rPr>
        <w:t xml:space="preserve">Conviene destacar que por fundamentación se entiende la cita de los preceptos legales que sirven de base a la autoridad para </w:t>
      </w:r>
      <w:r w:rsidR="00D366D9">
        <w:rPr>
          <w:rFonts w:ascii="Century Gothic" w:eastAsia="Century Gothic" w:hAnsi="Century Gothic" w:cs="Century Gothic"/>
          <w:sz w:val="24"/>
          <w:szCs w:val="24"/>
        </w:rPr>
        <w:lastRenderedPageBreak/>
        <w:t xml:space="preserve">emitir su acto en el sentido en que lo hace; pero además debe expresar las causas inmediatas, razones particulares o circunstancias especiales que lo llevan a tomar la determinación en el sentido en que lo hace, lo que constituye la correspondiente motivación de su actuación. </w:t>
      </w:r>
    </w:p>
    <w:p w14:paraId="44D15480" w14:textId="33D0CE83" w:rsidR="007D54F6" w:rsidRDefault="00B436C9" w:rsidP="00B436C9">
      <w:pPr>
        <w:tabs>
          <w:tab w:val="left" w:pos="0"/>
          <w:tab w:val="left" w:pos="5670"/>
        </w:tabs>
        <w:spacing w:before="240"/>
        <w:ind w:right="51"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25. </w:t>
      </w:r>
      <w:r w:rsidR="00D366D9">
        <w:rPr>
          <w:rFonts w:ascii="Century Gothic" w:eastAsia="Century Gothic" w:hAnsi="Century Gothic" w:cs="Century Gothic"/>
          <w:sz w:val="24"/>
          <w:szCs w:val="24"/>
        </w:rPr>
        <w:t xml:space="preserve">Ahora bien, la debida fundamentación y motivación exige, además, que las razones otorgadas se adecuen a los fundamentos legales, porque de esta manera se asegura que dicho acto está apegado a derecho y, por tanto, se satisfacen los principios de certeza y seguridad jurídica, cumpliendo la autoridad con su obligación constitucional de garantizar que el acto emitido cumpla con los requisitos previstos en la ley. </w:t>
      </w:r>
    </w:p>
    <w:p w14:paraId="2DA39B7A" w14:textId="0CE7F93D" w:rsidR="007D54F6" w:rsidRDefault="00B436C9">
      <w:pPr>
        <w:tabs>
          <w:tab w:val="left" w:pos="0"/>
          <w:tab w:val="left" w:pos="5670"/>
        </w:tabs>
        <w:spacing w:before="240"/>
        <w:ind w:right="51"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26. </w:t>
      </w:r>
      <w:r w:rsidR="00D366D9">
        <w:rPr>
          <w:rFonts w:ascii="Century Gothic" w:eastAsia="Century Gothic" w:hAnsi="Century Gothic" w:cs="Century Gothic"/>
          <w:sz w:val="24"/>
          <w:szCs w:val="24"/>
        </w:rPr>
        <w:t>En tal</w:t>
      </w:r>
      <w:r w:rsidR="00D366D9">
        <w:rPr>
          <w:rFonts w:ascii="Century Gothic" w:eastAsia="Century Gothic" w:hAnsi="Century Gothic" w:cs="Century Gothic"/>
          <w:b/>
          <w:sz w:val="24"/>
          <w:szCs w:val="24"/>
        </w:rPr>
        <w:t xml:space="preserve"> </w:t>
      </w:r>
      <w:r w:rsidR="00D366D9">
        <w:rPr>
          <w:rFonts w:ascii="Century Gothic" w:eastAsia="Century Gothic" w:hAnsi="Century Gothic" w:cs="Century Gothic"/>
          <w:sz w:val="24"/>
          <w:szCs w:val="24"/>
        </w:rPr>
        <w:t>consideración,</w:t>
      </w:r>
      <w:r w:rsidR="00D366D9">
        <w:rPr>
          <w:rFonts w:ascii="Century Gothic" w:eastAsia="Century Gothic" w:hAnsi="Century Gothic" w:cs="Century Gothic"/>
          <w:b/>
          <w:sz w:val="24"/>
          <w:szCs w:val="24"/>
        </w:rPr>
        <w:t xml:space="preserve"> </w:t>
      </w:r>
      <w:r w:rsidR="00D366D9">
        <w:rPr>
          <w:rFonts w:ascii="Century Gothic" w:eastAsia="Century Gothic" w:hAnsi="Century Gothic" w:cs="Century Gothic"/>
          <w:sz w:val="24"/>
          <w:szCs w:val="24"/>
        </w:rPr>
        <w:t>la emisión de un acto por una autoridad en el ejercicio de sus atribuciones, que incumpla con la debida fundamentación y motivación, es ilegal, porque transgrede los principios de legalidad y seguridad jurídica contenidos en el artículo 16 de la Constitución Federal, al colocar al afectado en estado de indefensión, ya que si los fundamentos legales y las razones otorgadas para la emisión del acto administrativo no están en concordancia, la defensa que se pretenda realizar en su contra será deficiente, además que el acto estará apartado de la obligación que tienen las autoridades de actuar en el estricto margen de la legalidad, atendiendo las disposiciones jurídicas al caso en concreto. Al caso resulta aplicable por analogía la Jurisprudencia en materia Administrativa, tesis:</w:t>
      </w:r>
      <w:r w:rsidR="00D366D9">
        <w:rPr>
          <w:rFonts w:ascii="Century Gothic" w:eastAsia="Century Gothic" w:hAnsi="Century Gothic" w:cs="Century Gothic"/>
          <w:i/>
          <w:sz w:val="24"/>
          <w:szCs w:val="24"/>
        </w:rPr>
        <w:t xml:space="preserve"> 2a./J. 57/2001</w:t>
      </w:r>
      <w:r w:rsidR="00D366D9">
        <w:rPr>
          <w:rFonts w:ascii="Century Gothic" w:eastAsia="Century Gothic" w:hAnsi="Century Gothic" w:cs="Century Gothic"/>
          <w:sz w:val="24"/>
          <w:szCs w:val="24"/>
        </w:rPr>
        <w:t xml:space="preserve">, con número de registro digital 188432, de la Novena Época, emitida por los Suprema Corte de Justicia de la Nación, publicado en el Semanario Judicial de la Federación y su Gaceta, Tomo XIV, </w:t>
      </w:r>
      <w:proofErr w:type="gramStart"/>
      <w:r w:rsidR="00D366D9">
        <w:rPr>
          <w:rFonts w:ascii="Century Gothic" w:eastAsia="Century Gothic" w:hAnsi="Century Gothic" w:cs="Century Gothic"/>
          <w:sz w:val="24"/>
          <w:szCs w:val="24"/>
        </w:rPr>
        <w:t>Noviembre</w:t>
      </w:r>
      <w:proofErr w:type="gramEnd"/>
      <w:r w:rsidR="00D366D9">
        <w:rPr>
          <w:rFonts w:ascii="Century Gothic" w:eastAsia="Century Gothic" w:hAnsi="Century Gothic" w:cs="Century Gothic"/>
          <w:sz w:val="24"/>
          <w:szCs w:val="24"/>
        </w:rPr>
        <w:t xml:space="preserve"> de 2001, página 31, de rubro y texto siguientes: </w:t>
      </w:r>
    </w:p>
    <w:p w14:paraId="78905D26" w14:textId="77777777" w:rsidR="007D54F6" w:rsidRDefault="00D366D9">
      <w:pPr>
        <w:spacing w:after="240"/>
        <w:ind w:right="69" w:firstLine="708"/>
        <w:jc w:val="both"/>
        <w:rPr>
          <w:rFonts w:ascii="Century Gothic" w:eastAsia="Century Gothic" w:hAnsi="Century Gothic" w:cs="Century Gothic"/>
          <w:b/>
          <w:i/>
        </w:rPr>
      </w:pPr>
      <w:r>
        <w:rPr>
          <w:rFonts w:ascii="Century Gothic" w:eastAsia="Century Gothic" w:hAnsi="Century Gothic" w:cs="Century Gothic"/>
          <w:b/>
          <w:i/>
        </w:rPr>
        <w:t>“COMPETENCIA DE LAS AUTORIDADES ADMINISTRATIVAS. EN EL MANDAMIENTO ESCRITO QUE CONTIENE EL ACTO DE MOLESTIA, DEBE SEÑALARSE CON PRECISIÓN EL PRECEPTO LEGAL QUE LES OTORGUE LA ATRIBUCIÓN EJERCIDA Y, EN SU CASO, LA RESPECTIVA FRACCIÓN, INCISO Y SUBINCISO.</w:t>
      </w:r>
    </w:p>
    <w:p w14:paraId="55528618" w14:textId="77777777" w:rsidR="007D54F6" w:rsidRDefault="00D366D9">
      <w:pPr>
        <w:spacing w:after="240"/>
        <w:ind w:right="69" w:firstLine="708"/>
        <w:jc w:val="both"/>
        <w:rPr>
          <w:rFonts w:ascii="Century Gothic" w:eastAsia="Century Gothic" w:hAnsi="Century Gothic" w:cs="Century Gothic"/>
          <w:i/>
        </w:rPr>
      </w:pPr>
      <w:r>
        <w:rPr>
          <w:rFonts w:ascii="Century Gothic" w:eastAsia="Century Gothic" w:hAnsi="Century Gothic" w:cs="Century Gothic"/>
          <w:i/>
        </w:rPr>
        <w:t>De lo dispuesto en la tesis de jurisprudencia P./J. 10/94 del Tribunal Pleno de la Suprema Corte de Justicia de la Nación, publicada en la Gaceta del Semanario Judicial de la Federación, Número 77, mayo de 1994, página 12, de rubro: "</w:t>
      </w:r>
      <w:r>
        <w:rPr>
          <w:rFonts w:ascii="Century Gothic" w:eastAsia="Century Gothic" w:hAnsi="Century Gothic" w:cs="Century Gothic"/>
          <w:b/>
          <w:i/>
        </w:rPr>
        <w:t>COMPETENCIA. SU FUNDAMENTACIÓN ES REQUISITO ESENCIAL DEL ACTO DE AUTORIDAD</w:t>
      </w:r>
      <w:r>
        <w:rPr>
          <w:rFonts w:ascii="Century Gothic" w:eastAsia="Century Gothic" w:hAnsi="Century Gothic" w:cs="Century Gothic"/>
          <w:i/>
        </w:rPr>
        <w:t xml:space="preserve">.",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w:t>
      </w:r>
      <w:r>
        <w:rPr>
          <w:rFonts w:ascii="Century Gothic" w:eastAsia="Century Gothic" w:hAnsi="Century Gothic" w:cs="Century Gothic"/>
          <w:i/>
        </w:rPr>
        <w:lastRenderedPageBreak/>
        <w:t xml:space="preserve">lesionen su interés jurídico y, por tanto, asegurar la prerrogativa de su 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Pr>
          <w:rFonts w:ascii="Century Gothic" w:eastAsia="Century Gothic" w:hAnsi="Century Gothic" w:cs="Century Gothic"/>
          <w:i/>
        </w:rPr>
        <w:t>subincisos</w:t>
      </w:r>
      <w:proofErr w:type="spellEnd"/>
      <w:r>
        <w:rPr>
          <w:rFonts w:ascii="Century Gothic" w:eastAsia="Century Gothic" w:hAnsi="Century Gothic" w:cs="Century Gothic"/>
          <w:i/>
        </w:rPr>
        <w:t>,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w:t>
      </w:r>
    </w:p>
    <w:p w14:paraId="59EF3A55" w14:textId="2BA09C04" w:rsidR="007D54F6" w:rsidRPr="00B436C9" w:rsidRDefault="00B436C9" w:rsidP="00B436C9">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27. </w:t>
      </w:r>
      <w:r w:rsidR="00D366D9">
        <w:rPr>
          <w:rFonts w:ascii="Century Gothic" w:eastAsia="Century Gothic" w:hAnsi="Century Gothic" w:cs="Century Gothic"/>
          <w:sz w:val="24"/>
          <w:szCs w:val="24"/>
        </w:rPr>
        <w:t xml:space="preserve">De lo antes expuesto, tenemos que el acto motivo del juicio de nulidad consistente en acta de infracción con número de folio </w:t>
      </w:r>
      <w:r w:rsidR="00D366D9">
        <w:rPr>
          <w:rFonts w:ascii="Century Gothic" w:eastAsia="Century Gothic" w:hAnsi="Century Gothic" w:cs="Century Gothic"/>
          <w:b/>
          <w:sz w:val="24"/>
          <w:szCs w:val="24"/>
        </w:rPr>
        <w:t>7149 A</w:t>
      </w:r>
      <w:r w:rsidR="00D366D9">
        <w:rPr>
          <w:rFonts w:ascii="Century Gothic" w:eastAsia="Century Gothic" w:hAnsi="Century Gothic" w:cs="Century Gothic"/>
          <w:sz w:val="24"/>
          <w:szCs w:val="24"/>
        </w:rPr>
        <w:t xml:space="preserve"> de fecha cinco de septiembre del año dos mil veintidós, emitida por el Policía Vial FREDI RODRIGO JUÁREZ LEÓN, con número estadístico PV-119, adscrito a la Dirección de Movilidad del Municipio de Oaxaca de Juárez, contiene deficiente fundamentación y motivación, por tanto incumple el requisito de validez que exige la fracción V, del artículo 17 de la Ley de Procedimiento, </w:t>
      </w:r>
      <w:r w:rsidR="00D366D9">
        <w:rPr>
          <w:rFonts w:ascii="Century Gothic" w:eastAsia="Century Gothic" w:hAnsi="Century Gothic" w:cs="Century Gothic"/>
          <w:color w:val="000000"/>
          <w:sz w:val="24"/>
          <w:szCs w:val="24"/>
        </w:rPr>
        <w:t>lo que constituye un vicio de legalidad ostensible y particularmente grave que bajo ninguna circunstancia debe ser convalidado pues conlleva a que se declare su nulidad lisa y llana.</w:t>
      </w:r>
    </w:p>
    <w:p w14:paraId="499DB322" w14:textId="7E8E767A" w:rsidR="007D54F6" w:rsidRDefault="00B436C9">
      <w:pPr>
        <w:shd w:val="clear" w:color="auto" w:fill="FFFFFF"/>
        <w:ind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28. </w:t>
      </w:r>
      <w:r w:rsidR="00D366D9">
        <w:rPr>
          <w:rFonts w:ascii="Century Gothic" w:eastAsia="Century Gothic" w:hAnsi="Century Gothic" w:cs="Century Gothic"/>
          <w:sz w:val="24"/>
          <w:szCs w:val="24"/>
        </w:rPr>
        <w:t xml:space="preserve">Es aplicable al caso, la jurisprudencia en materia administrativa número I.7o.A. J./31, con número de registro digital 176913, de la Novena Época, emitida por los Tribunales Colegiados de Circuito, publicado en el Semanario Judicial de la Federación y su Gaceta, Tomo XXII, </w:t>
      </w:r>
      <w:proofErr w:type="gramStart"/>
      <w:r w:rsidR="00D366D9">
        <w:rPr>
          <w:rFonts w:ascii="Century Gothic" w:eastAsia="Century Gothic" w:hAnsi="Century Gothic" w:cs="Century Gothic"/>
          <w:sz w:val="24"/>
          <w:szCs w:val="24"/>
        </w:rPr>
        <w:t>Octubre</w:t>
      </w:r>
      <w:proofErr w:type="gramEnd"/>
      <w:r w:rsidR="00D366D9">
        <w:rPr>
          <w:rFonts w:ascii="Century Gothic" w:eastAsia="Century Gothic" w:hAnsi="Century Gothic" w:cs="Century Gothic"/>
          <w:sz w:val="24"/>
          <w:szCs w:val="24"/>
        </w:rPr>
        <w:t xml:space="preserve"> de 2005, consultable a página 2212, de rubro y texto siguientes: </w:t>
      </w:r>
    </w:p>
    <w:p w14:paraId="41EDFA8A" w14:textId="77777777" w:rsidR="007D54F6" w:rsidRDefault="00D366D9">
      <w:pPr>
        <w:spacing w:before="240"/>
        <w:ind w:left="567" w:right="616"/>
        <w:jc w:val="both"/>
        <w:rPr>
          <w:rFonts w:ascii="Century Gothic" w:eastAsia="Century Gothic" w:hAnsi="Century Gothic" w:cs="Century Gothic"/>
          <w:i/>
        </w:rPr>
      </w:pPr>
      <w:r>
        <w:rPr>
          <w:rFonts w:ascii="Century Gothic" w:eastAsia="Century Gothic" w:hAnsi="Century Gothic" w:cs="Century Gothic"/>
          <w:b/>
          <w:i/>
        </w:rPr>
        <w:t>“NULIDAD. REGLAS PARA SU DETERMINACIÓN EN EL JUICIO CONTENCIOSO ADMINISTRATIVO EN EL DISTRITO FEDERAL.</w:t>
      </w:r>
      <w:r>
        <w:rPr>
          <w:rFonts w:ascii="Century Gothic" w:eastAsia="Century Gothic" w:hAnsi="Century Gothic" w:cs="Century Gothic"/>
          <w:i/>
        </w:rPr>
        <w:t>.</w:t>
      </w:r>
      <w:r>
        <w:rPr>
          <w:rFonts w:ascii="Century Gothic" w:eastAsia="Century Gothic" w:hAnsi="Century Gothic" w:cs="Century Gothic"/>
          <w:i/>
          <w:vertAlign w:val="superscript"/>
        </w:rPr>
        <w:footnoteReference w:id="4"/>
      </w:r>
      <w:r>
        <w:rPr>
          <w:rFonts w:ascii="Century Gothic" w:eastAsia="Century Gothic" w:hAnsi="Century Gothic" w:cs="Century Gothic"/>
          <w:i/>
        </w:rPr>
        <w:t>”</w:t>
      </w:r>
    </w:p>
    <w:p w14:paraId="61B15C25" w14:textId="39A3774A" w:rsidR="007D54F6" w:rsidRDefault="00B436C9">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color w:val="000000"/>
          <w:sz w:val="24"/>
          <w:szCs w:val="24"/>
        </w:rPr>
        <w:lastRenderedPageBreak/>
        <w:t xml:space="preserve">29. </w:t>
      </w:r>
      <w:r w:rsidR="00D366D9">
        <w:rPr>
          <w:rFonts w:ascii="Century Gothic" w:eastAsia="Century Gothic" w:hAnsi="Century Gothic" w:cs="Century Gothic"/>
          <w:color w:val="000000"/>
          <w:sz w:val="24"/>
          <w:szCs w:val="24"/>
        </w:rPr>
        <w:t xml:space="preserve">De lo anterior expuesto, se concluye que en la sentencia en revisión fue dictada con apego a derecho, toda vez que, la Magistrada de origen, expuso sus razonamientos lógico-jurídicos que la condujeron a determinar la nulidad lisa y llana del acto administrativo de la autoridad; por ende, se califica como </w:t>
      </w:r>
      <w:r w:rsidR="00D366D9">
        <w:rPr>
          <w:rFonts w:ascii="Century Gothic" w:eastAsia="Century Gothic" w:hAnsi="Century Gothic" w:cs="Century Gothic"/>
          <w:b/>
          <w:color w:val="000000"/>
          <w:sz w:val="24"/>
          <w:szCs w:val="24"/>
        </w:rPr>
        <w:t>infundados los agravios expuestos</w:t>
      </w:r>
      <w:r w:rsidR="00D366D9">
        <w:rPr>
          <w:rFonts w:ascii="Century Gothic" w:eastAsia="Century Gothic" w:hAnsi="Century Gothic" w:cs="Century Gothic"/>
          <w:color w:val="000000"/>
          <w:sz w:val="24"/>
          <w:szCs w:val="24"/>
        </w:rPr>
        <w:t xml:space="preserve"> por la autoridad recurrente.</w:t>
      </w:r>
    </w:p>
    <w:p w14:paraId="6C28D360" w14:textId="03241CE8" w:rsidR="007D54F6" w:rsidRDefault="00B436C9">
      <w:pPr>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30. </w:t>
      </w:r>
      <w:r w:rsidR="00D366D9">
        <w:rPr>
          <w:rFonts w:ascii="Century Gothic" w:eastAsia="Century Gothic" w:hAnsi="Century Gothic" w:cs="Century Gothic"/>
          <w:sz w:val="24"/>
          <w:szCs w:val="24"/>
        </w:rPr>
        <w:t xml:space="preserve">En mérito de lo anterior, ante lo </w:t>
      </w:r>
      <w:r w:rsidR="00D366D9">
        <w:rPr>
          <w:rFonts w:ascii="Century Gothic" w:eastAsia="Century Gothic" w:hAnsi="Century Gothic" w:cs="Century Gothic"/>
          <w:b/>
          <w:sz w:val="24"/>
          <w:szCs w:val="24"/>
        </w:rPr>
        <w:t xml:space="preserve">inoperante e infundado </w:t>
      </w:r>
      <w:r w:rsidR="00D366D9">
        <w:rPr>
          <w:rFonts w:ascii="Century Gothic" w:eastAsia="Century Gothic" w:hAnsi="Century Gothic" w:cs="Century Gothic"/>
          <w:sz w:val="24"/>
          <w:szCs w:val="24"/>
        </w:rPr>
        <w:t xml:space="preserve">de los agravios expuestos por la autoridad recurrente, lo procedente es </w:t>
      </w:r>
      <w:r w:rsidR="00D366D9">
        <w:rPr>
          <w:rFonts w:ascii="Century Gothic" w:eastAsia="Century Gothic" w:hAnsi="Century Gothic" w:cs="Century Gothic"/>
          <w:b/>
          <w:sz w:val="24"/>
          <w:szCs w:val="24"/>
        </w:rPr>
        <w:t>confirmar</w:t>
      </w:r>
      <w:r w:rsidR="00D366D9">
        <w:rPr>
          <w:rFonts w:ascii="Century Gothic" w:eastAsia="Century Gothic" w:hAnsi="Century Gothic" w:cs="Century Gothic"/>
          <w:sz w:val="24"/>
          <w:szCs w:val="24"/>
        </w:rPr>
        <w:t xml:space="preserve"> la sentencia recurrida; en consecuencia, con fundamento en los artículos 236 y 238 de la Ley de Procedimiento, se:</w:t>
      </w:r>
      <w:r w:rsidR="00545C9F">
        <w:rPr>
          <w:rFonts w:ascii="Century Gothic" w:eastAsia="Century Gothic" w:hAnsi="Century Gothic" w:cs="Century Gothic"/>
          <w:sz w:val="24"/>
          <w:szCs w:val="24"/>
        </w:rPr>
        <w:t xml:space="preserve"> - - - - - - - - - - - - - - - </w:t>
      </w:r>
    </w:p>
    <w:p w14:paraId="75420534" w14:textId="77777777" w:rsidR="007D54F6" w:rsidRDefault="00D366D9">
      <w:pPr>
        <w:widowControl w:val="0"/>
        <w:tabs>
          <w:tab w:val="left" w:pos="0"/>
        </w:tabs>
        <w:spacing w:before="240" w:after="0"/>
        <w:ind w:right="18"/>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R E S U E L V E</w:t>
      </w:r>
    </w:p>
    <w:p w14:paraId="00CE9B7F" w14:textId="4053B5F9" w:rsidR="007D54F6" w:rsidRDefault="00D366D9">
      <w:pPr>
        <w:widowControl w:val="0"/>
        <w:tabs>
          <w:tab w:val="left" w:pos="0"/>
        </w:tabs>
        <w:spacing w:before="240" w:after="0"/>
        <w:ind w:right="18"/>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ab/>
        <w:t>PRIMERO</w:t>
      </w:r>
      <w:r>
        <w:rPr>
          <w:rFonts w:ascii="Century Gothic" w:eastAsia="Century Gothic" w:hAnsi="Century Gothic" w:cs="Century Gothic"/>
          <w:color w:val="000000"/>
          <w:sz w:val="24"/>
          <w:szCs w:val="24"/>
        </w:rPr>
        <w:t xml:space="preserve">. Se </w:t>
      </w:r>
      <w:r>
        <w:rPr>
          <w:rFonts w:ascii="Century Gothic" w:eastAsia="Century Gothic" w:hAnsi="Century Gothic" w:cs="Century Gothic"/>
          <w:b/>
          <w:color w:val="000000"/>
          <w:sz w:val="24"/>
          <w:szCs w:val="24"/>
        </w:rPr>
        <w:t xml:space="preserve">CONFIRMA </w:t>
      </w:r>
      <w:r>
        <w:rPr>
          <w:rFonts w:ascii="Century Gothic" w:eastAsia="Century Gothic" w:hAnsi="Century Gothic" w:cs="Century Gothic"/>
          <w:color w:val="000000"/>
          <w:sz w:val="24"/>
          <w:szCs w:val="24"/>
        </w:rPr>
        <w:t xml:space="preserve">la </w:t>
      </w:r>
      <w:r>
        <w:rPr>
          <w:rFonts w:ascii="Century Gothic" w:eastAsia="Century Gothic" w:hAnsi="Century Gothic" w:cs="Century Gothic"/>
          <w:sz w:val="24"/>
          <w:szCs w:val="24"/>
        </w:rPr>
        <w:t xml:space="preserve">sentencia de </w:t>
      </w:r>
      <w:r>
        <w:rPr>
          <w:rFonts w:ascii="Century Gothic" w:eastAsia="Century Gothic" w:hAnsi="Century Gothic" w:cs="Century Gothic"/>
          <w:color w:val="000000"/>
          <w:sz w:val="24"/>
          <w:szCs w:val="24"/>
        </w:rPr>
        <w:t xml:space="preserve">fecha veintiséis de enero de dos mil veintitrés </w:t>
      </w:r>
      <w:r>
        <w:rPr>
          <w:rFonts w:ascii="Century Gothic" w:eastAsia="Century Gothic" w:hAnsi="Century Gothic" w:cs="Century Gothic"/>
          <w:sz w:val="24"/>
          <w:szCs w:val="24"/>
        </w:rPr>
        <w:t>dictada dentro del juicio de nulidad con número de expediente 0086/2022 de la Sexta Sala Unitaria de Primera Instancia del extinto Tribunal de Justicia Administrativa del Estado de Oaxaca, ahora radicado dentro del expediente 0260/2023 del índice de la Sala Especializada en Materia de Responsabilidades Administrativas y Combate a la Corrupción del Tribunal de Justicia Administrativa y Combate a la Corrupción del Estado de Oaxaca</w:t>
      </w:r>
      <w:r>
        <w:rPr>
          <w:rFonts w:ascii="Century Gothic" w:eastAsia="Century Gothic" w:hAnsi="Century Gothic" w:cs="Century Gothic"/>
          <w:color w:val="000000"/>
          <w:sz w:val="24"/>
          <w:szCs w:val="24"/>
        </w:rPr>
        <w:t>, por las razones expuestas en el considerando Cuarto</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de la presente resolución. - - - - - -</w:t>
      </w:r>
    </w:p>
    <w:p w14:paraId="11301781" w14:textId="3A875455" w:rsidR="007D54F6" w:rsidRDefault="00D366D9">
      <w:pPr>
        <w:pBdr>
          <w:top w:val="nil"/>
          <w:left w:val="nil"/>
          <w:bottom w:val="nil"/>
          <w:right w:val="nil"/>
          <w:between w:val="nil"/>
        </w:pBdr>
        <w:spacing w:before="240" w:after="240"/>
        <w:ind w:firstLine="708"/>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SEGUNDO. Notifíquese y cúmplase,</w:t>
      </w:r>
      <w:r>
        <w:rPr>
          <w:rFonts w:ascii="Century Gothic" w:eastAsia="Century Gothic" w:hAnsi="Century Gothic" w:cs="Century Gothic"/>
          <w:color w:val="000000"/>
          <w:sz w:val="24"/>
          <w:szCs w:val="24"/>
        </w:rPr>
        <w:t xml:space="preserve"> remítase copia certificada de la presente resolución a la Sala de origen para los efectos legales correspondientes y en su oportunidad archívese como asunto concluido. </w:t>
      </w:r>
      <w:r w:rsidR="00BB4AA3">
        <w:rPr>
          <w:rFonts w:ascii="Century Gothic" w:eastAsia="Century Gothic" w:hAnsi="Century Gothic" w:cs="Century Gothic"/>
          <w:sz w:val="24"/>
          <w:szCs w:val="24"/>
        </w:rPr>
        <w:t>- - - - - - - - - - - - - - - - - - - - - - - - - - - - - - - - - - - - - - - - - - - - - - - - -</w:t>
      </w:r>
    </w:p>
    <w:p w14:paraId="32EC7F4C" w14:textId="53CDF242" w:rsidR="005769F0" w:rsidRDefault="00D366D9" w:rsidP="00BB064C">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Por unanimidad de votos, lo resolvieron y firmaron los Magistrados integrantes de la Sala Superior Mateo Martínez </w:t>
      </w:r>
      <w:proofErr w:type="spellStart"/>
      <w:r>
        <w:rPr>
          <w:rFonts w:ascii="Century Gothic" w:eastAsia="Century Gothic" w:hAnsi="Century Gothic" w:cs="Century Gothic"/>
          <w:sz w:val="24"/>
          <w:szCs w:val="24"/>
        </w:rPr>
        <w:t>Martínez</w:t>
      </w:r>
      <w:proofErr w:type="spellEnd"/>
      <w:r>
        <w:rPr>
          <w:rFonts w:ascii="Century Gothic" w:eastAsia="Century Gothic" w:hAnsi="Century Gothic" w:cs="Century Gothic"/>
          <w:sz w:val="24"/>
          <w:szCs w:val="24"/>
        </w:rPr>
        <w:t xml:space="preserve">, Cruz Itzel Espinosa Rojas (ponente) y Manuel de Jesús López </w:t>
      </w:r>
      <w:proofErr w:type="spellStart"/>
      <w:r>
        <w:rPr>
          <w:rFonts w:ascii="Century Gothic" w:eastAsia="Century Gothic" w:hAnsi="Century Gothic" w:cs="Century Gothic"/>
          <w:sz w:val="24"/>
          <w:szCs w:val="24"/>
        </w:rPr>
        <w:t>López</w:t>
      </w:r>
      <w:proofErr w:type="spellEnd"/>
      <w:r>
        <w:rPr>
          <w:rFonts w:ascii="Century Gothic" w:eastAsia="Century Gothic" w:hAnsi="Century Gothic" w:cs="Century Gothic"/>
          <w:sz w:val="24"/>
          <w:szCs w:val="24"/>
        </w:rPr>
        <w:t xml:space="preserve">; quienes </w:t>
      </w:r>
      <w:r>
        <w:rPr>
          <w:rFonts w:ascii="Century Gothic" w:eastAsia="Century Gothic" w:hAnsi="Century Gothic" w:cs="Century Gothic"/>
          <w:sz w:val="24"/>
          <w:szCs w:val="24"/>
        </w:rPr>
        <w:lastRenderedPageBreak/>
        <w:t xml:space="preserve">actúan con la </w:t>
      </w:r>
      <w:r w:rsidR="00827B2F">
        <w:rPr>
          <w:rFonts w:ascii="Century Gothic" w:eastAsia="Century Gothic" w:hAnsi="Century Gothic" w:cs="Century Gothic"/>
          <w:sz w:val="24"/>
          <w:szCs w:val="24"/>
        </w:rPr>
        <w:t>Maestra</w:t>
      </w:r>
      <w:r>
        <w:rPr>
          <w:rFonts w:ascii="Century Gothic" w:eastAsia="Century Gothic" w:hAnsi="Century Gothic" w:cs="Century Gothic"/>
          <w:sz w:val="24"/>
          <w:szCs w:val="24"/>
        </w:rPr>
        <w:t xml:space="preserve"> Lizbeth Jessica Gallardo Martínez, </w:t>
      </w:r>
      <w:proofErr w:type="gramStart"/>
      <w:r>
        <w:rPr>
          <w:rFonts w:ascii="Century Gothic" w:eastAsia="Century Gothic" w:hAnsi="Century Gothic" w:cs="Century Gothic"/>
          <w:sz w:val="24"/>
          <w:szCs w:val="24"/>
        </w:rPr>
        <w:t>Secretaria General</w:t>
      </w:r>
      <w:proofErr w:type="gramEnd"/>
      <w:r>
        <w:rPr>
          <w:rFonts w:ascii="Century Gothic" w:eastAsia="Century Gothic" w:hAnsi="Century Gothic" w:cs="Century Gothic"/>
          <w:sz w:val="24"/>
          <w:szCs w:val="24"/>
        </w:rPr>
        <w:t xml:space="preserve"> de Acuerdos de este Tribunal, que autoriza y da </w:t>
      </w:r>
      <w:r w:rsidR="00252AA0">
        <w:rPr>
          <w:rFonts w:ascii="Century Gothic" w:eastAsia="Century Gothic" w:hAnsi="Century Gothic" w:cs="Century Gothic"/>
          <w:sz w:val="24"/>
          <w:szCs w:val="24"/>
        </w:rPr>
        <w:t>fe. -</w:t>
      </w:r>
      <w:r>
        <w:rPr>
          <w:rFonts w:ascii="Century Gothic" w:eastAsia="Century Gothic" w:hAnsi="Century Gothic" w:cs="Century Gothic"/>
          <w:sz w:val="24"/>
          <w:szCs w:val="24"/>
        </w:rPr>
        <w:t xml:space="preserve"> - - - - - -</w:t>
      </w:r>
      <w:r w:rsidR="00252AA0">
        <w:rPr>
          <w:rFonts w:ascii="Century Gothic" w:eastAsia="Century Gothic" w:hAnsi="Century Gothic" w:cs="Century Gothic"/>
          <w:sz w:val="24"/>
          <w:szCs w:val="24"/>
        </w:rPr>
        <w:t xml:space="preserve"> - -</w:t>
      </w:r>
    </w:p>
    <w:p w14:paraId="301DABDD" w14:textId="77777777" w:rsidR="003D10B6" w:rsidRDefault="003D10B6">
      <w:pPr>
        <w:spacing w:before="240"/>
        <w:ind w:firstLine="708"/>
        <w:jc w:val="both"/>
        <w:rPr>
          <w:rFonts w:ascii="Century Gothic" w:eastAsia="Century Gothic" w:hAnsi="Century Gothic" w:cs="Century Gothic"/>
          <w:sz w:val="24"/>
          <w:szCs w:val="24"/>
        </w:rPr>
      </w:pPr>
    </w:p>
    <w:p w14:paraId="5F8FEE6D" w14:textId="77777777" w:rsidR="005769F0" w:rsidRDefault="005769F0">
      <w:pPr>
        <w:spacing w:before="240"/>
        <w:ind w:firstLine="708"/>
        <w:jc w:val="both"/>
        <w:rPr>
          <w:rFonts w:ascii="Century Gothic" w:eastAsia="Century Gothic" w:hAnsi="Century Gothic" w:cs="Century Gothic"/>
          <w:sz w:val="24"/>
          <w:szCs w:val="24"/>
        </w:rPr>
      </w:pPr>
    </w:p>
    <w:p w14:paraId="5FD4FBD6" w14:textId="77777777" w:rsidR="007D54F6" w:rsidRDefault="007D54F6">
      <w:pPr>
        <w:pBdr>
          <w:top w:val="nil"/>
          <w:left w:val="nil"/>
          <w:bottom w:val="nil"/>
          <w:right w:val="nil"/>
          <w:between w:val="nil"/>
        </w:pBdr>
        <w:spacing w:after="0"/>
        <w:jc w:val="center"/>
        <w:rPr>
          <w:rFonts w:ascii="Century Gothic" w:eastAsia="Century Gothic" w:hAnsi="Century Gothic" w:cs="Century Gothic"/>
          <w:b/>
          <w:color w:val="000000"/>
          <w:sz w:val="24"/>
          <w:szCs w:val="24"/>
        </w:rPr>
      </w:pPr>
    </w:p>
    <w:p w14:paraId="6A3FA55D" w14:textId="6A95F1BD" w:rsidR="007D54F6" w:rsidRDefault="005769F0" w:rsidP="00827B2F">
      <w:pPr>
        <w:pBdr>
          <w:top w:val="nil"/>
          <w:left w:val="nil"/>
          <w:bottom w:val="nil"/>
          <w:right w:val="nil"/>
          <w:between w:val="nil"/>
        </w:pBdr>
        <w:spacing w:after="0"/>
        <w:jc w:val="center"/>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 xml:space="preserve">MAGISTRADO MATEO MARTÍNEZ </w:t>
      </w:r>
      <w:proofErr w:type="spellStart"/>
      <w:r>
        <w:rPr>
          <w:rFonts w:ascii="Century Gothic" w:eastAsia="Century Gothic" w:hAnsi="Century Gothic" w:cs="Century Gothic"/>
          <w:b/>
          <w:color w:val="000000"/>
          <w:sz w:val="24"/>
          <w:szCs w:val="24"/>
        </w:rPr>
        <w:t>MARTÍNEZ</w:t>
      </w:r>
      <w:proofErr w:type="spellEnd"/>
    </w:p>
    <w:p w14:paraId="26B7BE39" w14:textId="4CB096B5" w:rsidR="007D54F6" w:rsidRDefault="005769F0" w:rsidP="00827B2F">
      <w:pPr>
        <w:pBdr>
          <w:top w:val="nil"/>
          <w:left w:val="nil"/>
          <w:bottom w:val="nil"/>
          <w:right w:val="nil"/>
          <w:between w:val="nil"/>
        </w:pBdr>
        <w:spacing w:after="0"/>
        <w:jc w:val="center"/>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PRESIDENTE</w:t>
      </w:r>
    </w:p>
    <w:p w14:paraId="72095796" w14:textId="77777777" w:rsidR="007D54F6" w:rsidRDefault="007D54F6" w:rsidP="00827B2F">
      <w:pPr>
        <w:tabs>
          <w:tab w:val="center" w:pos="4135"/>
          <w:tab w:val="left" w:pos="7515"/>
        </w:tabs>
        <w:spacing w:after="0"/>
        <w:jc w:val="center"/>
        <w:rPr>
          <w:rFonts w:ascii="Century Gothic" w:eastAsia="Century Gothic" w:hAnsi="Century Gothic" w:cs="Century Gothic"/>
          <w:b/>
          <w:sz w:val="24"/>
          <w:szCs w:val="24"/>
        </w:rPr>
      </w:pPr>
    </w:p>
    <w:p w14:paraId="6B720F40" w14:textId="77777777" w:rsidR="007D54F6" w:rsidRDefault="007D54F6" w:rsidP="00827B2F">
      <w:pPr>
        <w:tabs>
          <w:tab w:val="center" w:pos="4135"/>
          <w:tab w:val="left" w:pos="7515"/>
        </w:tabs>
        <w:spacing w:after="0"/>
        <w:jc w:val="center"/>
        <w:rPr>
          <w:rFonts w:ascii="Century Gothic" w:eastAsia="Century Gothic" w:hAnsi="Century Gothic" w:cs="Century Gothic"/>
          <w:b/>
          <w:sz w:val="24"/>
          <w:szCs w:val="24"/>
        </w:rPr>
      </w:pPr>
    </w:p>
    <w:p w14:paraId="0969F838" w14:textId="77777777" w:rsidR="00BB5A85" w:rsidRDefault="00BB5A85" w:rsidP="00827B2F">
      <w:pPr>
        <w:tabs>
          <w:tab w:val="center" w:pos="4135"/>
          <w:tab w:val="left" w:pos="7515"/>
        </w:tabs>
        <w:spacing w:after="0"/>
        <w:jc w:val="center"/>
        <w:rPr>
          <w:rFonts w:ascii="Century Gothic" w:eastAsia="Century Gothic" w:hAnsi="Century Gothic" w:cs="Century Gothic"/>
          <w:b/>
          <w:sz w:val="24"/>
          <w:szCs w:val="24"/>
        </w:rPr>
      </w:pPr>
    </w:p>
    <w:p w14:paraId="11BFEA89" w14:textId="77777777" w:rsidR="007D54F6" w:rsidRDefault="007D54F6" w:rsidP="00827B2F">
      <w:pPr>
        <w:tabs>
          <w:tab w:val="center" w:pos="4135"/>
          <w:tab w:val="left" w:pos="7515"/>
        </w:tabs>
        <w:spacing w:after="0"/>
        <w:jc w:val="center"/>
        <w:rPr>
          <w:rFonts w:ascii="Century Gothic" w:eastAsia="Century Gothic" w:hAnsi="Century Gothic" w:cs="Century Gothic"/>
          <w:b/>
          <w:sz w:val="24"/>
          <w:szCs w:val="24"/>
        </w:rPr>
      </w:pPr>
    </w:p>
    <w:p w14:paraId="0A954CFC" w14:textId="679B2D09" w:rsidR="007D54F6" w:rsidRDefault="005769F0" w:rsidP="00827B2F">
      <w:pPr>
        <w:tabs>
          <w:tab w:val="center" w:pos="4135"/>
          <w:tab w:val="left" w:pos="7515"/>
        </w:tabs>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MAGISTRADA CRUZ ITZEL ESPINOSA ROJAS.</w:t>
      </w:r>
    </w:p>
    <w:p w14:paraId="429225F1" w14:textId="7C4426C3" w:rsidR="00827B2F" w:rsidRDefault="005769F0" w:rsidP="00827B2F">
      <w:pPr>
        <w:tabs>
          <w:tab w:val="center" w:pos="4135"/>
          <w:tab w:val="left" w:pos="7515"/>
        </w:tabs>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INTEGRANTE</w:t>
      </w:r>
    </w:p>
    <w:p w14:paraId="1CB71067" w14:textId="77777777" w:rsidR="007D54F6" w:rsidRDefault="007D54F6" w:rsidP="00827B2F">
      <w:pPr>
        <w:tabs>
          <w:tab w:val="center" w:pos="4135"/>
          <w:tab w:val="left" w:pos="7515"/>
        </w:tabs>
        <w:spacing w:after="0"/>
        <w:jc w:val="center"/>
        <w:rPr>
          <w:rFonts w:ascii="Century Gothic" w:eastAsia="Century Gothic" w:hAnsi="Century Gothic" w:cs="Century Gothic"/>
          <w:b/>
          <w:sz w:val="24"/>
          <w:szCs w:val="24"/>
        </w:rPr>
      </w:pPr>
    </w:p>
    <w:p w14:paraId="35FD0361" w14:textId="77777777" w:rsidR="007D54F6" w:rsidRDefault="007D54F6" w:rsidP="00827B2F">
      <w:pPr>
        <w:tabs>
          <w:tab w:val="center" w:pos="4135"/>
          <w:tab w:val="left" w:pos="7515"/>
        </w:tabs>
        <w:spacing w:after="0"/>
        <w:jc w:val="center"/>
        <w:rPr>
          <w:rFonts w:ascii="Century Gothic" w:eastAsia="Century Gothic" w:hAnsi="Century Gothic" w:cs="Century Gothic"/>
          <w:b/>
          <w:sz w:val="24"/>
          <w:szCs w:val="24"/>
        </w:rPr>
      </w:pPr>
    </w:p>
    <w:p w14:paraId="46777069" w14:textId="77777777" w:rsidR="007D54F6" w:rsidRDefault="007D54F6" w:rsidP="00827B2F">
      <w:pPr>
        <w:tabs>
          <w:tab w:val="center" w:pos="4135"/>
          <w:tab w:val="left" w:pos="7515"/>
        </w:tabs>
        <w:spacing w:after="0"/>
        <w:jc w:val="center"/>
        <w:rPr>
          <w:rFonts w:ascii="Century Gothic" w:eastAsia="Century Gothic" w:hAnsi="Century Gothic" w:cs="Century Gothic"/>
          <w:b/>
          <w:sz w:val="24"/>
          <w:szCs w:val="24"/>
        </w:rPr>
      </w:pPr>
    </w:p>
    <w:p w14:paraId="6F20539E" w14:textId="781AB1F2" w:rsidR="007D54F6" w:rsidRDefault="005769F0" w:rsidP="00827B2F">
      <w:pPr>
        <w:tabs>
          <w:tab w:val="center" w:pos="4135"/>
          <w:tab w:val="left" w:pos="7515"/>
        </w:tabs>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MAGISTRADO MANUEL DE JESÚS LÓPEZ </w:t>
      </w:r>
      <w:proofErr w:type="spellStart"/>
      <w:r>
        <w:rPr>
          <w:rFonts w:ascii="Century Gothic" w:eastAsia="Century Gothic" w:hAnsi="Century Gothic" w:cs="Century Gothic"/>
          <w:b/>
          <w:sz w:val="24"/>
          <w:szCs w:val="24"/>
        </w:rPr>
        <w:t>LÓPEZ</w:t>
      </w:r>
      <w:proofErr w:type="spellEnd"/>
    </w:p>
    <w:p w14:paraId="4DCAE962" w14:textId="76AE4D59" w:rsidR="00827B2F" w:rsidRDefault="005769F0" w:rsidP="00827B2F">
      <w:pPr>
        <w:tabs>
          <w:tab w:val="center" w:pos="4135"/>
          <w:tab w:val="left" w:pos="7515"/>
        </w:tabs>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INTEGRANTE</w:t>
      </w:r>
    </w:p>
    <w:p w14:paraId="4634CEAE" w14:textId="77777777" w:rsidR="007D54F6" w:rsidRDefault="007D54F6" w:rsidP="00827B2F">
      <w:pPr>
        <w:tabs>
          <w:tab w:val="center" w:pos="4135"/>
          <w:tab w:val="left" w:pos="7515"/>
        </w:tabs>
        <w:spacing w:after="0"/>
        <w:jc w:val="center"/>
        <w:rPr>
          <w:rFonts w:ascii="Century Gothic" w:eastAsia="Century Gothic" w:hAnsi="Century Gothic" w:cs="Century Gothic"/>
          <w:b/>
          <w:sz w:val="24"/>
          <w:szCs w:val="24"/>
        </w:rPr>
      </w:pPr>
    </w:p>
    <w:p w14:paraId="72E9D3D5" w14:textId="77777777" w:rsidR="007D54F6" w:rsidRDefault="007D54F6" w:rsidP="00827B2F">
      <w:pPr>
        <w:tabs>
          <w:tab w:val="center" w:pos="4135"/>
          <w:tab w:val="left" w:pos="7515"/>
        </w:tabs>
        <w:spacing w:after="0"/>
        <w:jc w:val="center"/>
        <w:rPr>
          <w:rFonts w:ascii="Century Gothic" w:eastAsia="Century Gothic" w:hAnsi="Century Gothic" w:cs="Century Gothic"/>
          <w:b/>
          <w:sz w:val="24"/>
          <w:szCs w:val="24"/>
        </w:rPr>
      </w:pPr>
    </w:p>
    <w:p w14:paraId="0F707E6E" w14:textId="77777777" w:rsidR="007D54F6" w:rsidRDefault="007D54F6" w:rsidP="00827B2F">
      <w:pPr>
        <w:tabs>
          <w:tab w:val="center" w:pos="4135"/>
          <w:tab w:val="left" w:pos="7515"/>
        </w:tabs>
        <w:spacing w:after="0"/>
        <w:jc w:val="center"/>
        <w:rPr>
          <w:rFonts w:ascii="Century Gothic" w:eastAsia="Century Gothic" w:hAnsi="Century Gothic" w:cs="Century Gothic"/>
          <w:b/>
          <w:sz w:val="24"/>
          <w:szCs w:val="24"/>
        </w:rPr>
      </w:pPr>
    </w:p>
    <w:p w14:paraId="69AEF2BD" w14:textId="383B214D" w:rsidR="007D54F6" w:rsidRDefault="005769F0" w:rsidP="00827B2F">
      <w:pPr>
        <w:tabs>
          <w:tab w:val="left" w:pos="1925"/>
          <w:tab w:val="center" w:pos="4135"/>
        </w:tabs>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MAESTRA LIZBETH JESSICA GALLARDO MARTÍNEZ.</w:t>
      </w:r>
    </w:p>
    <w:p w14:paraId="2AEC3F91" w14:textId="2FBAB40D" w:rsidR="007D54F6" w:rsidRPr="005769F0" w:rsidRDefault="005769F0" w:rsidP="005769F0">
      <w:pPr>
        <w:pBdr>
          <w:top w:val="nil"/>
          <w:left w:val="nil"/>
          <w:bottom w:val="nil"/>
          <w:right w:val="nil"/>
          <w:between w:val="nil"/>
        </w:pBdr>
        <w:spacing w:after="0"/>
        <w:jc w:val="center"/>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SECRETARIA GENERAL DE ACUERDOS</w:t>
      </w:r>
    </w:p>
    <w:sectPr w:rsidR="007D54F6" w:rsidRPr="005769F0" w:rsidSect="004828AB">
      <w:headerReference w:type="even" r:id="rId8"/>
      <w:headerReference w:type="default" r:id="rId9"/>
      <w:footerReference w:type="default" r:id="rId10"/>
      <w:headerReference w:type="first" r:id="rId11"/>
      <w:footerReference w:type="first" r:id="rId12"/>
      <w:pgSz w:w="12240" w:h="20160"/>
      <w:pgMar w:top="1843" w:right="1469" w:bottom="1985" w:left="2410" w:header="992"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5C0E0" w14:textId="77777777" w:rsidR="00007845" w:rsidRDefault="00007845">
      <w:pPr>
        <w:spacing w:after="0" w:line="240" w:lineRule="auto"/>
      </w:pPr>
      <w:r>
        <w:separator/>
      </w:r>
    </w:p>
  </w:endnote>
  <w:endnote w:type="continuationSeparator" w:id="0">
    <w:p w14:paraId="2DBB25DC" w14:textId="77777777" w:rsidR="00007845" w:rsidRDefault="00007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AC83A" w14:textId="77777777" w:rsidR="007D54F6" w:rsidRDefault="00D366D9">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252AA0">
      <w:rPr>
        <w:noProof/>
        <w:color w:val="000000"/>
      </w:rPr>
      <w:t>14</w:t>
    </w:r>
    <w:r>
      <w:rPr>
        <w:color w:val="000000"/>
      </w:rPr>
      <w:fldChar w:fldCharType="end"/>
    </w:r>
  </w:p>
  <w:p w14:paraId="12701012" w14:textId="77777777" w:rsidR="007D54F6" w:rsidRDefault="007D54F6">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D2965" w14:textId="5E972D46" w:rsidR="004828AB" w:rsidRDefault="004828AB">
    <w:pPr>
      <w:pStyle w:val="Piedepgina"/>
    </w:pPr>
    <w:r>
      <w:rPr>
        <w:noProof/>
      </w:rPr>
      <w:drawing>
        <wp:anchor distT="0" distB="0" distL="114300" distR="114300" simplePos="0" relativeHeight="251663360" behindDoc="1" locked="0" layoutInCell="1" allowOverlap="1" wp14:anchorId="75FE9C64" wp14:editId="573AD411">
          <wp:simplePos x="0" y="0"/>
          <wp:positionH relativeFrom="column">
            <wp:posOffset>-1177925</wp:posOffset>
          </wp:positionH>
          <wp:positionV relativeFrom="paragraph">
            <wp:posOffset>-5093970</wp:posOffset>
          </wp:positionV>
          <wp:extent cx="1030605" cy="1256030"/>
          <wp:effectExtent l="0" t="0" r="0" b="1270"/>
          <wp:wrapNone/>
          <wp:docPr id="497566341" name="Imagen 497566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66845"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E3B3C" w14:textId="77777777" w:rsidR="00007845" w:rsidRDefault="00007845">
      <w:pPr>
        <w:spacing w:after="0" w:line="240" w:lineRule="auto"/>
      </w:pPr>
      <w:r>
        <w:separator/>
      </w:r>
    </w:p>
  </w:footnote>
  <w:footnote w:type="continuationSeparator" w:id="0">
    <w:p w14:paraId="08C9CDFF" w14:textId="77777777" w:rsidR="00007845" w:rsidRDefault="00007845">
      <w:pPr>
        <w:spacing w:after="0" w:line="240" w:lineRule="auto"/>
      </w:pPr>
      <w:r>
        <w:continuationSeparator/>
      </w:r>
    </w:p>
  </w:footnote>
  <w:footnote w:id="1">
    <w:p w14:paraId="43BA7109" w14:textId="77777777" w:rsidR="007D54F6" w:rsidRDefault="00D366D9">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Publicado en el </w:t>
      </w:r>
      <w:r w:rsidR="008E2E68">
        <w:rPr>
          <w:color w:val="000000"/>
          <w:sz w:val="20"/>
          <w:szCs w:val="20"/>
        </w:rPr>
        <w:t>Periódico</w:t>
      </w:r>
      <w:r>
        <w:rPr>
          <w:color w:val="000000"/>
          <w:sz w:val="20"/>
          <w:szCs w:val="20"/>
        </w:rPr>
        <w:t xml:space="preserve"> Oficial del Gobierno del Estado y con entrada en vigor el veintidós de julio del dos mi veintitrés cuya lectura literal es: “CAPÍTULO III DEL TRIBUNAL DE JUSTICIA ADMINISTRATIVA Y COMBATE A LA CORRUPCIÓN DEL ESTADO DE OAXACA. Artículo 114 </w:t>
      </w:r>
      <w:proofErr w:type="spellStart"/>
      <w:r>
        <w:rPr>
          <w:color w:val="000000"/>
          <w:sz w:val="20"/>
          <w:szCs w:val="20"/>
        </w:rPr>
        <w:t>Quáter</w:t>
      </w:r>
      <w:proofErr w:type="spellEnd"/>
      <w:r>
        <w:rPr>
          <w:color w:val="000000"/>
          <w:sz w:val="20"/>
          <w:szCs w:val="20"/>
        </w:rPr>
        <w:t>. El Tribunal de Justicia Administrativa y Combate a la Corrupción del Estado de Oaxaca, es la máxima autoridad jurisdiccional en materia de fiscalización, rendición de cuentas, responsabilidad de los servidores públicos, combate a la corrupción e impartición de Justicia Administrativa, estará dotado de plena autonomía para dictar sus fallos, establecer su organización, funcionamiento, procedimientos y su presupuesto.</w:t>
      </w:r>
    </w:p>
    <w:p w14:paraId="628F3252" w14:textId="77777777" w:rsidR="007D54F6" w:rsidRDefault="00D366D9">
      <w:pPr>
        <w:pBdr>
          <w:top w:val="nil"/>
          <w:left w:val="nil"/>
          <w:bottom w:val="nil"/>
          <w:right w:val="nil"/>
          <w:between w:val="nil"/>
        </w:pBdr>
        <w:spacing w:after="0" w:line="240" w:lineRule="auto"/>
        <w:rPr>
          <w:color w:val="000000"/>
          <w:sz w:val="20"/>
          <w:szCs w:val="20"/>
        </w:rPr>
      </w:pPr>
      <w:r>
        <w:rPr>
          <w:color w:val="000000"/>
          <w:sz w:val="20"/>
          <w:szCs w:val="20"/>
        </w:rPr>
        <w:t>(…)</w:t>
      </w:r>
    </w:p>
    <w:p w14:paraId="2A8A5BA4" w14:textId="77777777" w:rsidR="007D54F6" w:rsidRDefault="00D366D9">
      <w:pPr>
        <w:pBdr>
          <w:top w:val="nil"/>
          <w:left w:val="nil"/>
          <w:bottom w:val="nil"/>
          <w:right w:val="nil"/>
          <w:between w:val="nil"/>
        </w:pBdr>
        <w:spacing w:after="0" w:line="240" w:lineRule="auto"/>
        <w:rPr>
          <w:color w:val="000000"/>
          <w:sz w:val="20"/>
          <w:szCs w:val="20"/>
        </w:rPr>
      </w:pPr>
      <w:r>
        <w:rPr>
          <w:color w:val="000000"/>
          <w:sz w:val="20"/>
          <w:szCs w:val="20"/>
        </w:rPr>
        <w:t>La Sala Superior del Tribunal se compondrá de tres Magistrados y actuará en Pleno” (…)</w:t>
      </w:r>
    </w:p>
  </w:footnote>
  <w:footnote w:id="2">
    <w:p w14:paraId="18EA72FB" w14:textId="77777777" w:rsidR="007D54F6" w:rsidRDefault="00D366D9">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ARTÍCULO 39.- Las actuaciones y diligencias administrativas se practicarán en días y horas hábiles. En los plazos fijados en días no se contarán los inhábiles, salvo disposición en contrario. No se considerarán días hábiles: los sábados, los domingos, el 1 de enero; el primer lunes del mes de febrero en conmemoración del 5 de febrero; el tercer lunes del mes de marzo en conmemoración del 21 de marzo; el 1 de mayo; 16 de septiembre; el tercer lunes del mes de noviembre en conmemoración del 20 de noviembre; y el 25 de diciembre, así como los días en que tengan vacaciones generales las autoridades competentes o aquéllos en que se suspendan las labores, los que se harán del conocimiento público mediante acuerdo del titular de la Dependencia, entidad o Ayuntamiento respectivo, que se publicará en el Periódico Oficial del Gobierno del Estado, en la página electrónica del Tribunal y los estrados. Los términos podrán suspenderse por causa de fuerza mayor o caso fortuito, mediante acuerdo debidamente fundado y motivado por la autoridad competente.</w:t>
      </w:r>
    </w:p>
  </w:footnote>
  <w:footnote w:id="3">
    <w:p w14:paraId="7549B6D6" w14:textId="77777777" w:rsidR="007D54F6" w:rsidRDefault="00D366D9">
      <w:pPr>
        <w:spacing w:before="240"/>
        <w:ind w:right="616"/>
        <w:jc w:val="both"/>
        <w:rPr>
          <w:rFonts w:ascii="Century Gothic" w:eastAsia="Century Gothic" w:hAnsi="Century Gothic" w:cs="Century Gothic"/>
          <w:i/>
        </w:rPr>
      </w:pPr>
      <w:r>
        <w:rPr>
          <w:vertAlign w:val="superscript"/>
        </w:rPr>
        <w:footnoteRef/>
      </w:r>
      <w:r>
        <w:t xml:space="preserve"> </w:t>
      </w:r>
      <w:r>
        <w:rPr>
          <w:rFonts w:ascii="Century Gothic" w:eastAsia="Century Gothic" w:hAnsi="Century Gothic" w:cs="Century Gothic"/>
          <w:b/>
          <w:i/>
        </w:rPr>
        <w:t>“</w:t>
      </w:r>
      <w:r>
        <w:rPr>
          <w:rFonts w:ascii="Century Gothic" w:eastAsia="Century Gothic" w:hAnsi="Century Gothic" w:cs="Century Gothic"/>
          <w:b/>
          <w:i/>
          <w:sz w:val="18"/>
          <w:szCs w:val="18"/>
        </w:rPr>
        <w:t xml:space="preserve">CONCEPTOS DE VIOLACIÓN O AGRAVIOS. PARA CUMPLIR CON LOS PRINCIPIOS DE CONGRUENCIA Y EXHAUSTIVIDAD EN LAS SENTENCIAS DE AMPARO ES INNECESARIA SU TRANSCRIPCIÓN. </w:t>
      </w:r>
      <w:r>
        <w:rPr>
          <w:rFonts w:ascii="Century Gothic" w:eastAsia="Century Gothic" w:hAnsi="Century Gothic" w:cs="Century Gothic"/>
          <w:i/>
          <w:sz w:val="18"/>
          <w:szCs w:val="18"/>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7F81DAA" w14:textId="77777777" w:rsidR="007D54F6" w:rsidRDefault="007D54F6">
      <w:pPr>
        <w:pBdr>
          <w:top w:val="nil"/>
          <w:left w:val="nil"/>
          <w:bottom w:val="nil"/>
          <w:right w:val="nil"/>
          <w:between w:val="nil"/>
        </w:pBdr>
        <w:spacing w:after="0" w:line="240" w:lineRule="auto"/>
        <w:rPr>
          <w:color w:val="000000"/>
          <w:sz w:val="20"/>
          <w:szCs w:val="20"/>
        </w:rPr>
      </w:pPr>
    </w:p>
  </w:footnote>
  <w:footnote w:id="4">
    <w:p w14:paraId="7496C837" w14:textId="77777777" w:rsidR="007D54F6" w:rsidRDefault="00D366D9">
      <w:pPr>
        <w:spacing w:before="240"/>
        <w:jc w:val="both"/>
        <w:rPr>
          <w:rFonts w:ascii="Century Gothic" w:eastAsia="Century Gothic" w:hAnsi="Century Gothic" w:cs="Century Gothic"/>
          <w:i/>
          <w:sz w:val="18"/>
          <w:szCs w:val="18"/>
        </w:rPr>
      </w:pPr>
      <w:r>
        <w:rPr>
          <w:vertAlign w:val="superscript"/>
        </w:rPr>
        <w:footnoteRef/>
      </w:r>
      <w:r>
        <w:t xml:space="preserve"> </w:t>
      </w:r>
      <w:r>
        <w:rPr>
          <w:rFonts w:ascii="Century Gothic" w:eastAsia="Century Gothic" w:hAnsi="Century Gothic" w:cs="Century Gothic"/>
          <w:b/>
          <w:i/>
          <w:sz w:val="18"/>
          <w:szCs w:val="18"/>
        </w:rPr>
        <w:t xml:space="preserve">“NULIDAD. REGLAS PARA SU DETERMINACIÓN EN EL JUICIO CONTENCIOSO ADMINISTRATIVO EN EL DISTRITO FEDERAL. </w:t>
      </w:r>
      <w:r>
        <w:rPr>
          <w:rFonts w:ascii="Century Gothic" w:eastAsia="Century Gothic" w:hAnsi="Century Gothic" w:cs="Century Gothic"/>
          <w:i/>
          <w:sz w:val="18"/>
          <w:szCs w:val="18"/>
        </w:rPr>
        <w:t>Los artículos </w:t>
      </w:r>
      <w:hyperlink r:id="rId1">
        <w:r>
          <w:rPr>
            <w:rFonts w:ascii="Century Gothic" w:eastAsia="Century Gothic" w:hAnsi="Century Gothic" w:cs="Century Gothic"/>
            <w:i/>
            <w:sz w:val="18"/>
            <w:szCs w:val="18"/>
          </w:rPr>
          <w:t>80 a 82 de la Ley del Tribunal de lo Contencioso Administrativo del Distrito Federal</w:t>
        </w:r>
      </w:hyperlink>
      <w:r>
        <w:rPr>
          <w:rFonts w:ascii="Century Gothic" w:eastAsia="Century Gothic" w:hAnsi="Century Gothic" w:cs="Century Gothic"/>
          <w:i/>
          <w:sz w:val="18"/>
          <w:szCs w:val="18"/>
        </w:rPr>
        <w:t>,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578BCE6E" w14:textId="77777777" w:rsidR="007D54F6" w:rsidRDefault="007D54F6">
      <w:pPr>
        <w:pBdr>
          <w:top w:val="nil"/>
          <w:left w:val="nil"/>
          <w:bottom w:val="nil"/>
          <w:right w:val="nil"/>
          <w:between w:val="nil"/>
        </w:pBdr>
        <w:spacing w:after="0" w:line="240" w:lineRule="auto"/>
        <w:rPr>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7779F" w14:textId="7C534D7D" w:rsidR="007D54F6" w:rsidRDefault="00D366D9">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B436C9">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3554D5B8" w14:textId="3AA3A151" w:rsidR="007D54F6" w:rsidRDefault="004828AB">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noProof/>
      </w:rPr>
      <w:drawing>
        <wp:anchor distT="0" distB="0" distL="114300" distR="114300" simplePos="0" relativeHeight="251662336" behindDoc="1" locked="0" layoutInCell="1" allowOverlap="1" wp14:anchorId="7E8004A9" wp14:editId="10B47387">
          <wp:simplePos x="0" y="0"/>
          <wp:positionH relativeFrom="column">
            <wp:posOffset>5706110</wp:posOffset>
          </wp:positionH>
          <wp:positionV relativeFrom="paragraph">
            <wp:posOffset>3584575</wp:posOffset>
          </wp:positionV>
          <wp:extent cx="1030605" cy="1256030"/>
          <wp:effectExtent l="0" t="0" r="0" b="1270"/>
          <wp:wrapNone/>
          <wp:docPr id="1335118137" name="Imagen 1335118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66845"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r w:rsidR="00D366D9">
      <w:rPr>
        <w:noProof/>
      </w:rPr>
      <w:drawing>
        <wp:anchor distT="0" distB="0" distL="0" distR="0" simplePos="0" relativeHeight="251660288" behindDoc="1" locked="0" layoutInCell="1" hidden="0" allowOverlap="1" wp14:anchorId="5B788F6A" wp14:editId="3B22CBAC">
          <wp:simplePos x="0" y="0"/>
          <wp:positionH relativeFrom="column">
            <wp:posOffset>759777</wp:posOffset>
          </wp:positionH>
          <wp:positionV relativeFrom="paragraph">
            <wp:posOffset>3046248</wp:posOffset>
          </wp:positionV>
          <wp:extent cx="3790950" cy="2609850"/>
          <wp:effectExtent l="0" t="0" r="0" b="0"/>
          <wp:wrapNone/>
          <wp:docPr id="606347371" name="Imagen 606347371"/>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t="8722" b="8590"/>
                  <a:stretch>
                    <a:fillRect/>
                  </a:stretch>
                </pic:blipFill>
                <pic:spPr>
                  <a:xfrm>
                    <a:off x="0" y="0"/>
                    <a:ext cx="3790950" cy="260985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EA357" w14:textId="43B5D0EC" w:rsidR="007D54F6" w:rsidRDefault="00D366D9">
    <w:pPr>
      <w:pBdr>
        <w:top w:val="nil"/>
        <w:left w:val="nil"/>
        <w:bottom w:val="nil"/>
        <w:right w:val="nil"/>
        <w:between w:val="nil"/>
      </w:pBdr>
      <w:tabs>
        <w:tab w:val="center" w:pos="4252"/>
        <w:tab w:val="right" w:pos="8504"/>
      </w:tabs>
      <w:spacing w:after="0" w:line="240" w:lineRule="auto"/>
      <w:ind w:left="1843"/>
      <w:jc w:val="center"/>
      <w:rPr>
        <w:b/>
        <w:color w:val="000000"/>
        <w:sz w:val="20"/>
        <w:szCs w:val="20"/>
      </w:rPr>
    </w:pPr>
    <w:r>
      <w:rPr>
        <w:b/>
        <w:color w:val="000000"/>
        <w:sz w:val="20"/>
        <w:szCs w:val="20"/>
      </w:rPr>
      <w:t>SALA SUPERIOR DEL TRIBUNAL DE JUSTICIA ADMINISTRATIVA Y COMBATE A LA CORRUPCIÓN DEL ESTADO DE OAXACA.</w:t>
    </w:r>
    <w:r>
      <w:rPr>
        <w:noProof/>
      </w:rPr>
      <w:drawing>
        <wp:anchor distT="0" distB="0" distL="114300" distR="114300" simplePos="0" relativeHeight="251658240" behindDoc="0" locked="0" layoutInCell="1" hidden="0" allowOverlap="1" wp14:anchorId="40EC4A1E" wp14:editId="43E4496C">
          <wp:simplePos x="0" y="0"/>
          <wp:positionH relativeFrom="column">
            <wp:posOffset>-525144</wp:posOffset>
          </wp:positionH>
          <wp:positionV relativeFrom="paragraph">
            <wp:posOffset>-133349</wp:posOffset>
          </wp:positionV>
          <wp:extent cx="1620353" cy="495300"/>
          <wp:effectExtent l="0" t="0" r="0" b="0"/>
          <wp:wrapNone/>
          <wp:docPr id="1540505098" name="Imagen 1540505098"/>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722" b="8590"/>
                  <a:stretch>
                    <a:fillRect/>
                  </a:stretch>
                </pic:blipFill>
                <pic:spPr>
                  <a:xfrm>
                    <a:off x="0" y="0"/>
                    <a:ext cx="1620353" cy="495300"/>
                  </a:xfrm>
                  <a:prstGeom prst="rect">
                    <a:avLst/>
                  </a:prstGeom>
                  <a:ln/>
                </pic:spPr>
              </pic:pic>
            </a:graphicData>
          </a:graphic>
        </wp:anchor>
      </w:drawing>
    </w:r>
  </w:p>
  <w:p w14:paraId="665D2382" w14:textId="5C6A76B6" w:rsidR="007D54F6" w:rsidRDefault="00D366D9">
    <w:pPr>
      <w:pBdr>
        <w:top w:val="nil"/>
        <w:left w:val="nil"/>
        <w:bottom w:val="nil"/>
        <w:right w:val="nil"/>
        <w:between w:val="nil"/>
      </w:pBdr>
      <w:tabs>
        <w:tab w:val="center" w:pos="4252"/>
        <w:tab w:val="right" w:pos="8504"/>
      </w:tabs>
      <w:spacing w:after="0" w:line="240" w:lineRule="auto"/>
      <w:ind w:left="1276"/>
      <w:jc w:val="center"/>
      <w:rPr>
        <w:b/>
        <w:color w:val="000000"/>
        <w:sz w:val="20"/>
        <w:szCs w:val="20"/>
      </w:rPr>
    </w:pPr>
    <w:r>
      <w:rPr>
        <w:b/>
        <w:color w:val="000000"/>
        <w:sz w:val="20"/>
        <w:szCs w:val="20"/>
      </w:rPr>
      <w:t>R.R. 0200/2023</w:t>
    </w:r>
  </w:p>
  <w:p w14:paraId="1E282971" w14:textId="77777777" w:rsidR="007D54F6" w:rsidRDefault="007D54F6">
    <w:pPr>
      <w:pBdr>
        <w:top w:val="nil"/>
        <w:left w:val="nil"/>
        <w:bottom w:val="nil"/>
        <w:right w:val="nil"/>
        <w:between w:val="nil"/>
      </w:pBdr>
      <w:tabs>
        <w:tab w:val="center" w:pos="4252"/>
        <w:tab w:val="right" w:pos="8504"/>
      </w:tabs>
      <w:spacing w:after="0" w:line="240" w:lineRule="auto"/>
      <w:ind w:left="1276"/>
      <w:jc w:val="center"/>
      <w:rPr>
        <w:b/>
        <w:color w:val="000000"/>
        <w:sz w:val="20"/>
        <w:szCs w:val="20"/>
      </w:rPr>
    </w:pPr>
  </w:p>
  <w:p w14:paraId="05CA8728" w14:textId="77C75778" w:rsidR="007D54F6" w:rsidRDefault="007D54F6">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p>
  <w:p w14:paraId="45AFB85D" w14:textId="311CCD32" w:rsidR="007D54F6" w:rsidRDefault="004828AB">
    <w:pPr>
      <w:pBdr>
        <w:top w:val="nil"/>
        <w:left w:val="nil"/>
        <w:bottom w:val="nil"/>
        <w:right w:val="nil"/>
        <w:between w:val="nil"/>
      </w:pBdr>
      <w:tabs>
        <w:tab w:val="center" w:pos="4252"/>
        <w:tab w:val="right" w:pos="8504"/>
        <w:tab w:val="left" w:pos="142"/>
      </w:tabs>
      <w:spacing w:after="0" w:line="240" w:lineRule="auto"/>
      <w:ind w:left="284"/>
      <w:rPr>
        <w:rFonts w:ascii="Times New Roman" w:eastAsia="Times New Roman" w:hAnsi="Times New Roman" w:cs="Times New Roman"/>
        <w:color w:val="000000"/>
        <w:sz w:val="24"/>
        <w:szCs w:val="24"/>
      </w:rPr>
    </w:pPr>
    <w:r>
      <w:rPr>
        <w:noProof/>
      </w:rPr>
      <w:drawing>
        <wp:anchor distT="0" distB="0" distL="114300" distR="114300" simplePos="0" relativeHeight="251661312" behindDoc="1" locked="0" layoutInCell="1" allowOverlap="1" wp14:anchorId="209AA496" wp14:editId="5E5A809A">
          <wp:simplePos x="0" y="0"/>
          <wp:positionH relativeFrom="column">
            <wp:posOffset>-1349375</wp:posOffset>
          </wp:positionH>
          <wp:positionV relativeFrom="paragraph">
            <wp:posOffset>3441700</wp:posOffset>
          </wp:positionV>
          <wp:extent cx="1030605" cy="1256030"/>
          <wp:effectExtent l="0" t="0" r="0" b="1270"/>
          <wp:wrapNone/>
          <wp:docPr id="5961668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66845"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C6FCE" w14:textId="2C666AFF" w:rsidR="007D54F6" w:rsidRDefault="00D366D9">
    <w:pPr>
      <w:pBdr>
        <w:top w:val="nil"/>
        <w:left w:val="nil"/>
        <w:bottom w:val="nil"/>
        <w:right w:val="nil"/>
        <w:between w:val="nil"/>
      </w:pBdr>
      <w:tabs>
        <w:tab w:val="center" w:pos="4252"/>
        <w:tab w:val="right" w:pos="8504"/>
      </w:tabs>
      <w:spacing w:after="0" w:line="240" w:lineRule="auto"/>
      <w:ind w:left="1276"/>
      <w:jc w:val="center"/>
      <w:rPr>
        <w:b/>
        <w:color w:val="000000"/>
        <w:sz w:val="20"/>
        <w:szCs w:val="20"/>
      </w:rPr>
    </w:pPr>
    <w:r>
      <w:rPr>
        <w:b/>
        <w:color w:val="000000"/>
        <w:sz w:val="20"/>
        <w:szCs w:val="20"/>
      </w:rPr>
      <w:t xml:space="preserve">SALA SUPERIOR DEL TRIBUNAL DE JUSTICIA ADMINISTRATIVA Y COMBATE A LA CORRUPCIÓN DEL ESTADO DE OAXACA </w:t>
    </w:r>
    <w:r>
      <w:rPr>
        <w:noProof/>
      </w:rPr>
      <w:drawing>
        <wp:anchor distT="0" distB="0" distL="114300" distR="114300" simplePos="0" relativeHeight="251659264" behindDoc="0" locked="0" layoutInCell="1" hidden="0" allowOverlap="1" wp14:anchorId="27E19CFC" wp14:editId="155046D7">
          <wp:simplePos x="0" y="0"/>
          <wp:positionH relativeFrom="column">
            <wp:posOffset>-723899</wp:posOffset>
          </wp:positionH>
          <wp:positionV relativeFrom="paragraph">
            <wp:posOffset>-28574</wp:posOffset>
          </wp:positionV>
          <wp:extent cx="1620353" cy="495300"/>
          <wp:effectExtent l="0" t="0" r="0" b="0"/>
          <wp:wrapNone/>
          <wp:docPr id="1649126122" name="Imagen 1649126122"/>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722" b="8590"/>
                  <a:stretch>
                    <a:fillRect/>
                  </a:stretch>
                </pic:blipFill>
                <pic:spPr>
                  <a:xfrm>
                    <a:off x="0" y="0"/>
                    <a:ext cx="1620353" cy="495300"/>
                  </a:xfrm>
                  <a:prstGeom prst="rect">
                    <a:avLst/>
                  </a:prstGeom>
                  <a:ln/>
                </pic:spPr>
              </pic:pic>
            </a:graphicData>
          </a:graphic>
        </wp:anchor>
      </w:drawing>
    </w:r>
  </w:p>
  <w:p w14:paraId="5DCA121E" w14:textId="36052416" w:rsidR="007D54F6" w:rsidRDefault="007D54F6">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C5D34"/>
    <w:multiLevelType w:val="multilevel"/>
    <w:tmpl w:val="A28AF554"/>
    <w:lvl w:ilvl="0">
      <w:start w:val="1"/>
      <w:numFmt w:val="lowerLetter"/>
      <w:lvlText w:val="%1)"/>
      <w:lvlJc w:val="left"/>
      <w:pPr>
        <w:ind w:left="1428" w:hanging="360"/>
      </w:pPr>
      <w:rPr>
        <w:b/>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 w15:restartNumberingAfterBreak="0">
    <w:nsid w:val="583823A8"/>
    <w:multiLevelType w:val="multilevel"/>
    <w:tmpl w:val="33B2C2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96871639">
    <w:abstractNumId w:val="1"/>
  </w:num>
  <w:num w:numId="2" w16cid:durableId="1674718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4F6"/>
    <w:rsid w:val="00007845"/>
    <w:rsid w:val="000472C8"/>
    <w:rsid w:val="001075CC"/>
    <w:rsid w:val="00133DD6"/>
    <w:rsid w:val="0016395C"/>
    <w:rsid w:val="00252AA0"/>
    <w:rsid w:val="002923D9"/>
    <w:rsid w:val="002C4E8E"/>
    <w:rsid w:val="002C54D2"/>
    <w:rsid w:val="00393F78"/>
    <w:rsid w:val="003D10B6"/>
    <w:rsid w:val="0044099E"/>
    <w:rsid w:val="004828AB"/>
    <w:rsid w:val="004E1ABD"/>
    <w:rsid w:val="0052099F"/>
    <w:rsid w:val="00545C9F"/>
    <w:rsid w:val="005769F0"/>
    <w:rsid w:val="00766C15"/>
    <w:rsid w:val="007D54F6"/>
    <w:rsid w:val="008222C9"/>
    <w:rsid w:val="00827B2F"/>
    <w:rsid w:val="008E2E68"/>
    <w:rsid w:val="00B436C9"/>
    <w:rsid w:val="00BB064C"/>
    <w:rsid w:val="00BB4AA3"/>
    <w:rsid w:val="00BB5A85"/>
    <w:rsid w:val="00CB1DD4"/>
    <w:rsid w:val="00D366D9"/>
    <w:rsid w:val="00E5354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7F607"/>
  <w15:docId w15:val="{78FD9CFD-9A9F-4DA3-8F10-8E70705C5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CED"/>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dNo34MO9P4KBUfBqk7NZ/KzecQ==">CgMxLjAyCGguZ2pkZ3hzMgloLjMwajB6bGwyCWguMWZvYjl0ZTgAciExNDM1ZEU0ZmRQd1MwWjJqaXduZTdvcnUxSlZjNXFNcnY=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14</Pages>
  <Words>4902</Words>
  <Characters>26967</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tjao_personal</cp:lastModifiedBy>
  <cp:revision>22</cp:revision>
  <cp:lastPrinted>2023-09-21T21:41:00Z</cp:lastPrinted>
  <dcterms:created xsi:type="dcterms:W3CDTF">2023-09-21T16:34:00Z</dcterms:created>
  <dcterms:modified xsi:type="dcterms:W3CDTF">2023-10-26T20:15:00Z</dcterms:modified>
</cp:coreProperties>
</file>