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1BCADF" w14:textId="77777777" w:rsidR="0012730E" w:rsidRDefault="006B2D01">
      <w:pPr>
        <w:ind w:left="2552"/>
        <w:rPr>
          <w:rFonts w:ascii="Arial" w:eastAsia="Arial" w:hAnsi="Arial" w:cs="Arial"/>
          <w:b/>
          <w:sz w:val="26"/>
          <w:szCs w:val="26"/>
        </w:rPr>
      </w:pPr>
      <w:bookmarkStart w:id="0" w:name="_heading=h.gjdgxs" w:colFirst="0" w:colLast="0"/>
      <w:bookmarkEnd w:id="0"/>
      <w:r>
        <w:rPr>
          <w:rFonts w:ascii="Arial" w:eastAsia="Arial" w:hAnsi="Arial" w:cs="Arial"/>
          <w:b/>
          <w:sz w:val="26"/>
          <w:szCs w:val="26"/>
        </w:rPr>
        <w:t>TRIBUNAL DE JUSTICIA ADMINISTRATIVA Y COMBATE A LA CORRUPCIÓN DEL ESTADO DE OAXACA.</w:t>
      </w:r>
    </w:p>
    <w:p w14:paraId="0042C3ED" w14:textId="77777777" w:rsidR="0012730E" w:rsidRDefault="006B2D01">
      <w:pPr>
        <w:spacing w:line="240" w:lineRule="auto"/>
        <w:ind w:left="2552" w:right="51"/>
        <w:jc w:val="both"/>
        <w:rPr>
          <w:rFonts w:ascii="Arial" w:eastAsia="Arial" w:hAnsi="Arial" w:cs="Arial"/>
          <w:b/>
          <w:sz w:val="26"/>
          <w:szCs w:val="26"/>
        </w:rPr>
      </w:pPr>
      <w:r>
        <w:rPr>
          <w:rFonts w:ascii="Arial" w:eastAsia="Arial" w:hAnsi="Arial" w:cs="Arial"/>
          <w:b/>
          <w:sz w:val="26"/>
          <w:szCs w:val="26"/>
        </w:rPr>
        <w:t>SALA SUPERIOR</w:t>
      </w:r>
    </w:p>
    <w:p w14:paraId="1C6318C4" w14:textId="77777777" w:rsidR="0012730E" w:rsidRDefault="006B2D01">
      <w:pPr>
        <w:spacing w:line="240" w:lineRule="auto"/>
        <w:ind w:left="2552" w:right="51"/>
        <w:jc w:val="both"/>
        <w:rPr>
          <w:rFonts w:ascii="Arial" w:eastAsia="Arial" w:hAnsi="Arial" w:cs="Arial"/>
          <w:sz w:val="26"/>
          <w:szCs w:val="26"/>
        </w:rPr>
      </w:pPr>
      <w:r>
        <w:rPr>
          <w:rFonts w:ascii="Arial" w:eastAsia="Arial" w:hAnsi="Arial" w:cs="Arial"/>
          <w:b/>
          <w:sz w:val="26"/>
          <w:szCs w:val="26"/>
        </w:rPr>
        <w:t xml:space="preserve">RECURSO DE REVISIÓN: </w:t>
      </w:r>
      <w:r>
        <w:rPr>
          <w:rFonts w:ascii="Arial" w:eastAsia="Arial" w:hAnsi="Arial" w:cs="Arial"/>
          <w:sz w:val="26"/>
          <w:szCs w:val="26"/>
        </w:rPr>
        <w:t xml:space="preserve">0222/2023 </w:t>
      </w:r>
    </w:p>
    <w:p w14:paraId="20B9DD7D" w14:textId="0FA6397F" w:rsidR="0012730E" w:rsidRDefault="006B2D01">
      <w:pPr>
        <w:spacing w:line="240" w:lineRule="auto"/>
        <w:ind w:left="2552" w:right="51"/>
        <w:jc w:val="both"/>
        <w:rPr>
          <w:rFonts w:ascii="Arial" w:eastAsia="Arial" w:hAnsi="Arial" w:cs="Arial"/>
          <w:sz w:val="26"/>
          <w:szCs w:val="26"/>
        </w:rPr>
      </w:pPr>
      <w:r>
        <w:rPr>
          <w:rFonts w:ascii="Arial" w:eastAsia="Arial" w:hAnsi="Arial" w:cs="Arial"/>
          <w:b/>
          <w:sz w:val="26"/>
          <w:szCs w:val="26"/>
        </w:rPr>
        <w:t>EXPEDIENTE:</w:t>
      </w:r>
      <w:r>
        <w:rPr>
          <w:rFonts w:ascii="Arial" w:eastAsia="Arial" w:hAnsi="Arial" w:cs="Arial"/>
          <w:sz w:val="26"/>
          <w:szCs w:val="26"/>
        </w:rPr>
        <w:t xml:space="preserve"> 0071/2022 PRIMERA SALA UNITARIA</w:t>
      </w:r>
      <w:r w:rsidR="008A2F1B">
        <w:rPr>
          <w:rFonts w:ascii="Arial" w:eastAsia="Arial" w:hAnsi="Arial" w:cs="Arial"/>
          <w:sz w:val="26"/>
          <w:szCs w:val="26"/>
        </w:rPr>
        <w:t xml:space="preserve"> </w:t>
      </w:r>
      <w:r w:rsidR="008A2F1B" w:rsidRPr="006B2D01">
        <w:rPr>
          <w:rFonts w:ascii="Arial" w:eastAsia="Times New Roman" w:hAnsi="Arial" w:cs="Arial"/>
          <w:bCs/>
          <w:sz w:val="26"/>
          <w:szCs w:val="26"/>
          <w:lang w:val="es-ES_tradnl" w:eastAsia="es-ES"/>
        </w:rPr>
        <w:t xml:space="preserve">Y ESPECIALIZADA EN CONTROVERSIAS ENTRE </w:t>
      </w:r>
      <w:r w:rsidRPr="006B2D01">
        <w:rPr>
          <w:rFonts w:ascii="Arial" w:eastAsia="Times New Roman" w:hAnsi="Arial" w:cs="Arial"/>
          <w:bCs/>
          <w:sz w:val="26"/>
          <w:szCs w:val="26"/>
          <w:lang w:val="es-ES_tradnl" w:eastAsia="es-ES"/>
        </w:rPr>
        <w:t xml:space="preserve">LOS </w:t>
      </w:r>
      <w:r w:rsidR="008A2F1B" w:rsidRPr="006B2D01">
        <w:rPr>
          <w:rFonts w:ascii="Arial" w:eastAsia="Times New Roman" w:hAnsi="Arial" w:cs="Arial"/>
          <w:bCs/>
          <w:sz w:val="26"/>
          <w:szCs w:val="26"/>
          <w:lang w:val="es-ES_tradnl" w:eastAsia="es-ES"/>
        </w:rPr>
        <w:t>MUNICIPIOS</w:t>
      </w:r>
      <w:r w:rsidRPr="006B2D01">
        <w:rPr>
          <w:rFonts w:ascii="Arial" w:eastAsia="Times New Roman" w:hAnsi="Arial" w:cs="Arial"/>
          <w:bCs/>
          <w:sz w:val="26"/>
          <w:szCs w:val="26"/>
          <w:lang w:val="es-ES_tradnl" w:eastAsia="es-ES"/>
        </w:rPr>
        <w:t xml:space="preserve">, </w:t>
      </w:r>
      <w:r w:rsidR="008A2F1B" w:rsidRPr="006B2D01">
        <w:rPr>
          <w:rFonts w:ascii="Arial" w:eastAsia="Times New Roman" w:hAnsi="Arial" w:cs="Arial"/>
          <w:bCs/>
          <w:sz w:val="26"/>
          <w:szCs w:val="26"/>
          <w:lang w:val="es-ES_tradnl" w:eastAsia="es-ES"/>
        </w:rPr>
        <w:t>SUS AGENCIAS</w:t>
      </w:r>
    </w:p>
    <w:p w14:paraId="1572D4D0" w14:textId="771533BF" w:rsidR="0012730E" w:rsidRDefault="006B2D01">
      <w:pPr>
        <w:spacing w:line="240" w:lineRule="auto"/>
        <w:ind w:left="2552" w:right="51"/>
        <w:jc w:val="both"/>
        <w:rPr>
          <w:rFonts w:ascii="Arial" w:eastAsia="Arial" w:hAnsi="Arial" w:cs="Arial"/>
          <w:b/>
          <w:sz w:val="26"/>
          <w:szCs w:val="26"/>
        </w:rPr>
      </w:pPr>
      <w:r>
        <w:rPr>
          <w:rFonts w:ascii="Arial" w:eastAsia="Arial" w:hAnsi="Arial" w:cs="Arial"/>
          <w:b/>
          <w:sz w:val="26"/>
          <w:szCs w:val="26"/>
        </w:rPr>
        <w:t>ACTOR:</w:t>
      </w:r>
      <w:r>
        <w:rPr>
          <w:rFonts w:ascii="Arial" w:eastAsia="Arial" w:hAnsi="Arial" w:cs="Arial"/>
          <w:sz w:val="26"/>
          <w:szCs w:val="26"/>
        </w:rPr>
        <w:t xml:space="preserve"> </w:t>
      </w:r>
      <w:r w:rsidR="00A14602">
        <w:rPr>
          <w:rFonts w:ascii="Arial" w:eastAsia="Arial" w:hAnsi="Arial" w:cs="Arial"/>
          <w:sz w:val="26"/>
          <w:szCs w:val="26"/>
        </w:rPr>
        <w:t>**********</w:t>
      </w:r>
    </w:p>
    <w:p w14:paraId="715ADF37" w14:textId="77777777" w:rsidR="0012730E" w:rsidRDefault="006B2D01">
      <w:pPr>
        <w:spacing w:line="240" w:lineRule="auto"/>
        <w:ind w:left="2552" w:right="51"/>
        <w:jc w:val="both"/>
        <w:rPr>
          <w:rFonts w:ascii="Arial" w:eastAsia="Arial" w:hAnsi="Arial" w:cs="Arial"/>
          <w:sz w:val="26"/>
          <w:szCs w:val="26"/>
        </w:rPr>
      </w:pPr>
      <w:r>
        <w:rPr>
          <w:rFonts w:ascii="Arial" w:eastAsia="Arial" w:hAnsi="Arial" w:cs="Arial"/>
          <w:b/>
          <w:sz w:val="26"/>
          <w:szCs w:val="26"/>
        </w:rPr>
        <w:t xml:space="preserve">AUTORIDAD DEMANDADA: </w:t>
      </w:r>
      <w:r>
        <w:rPr>
          <w:rFonts w:ascii="Arial" w:eastAsia="Arial" w:hAnsi="Arial" w:cs="Arial"/>
          <w:sz w:val="26"/>
          <w:szCs w:val="26"/>
        </w:rPr>
        <w:t>PEDRO FERNÁNDEZ LÓPEZ SUBOFICIAL NUMERO ESTADÍSTICO 32 ADSCRITO A LA DIRECCIÓN DE MOVILIDAD DEL MUNICIPIO DE OAXACA DE JUÁREZ, OAXACA</w:t>
      </w:r>
    </w:p>
    <w:p w14:paraId="46322EE6" w14:textId="77777777" w:rsidR="0012730E" w:rsidRDefault="006B2D01">
      <w:pPr>
        <w:spacing w:line="240" w:lineRule="auto"/>
        <w:ind w:left="2552" w:right="51"/>
        <w:jc w:val="both"/>
        <w:rPr>
          <w:rFonts w:ascii="Arial" w:eastAsia="Arial" w:hAnsi="Arial" w:cs="Arial"/>
          <w:sz w:val="26"/>
          <w:szCs w:val="26"/>
        </w:rPr>
      </w:pPr>
      <w:bookmarkStart w:id="1" w:name="_heading=h.30j0zll" w:colFirst="0" w:colLast="0"/>
      <w:bookmarkEnd w:id="1"/>
      <w:r>
        <w:rPr>
          <w:rFonts w:ascii="Arial" w:eastAsia="Arial" w:hAnsi="Arial" w:cs="Arial"/>
          <w:b/>
          <w:sz w:val="26"/>
          <w:szCs w:val="26"/>
        </w:rPr>
        <w:t>PONENTE:</w:t>
      </w:r>
      <w:r>
        <w:rPr>
          <w:rFonts w:ascii="Arial" w:eastAsia="Arial" w:hAnsi="Arial" w:cs="Arial"/>
          <w:sz w:val="26"/>
          <w:szCs w:val="26"/>
        </w:rPr>
        <w:t xml:space="preserve"> MAGISTRADO MANUEL DE JESÚS LÓPEZ </w:t>
      </w:r>
      <w:proofErr w:type="spellStart"/>
      <w:r>
        <w:rPr>
          <w:rFonts w:ascii="Arial" w:eastAsia="Arial" w:hAnsi="Arial" w:cs="Arial"/>
          <w:sz w:val="26"/>
          <w:szCs w:val="26"/>
        </w:rPr>
        <w:t>LÓPEZ</w:t>
      </w:r>
      <w:proofErr w:type="spellEnd"/>
    </w:p>
    <w:p w14:paraId="0E3E1961" w14:textId="77777777" w:rsidR="0012730E" w:rsidRDefault="0012730E">
      <w:pPr>
        <w:spacing w:line="240" w:lineRule="auto"/>
        <w:ind w:left="2835" w:right="51"/>
        <w:jc w:val="both"/>
        <w:rPr>
          <w:rFonts w:ascii="Arial" w:eastAsia="Arial" w:hAnsi="Arial" w:cs="Arial"/>
          <w:sz w:val="26"/>
          <w:szCs w:val="26"/>
        </w:rPr>
      </w:pPr>
    </w:p>
    <w:p w14:paraId="7F606052" w14:textId="4784AFD9" w:rsidR="0012730E" w:rsidRDefault="006B2D01">
      <w:pPr>
        <w:spacing w:before="240" w:line="360" w:lineRule="auto"/>
        <w:jc w:val="both"/>
        <w:rPr>
          <w:rFonts w:ascii="Arial" w:eastAsia="Arial" w:hAnsi="Arial" w:cs="Arial"/>
          <w:b/>
          <w:sz w:val="26"/>
          <w:szCs w:val="26"/>
        </w:rPr>
      </w:pPr>
      <w:r>
        <w:rPr>
          <w:rFonts w:ascii="Arial" w:eastAsia="Arial" w:hAnsi="Arial" w:cs="Arial"/>
          <w:b/>
          <w:sz w:val="26"/>
          <w:szCs w:val="26"/>
        </w:rPr>
        <w:t xml:space="preserve">OAXACA DE JUÁREZ, OAXACA, A </w:t>
      </w:r>
      <w:r w:rsidR="00420C1E">
        <w:rPr>
          <w:rFonts w:ascii="Arial" w:eastAsia="Arial" w:hAnsi="Arial" w:cs="Arial"/>
          <w:b/>
          <w:sz w:val="26"/>
          <w:szCs w:val="26"/>
        </w:rPr>
        <w:t>TRECE</w:t>
      </w:r>
      <w:r>
        <w:rPr>
          <w:rFonts w:ascii="Arial" w:eastAsia="Arial" w:hAnsi="Arial" w:cs="Arial"/>
          <w:b/>
          <w:sz w:val="26"/>
          <w:szCs w:val="26"/>
        </w:rPr>
        <w:t xml:space="preserve"> DE SEPTIEMBRE DE DOS MIL VEINTITRÉS. - - - - - - - - - - - - - - - - - - - - - - - - - - - - - - - - - - - - - - - - - - - - - </w:t>
      </w:r>
    </w:p>
    <w:p w14:paraId="2F5C31EF" w14:textId="2CF82BC4" w:rsidR="0012730E" w:rsidRPr="008A2F1B" w:rsidRDefault="006B2D01" w:rsidP="008A2F1B">
      <w:pPr>
        <w:spacing w:before="240" w:line="360" w:lineRule="auto"/>
        <w:ind w:firstLine="708"/>
        <w:jc w:val="both"/>
        <w:rPr>
          <w:rFonts w:ascii="Arial" w:eastAsia="Arial" w:hAnsi="Arial" w:cs="Arial"/>
          <w:sz w:val="26"/>
          <w:szCs w:val="26"/>
        </w:rPr>
      </w:pPr>
      <w:bookmarkStart w:id="2" w:name="_heading=h.1fob9te" w:colFirst="0" w:colLast="0"/>
      <w:bookmarkEnd w:id="2"/>
      <w:r>
        <w:rPr>
          <w:rFonts w:ascii="Arial" w:eastAsia="Arial" w:hAnsi="Arial" w:cs="Arial"/>
          <w:sz w:val="26"/>
          <w:szCs w:val="26"/>
        </w:rPr>
        <w:t xml:space="preserve">Se tiene por recibido el cuaderno de recurso de revisión </w:t>
      </w:r>
      <w:r>
        <w:rPr>
          <w:rFonts w:ascii="Arial" w:eastAsia="Arial" w:hAnsi="Arial" w:cs="Arial"/>
          <w:b/>
          <w:sz w:val="26"/>
          <w:szCs w:val="26"/>
        </w:rPr>
        <w:t>0222/2023</w:t>
      </w:r>
      <w:r>
        <w:rPr>
          <w:rFonts w:ascii="Arial" w:eastAsia="Arial" w:hAnsi="Arial" w:cs="Arial"/>
          <w:sz w:val="26"/>
          <w:szCs w:val="26"/>
        </w:rPr>
        <w:t xml:space="preserve"> turnado por la Secretaría General de Acuerdos, con motivo del recurso de revisión interpuesto por </w:t>
      </w:r>
      <w:r>
        <w:rPr>
          <w:rFonts w:ascii="Arial" w:eastAsia="Arial" w:hAnsi="Arial" w:cs="Arial"/>
          <w:b/>
          <w:sz w:val="26"/>
          <w:szCs w:val="26"/>
        </w:rPr>
        <w:t xml:space="preserve">PEDRO FERNÁNDEZ LÓPEZ, SUBOFICIAL con número estadístico 032, adscrito a la Dirección de Movilidad del Municipio de Oaxaca de Juárez, Oaxaca,  </w:t>
      </w:r>
      <w:r>
        <w:rPr>
          <w:rFonts w:ascii="Arial" w:eastAsia="Arial" w:hAnsi="Arial" w:cs="Arial"/>
          <w:sz w:val="26"/>
          <w:szCs w:val="26"/>
        </w:rPr>
        <w:t xml:space="preserve">en contra de la sentencia de diez de marzo de dos mil veintitrés dictada en el expediente </w:t>
      </w:r>
      <w:r>
        <w:rPr>
          <w:rFonts w:ascii="Arial" w:eastAsia="Arial" w:hAnsi="Arial" w:cs="Arial"/>
          <w:b/>
          <w:sz w:val="26"/>
          <w:szCs w:val="26"/>
        </w:rPr>
        <w:t xml:space="preserve">71/2022 </w:t>
      </w:r>
      <w:r>
        <w:rPr>
          <w:rFonts w:ascii="Arial" w:eastAsia="Arial" w:hAnsi="Arial" w:cs="Arial"/>
          <w:sz w:val="26"/>
          <w:szCs w:val="26"/>
        </w:rPr>
        <w:t>del índice de la Primera Sala Unitari</w:t>
      </w:r>
      <w:r w:rsidR="008A2F1B">
        <w:rPr>
          <w:rFonts w:ascii="Arial" w:eastAsia="Arial" w:hAnsi="Arial" w:cs="Arial"/>
          <w:sz w:val="26"/>
          <w:szCs w:val="26"/>
        </w:rPr>
        <w:t xml:space="preserve">a </w:t>
      </w:r>
      <w:r w:rsidR="008A2F1B" w:rsidRPr="006B2D01">
        <w:rPr>
          <w:rFonts w:ascii="Arial" w:eastAsia="Times New Roman" w:hAnsi="Arial" w:cs="Arial"/>
          <w:bCs/>
          <w:sz w:val="26"/>
          <w:szCs w:val="26"/>
          <w:lang w:val="es-ES_tradnl" w:eastAsia="es-ES"/>
        </w:rPr>
        <w:t xml:space="preserve">y Especializada en Controversias entre </w:t>
      </w:r>
      <w:r>
        <w:rPr>
          <w:rFonts w:ascii="Arial" w:eastAsia="Times New Roman" w:hAnsi="Arial" w:cs="Arial"/>
          <w:bCs/>
          <w:sz w:val="26"/>
          <w:szCs w:val="26"/>
          <w:lang w:val="es-ES_tradnl" w:eastAsia="es-ES"/>
        </w:rPr>
        <w:t xml:space="preserve">los </w:t>
      </w:r>
      <w:r w:rsidR="008A2F1B" w:rsidRPr="006B2D01">
        <w:rPr>
          <w:rFonts w:ascii="Arial" w:eastAsia="Times New Roman" w:hAnsi="Arial" w:cs="Arial"/>
          <w:bCs/>
          <w:sz w:val="26"/>
          <w:szCs w:val="26"/>
          <w:lang w:val="es-ES_tradnl" w:eastAsia="es-ES"/>
        </w:rPr>
        <w:t>Municipios</w:t>
      </w:r>
      <w:r w:rsidRPr="006B2D01">
        <w:rPr>
          <w:rFonts w:ascii="Arial" w:eastAsia="Times New Roman" w:hAnsi="Arial" w:cs="Arial"/>
          <w:bCs/>
          <w:sz w:val="26"/>
          <w:szCs w:val="26"/>
          <w:lang w:val="es-ES_tradnl" w:eastAsia="es-ES"/>
        </w:rPr>
        <w:t xml:space="preserve">, </w:t>
      </w:r>
      <w:r w:rsidR="008A2F1B" w:rsidRPr="006B2D01">
        <w:rPr>
          <w:rFonts w:ascii="Arial" w:eastAsia="Times New Roman" w:hAnsi="Arial" w:cs="Arial"/>
          <w:bCs/>
          <w:sz w:val="26"/>
          <w:szCs w:val="26"/>
          <w:lang w:val="es-ES_tradnl" w:eastAsia="es-ES"/>
        </w:rPr>
        <w:t>sus Agencias,</w:t>
      </w:r>
      <w:r w:rsidR="008A2F1B">
        <w:rPr>
          <w:rFonts w:ascii="Arial" w:eastAsia="Times New Roman" w:hAnsi="Arial" w:cs="Arial"/>
          <w:bCs/>
          <w:sz w:val="26"/>
          <w:szCs w:val="26"/>
          <w:lang w:val="es-ES_tradnl" w:eastAsia="es-ES"/>
        </w:rPr>
        <w:t xml:space="preserve"> </w:t>
      </w:r>
      <w:r>
        <w:rPr>
          <w:rFonts w:ascii="Arial" w:eastAsia="Arial" w:hAnsi="Arial" w:cs="Arial"/>
          <w:sz w:val="26"/>
          <w:szCs w:val="26"/>
        </w:rPr>
        <w:t xml:space="preserve">relativo al juicio de nulidad promovido por </w:t>
      </w:r>
      <w:r w:rsidR="00A14602">
        <w:rPr>
          <w:rFonts w:ascii="Arial" w:eastAsia="Arial" w:hAnsi="Arial" w:cs="Arial"/>
          <w:b/>
          <w:sz w:val="26"/>
          <w:szCs w:val="26"/>
        </w:rPr>
        <w:t xml:space="preserve">********** </w:t>
      </w:r>
      <w:r>
        <w:rPr>
          <w:rFonts w:ascii="Arial" w:eastAsia="Arial" w:hAnsi="Arial" w:cs="Arial"/>
          <w:sz w:val="26"/>
          <w:szCs w:val="26"/>
        </w:rPr>
        <w:t xml:space="preserve">en su contra; </w:t>
      </w:r>
      <w:r>
        <w:rPr>
          <w:rFonts w:ascii="Arial" w:eastAsia="Arial" w:hAnsi="Arial" w:cs="Arial"/>
          <w:sz w:val="26"/>
          <w:szCs w:val="26"/>
          <w:highlight w:val="white"/>
        </w:rPr>
        <w:t>con</w:t>
      </w:r>
      <w:r>
        <w:rPr>
          <w:rFonts w:ascii="Arial" w:eastAsia="Arial" w:hAnsi="Arial" w:cs="Arial"/>
          <w:sz w:val="26"/>
          <w:szCs w:val="26"/>
        </w:rPr>
        <w:t xml:space="preserve"> fundamento en los artículos 1°, 147 primer párrafo 236 y 238 de la Ley de Procedimiento y Justicia Administrativa para el Estado de Oaxaca y 24 fracciones I y III de la Ley Orgánica del Tribunal de Justicia Administrativa, se da trámite, por consiguiente, se procede a dictar resolución en los siguientes términos: - - - -</w:t>
      </w:r>
    </w:p>
    <w:p w14:paraId="7EF4794F" w14:textId="77777777" w:rsidR="0012730E" w:rsidRDefault="006B2D01">
      <w:pPr>
        <w:spacing w:line="360" w:lineRule="auto"/>
        <w:jc w:val="center"/>
        <w:rPr>
          <w:rFonts w:ascii="Arial" w:eastAsia="Arial" w:hAnsi="Arial" w:cs="Arial"/>
          <w:b/>
          <w:sz w:val="26"/>
          <w:szCs w:val="26"/>
        </w:rPr>
      </w:pPr>
      <w:r>
        <w:rPr>
          <w:rFonts w:ascii="Arial" w:eastAsia="Arial" w:hAnsi="Arial" w:cs="Arial"/>
          <w:b/>
          <w:sz w:val="26"/>
          <w:szCs w:val="26"/>
        </w:rPr>
        <w:t>R E S U L T A N D O</w:t>
      </w:r>
    </w:p>
    <w:p w14:paraId="03DEC397" w14:textId="77777777" w:rsidR="0012730E" w:rsidRDefault="006B2D01">
      <w:pPr>
        <w:spacing w:line="360" w:lineRule="auto"/>
        <w:ind w:firstLine="567"/>
        <w:jc w:val="both"/>
        <w:rPr>
          <w:rFonts w:ascii="Arial" w:eastAsia="Arial" w:hAnsi="Arial" w:cs="Arial"/>
          <w:b/>
          <w:sz w:val="26"/>
          <w:szCs w:val="26"/>
        </w:rPr>
      </w:pPr>
      <w:r>
        <w:rPr>
          <w:rFonts w:ascii="Arial" w:eastAsia="Arial" w:hAnsi="Arial" w:cs="Arial"/>
          <w:b/>
          <w:sz w:val="26"/>
          <w:szCs w:val="26"/>
        </w:rPr>
        <w:t>PRIMERO. RECURSO DE REVISIÓN.</w:t>
      </w:r>
    </w:p>
    <w:p w14:paraId="301D4662" w14:textId="0DDE2BBF" w:rsidR="0012730E" w:rsidRDefault="006B2D01" w:rsidP="00A07085">
      <w:pPr>
        <w:numPr>
          <w:ilvl w:val="0"/>
          <w:numId w:val="1"/>
        </w:numPr>
        <w:pBdr>
          <w:top w:val="nil"/>
          <w:left w:val="nil"/>
          <w:bottom w:val="nil"/>
          <w:right w:val="nil"/>
          <w:between w:val="nil"/>
        </w:pBdr>
        <w:spacing w:after="0" w:line="360" w:lineRule="auto"/>
        <w:ind w:left="0" w:firstLine="567"/>
        <w:jc w:val="both"/>
        <w:rPr>
          <w:rFonts w:ascii="Arial" w:eastAsia="Arial" w:hAnsi="Arial" w:cs="Arial"/>
          <w:color w:val="000000"/>
          <w:sz w:val="26"/>
          <w:szCs w:val="26"/>
        </w:rPr>
      </w:pPr>
      <w:r>
        <w:rPr>
          <w:rFonts w:ascii="Arial" w:eastAsia="Arial" w:hAnsi="Arial" w:cs="Arial"/>
          <w:color w:val="000000"/>
          <w:sz w:val="26"/>
          <w:szCs w:val="26"/>
        </w:rPr>
        <w:t xml:space="preserve">Por escrito presentado el treinta de marzo de dos mil veintitrés, en la Oficialía de Partes de este Tribunal de Justicia Administrativa y Combate a la Corrupción del Estado de Oaxaca, con residencia en esta ciudad, por su </w:t>
      </w:r>
      <w:r>
        <w:rPr>
          <w:rFonts w:ascii="Arial" w:eastAsia="Arial" w:hAnsi="Arial" w:cs="Arial"/>
          <w:color w:val="000000"/>
          <w:sz w:val="26"/>
          <w:szCs w:val="26"/>
        </w:rPr>
        <w:lastRenderedPageBreak/>
        <w:t xml:space="preserve">propio derecho </w:t>
      </w:r>
      <w:r>
        <w:rPr>
          <w:rFonts w:ascii="Arial" w:eastAsia="Arial" w:hAnsi="Arial" w:cs="Arial"/>
          <w:b/>
          <w:color w:val="000000"/>
          <w:sz w:val="26"/>
          <w:szCs w:val="26"/>
        </w:rPr>
        <w:t>PEDRO FERNÁNDEZ LÓPEZ, SUBOFICIAL con número estadístico 032, adscrito a la Dirección de Movilidad del Municipio de Oaxaca de Juárez, Oaxaca</w:t>
      </w:r>
      <w:r>
        <w:rPr>
          <w:rFonts w:ascii="Arial" w:eastAsia="Arial" w:hAnsi="Arial" w:cs="Arial"/>
          <w:color w:val="000000"/>
          <w:sz w:val="26"/>
          <w:szCs w:val="26"/>
        </w:rPr>
        <w:t xml:space="preserve">, interpuso recurso de revisión, en contra de la sentencia de diez de marzo de dos mil veintitrés, dictada por la Primera Sala Unitaria de este Tribunal, ahora Primera Sala Unitaria Especializada en Controversias entre los Municipios y sus Agencias de este Tribunal. - - - - - - </w:t>
      </w:r>
    </w:p>
    <w:p w14:paraId="1801AEAD" w14:textId="77777777" w:rsidR="00A07085" w:rsidRPr="00A07085" w:rsidRDefault="00A07085" w:rsidP="00A07085">
      <w:pPr>
        <w:pBdr>
          <w:top w:val="nil"/>
          <w:left w:val="nil"/>
          <w:bottom w:val="nil"/>
          <w:right w:val="nil"/>
          <w:between w:val="nil"/>
        </w:pBdr>
        <w:spacing w:after="0" w:line="360" w:lineRule="auto"/>
        <w:ind w:left="567"/>
        <w:jc w:val="both"/>
        <w:rPr>
          <w:rFonts w:ascii="Arial" w:eastAsia="Arial" w:hAnsi="Arial" w:cs="Arial"/>
          <w:color w:val="000000"/>
          <w:sz w:val="26"/>
          <w:szCs w:val="26"/>
        </w:rPr>
      </w:pPr>
    </w:p>
    <w:p w14:paraId="6E21E89A" w14:textId="264E216B" w:rsidR="0012730E" w:rsidRDefault="006B2D01">
      <w:pPr>
        <w:spacing w:after="0" w:line="360" w:lineRule="auto"/>
        <w:ind w:firstLine="567"/>
        <w:jc w:val="both"/>
        <w:rPr>
          <w:rFonts w:ascii="Arial" w:eastAsia="Arial" w:hAnsi="Arial" w:cs="Arial"/>
          <w:b/>
          <w:sz w:val="26"/>
          <w:szCs w:val="26"/>
        </w:rPr>
      </w:pPr>
      <w:r>
        <w:rPr>
          <w:rFonts w:ascii="Arial" w:eastAsia="Arial" w:hAnsi="Arial" w:cs="Arial"/>
          <w:b/>
          <w:sz w:val="26"/>
          <w:szCs w:val="26"/>
        </w:rPr>
        <w:t xml:space="preserve">SEGUNDO. </w:t>
      </w:r>
      <w:r w:rsidR="000E5611">
        <w:rPr>
          <w:rFonts w:ascii="Arial" w:eastAsia="Arial" w:hAnsi="Arial" w:cs="Arial"/>
          <w:b/>
          <w:sz w:val="26"/>
          <w:szCs w:val="26"/>
        </w:rPr>
        <w:t>SENTENCIA</w:t>
      </w:r>
      <w:r>
        <w:rPr>
          <w:rFonts w:ascii="Arial" w:eastAsia="Arial" w:hAnsi="Arial" w:cs="Arial"/>
          <w:b/>
          <w:sz w:val="26"/>
          <w:szCs w:val="26"/>
        </w:rPr>
        <w:t xml:space="preserve"> RECURRID</w:t>
      </w:r>
      <w:r w:rsidR="000E5611">
        <w:rPr>
          <w:rFonts w:ascii="Arial" w:eastAsia="Arial" w:hAnsi="Arial" w:cs="Arial"/>
          <w:b/>
          <w:sz w:val="26"/>
          <w:szCs w:val="26"/>
        </w:rPr>
        <w:t>A</w:t>
      </w:r>
      <w:r>
        <w:rPr>
          <w:rFonts w:ascii="Arial" w:eastAsia="Arial" w:hAnsi="Arial" w:cs="Arial"/>
          <w:b/>
          <w:sz w:val="26"/>
          <w:szCs w:val="26"/>
        </w:rPr>
        <w:t>.</w:t>
      </w:r>
    </w:p>
    <w:p w14:paraId="25E55555" w14:textId="77777777" w:rsidR="0012730E" w:rsidRDefault="006B2D01">
      <w:pPr>
        <w:numPr>
          <w:ilvl w:val="0"/>
          <w:numId w:val="1"/>
        </w:numPr>
        <w:pBdr>
          <w:top w:val="nil"/>
          <w:left w:val="nil"/>
          <w:bottom w:val="nil"/>
          <w:right w:val="nil"/>
          <w:between w:val="nil"/>
        </w:pBdr>
        <w:spacing w:after="0" w:line="360" w:lineRule="auto"/>
        <w:ind w:left="567" w:right="48" w:firstLine="425"/>
        <w:jc w:val="both"/>
        <w:rPr>
          <w:rFonts w:ascii="Arial" w:eastAsia="Arial" w:hAnsi="Arial" w:cs="Arial"/>
          <w:i/>
          <w:color w:val="000000"/>
          <w:sz w:val="26"/>
          <w:szCs w:val="26"/>
        </w:rPr>
      </w:pPr>
      <w:r>
        <w:rPr>
          <w:rFonts w:ascii="Arial" w:eastAsia="Arial" w:hAnsi="Arial" w:cs="Arial"/>
          <w:color w:val="000000"/>
          <w:sz w:val="26"/>
          <w:szCs w:val="26"/>
        </w:rPr>
        <w:t xml:space="preserve">Los puntos resolutivos de la sentencia recurrida son los siguientes: - - - - - - - - - - - - - - - - - - - - - - - - - - - - - - - - - - - - - - - - - - - - </w:t>
      </w:r>
    </w:p>
    <w:p w14:paraId="6A075B3E" w14:textId="77777777" w:rsidR="0012730E" w:rsidRDefault="006B2D01">
      <w:pPr>
        <w:spacing w:after="0" w:line="360" w:lineRule="auto"/>
        <w:ind w:left="851" w:right="616"/>
        <w:jc w:val="both"/>
        <w:rPr>
          <w:rFonts w:ascii="Arial" w:eastAsia="Arial" w:hAnsi="Arial" w:cs="Arial"/>
          <w:i/>
        </w:rPr>
      </w:pPr>
      <w:r>
        <w:rPr>
          <w:rFonts w:ascii="Arial" w:eastAsia="Arial" w:hAnsi="Arial" w:cs="Arial"/>
          <w:i/>
        </w:rPr>
        <w:t>“</w:t>
      </w:r>
      <w:r>
        <w:rPr>
          <w:rFonts w:ascii="Arial" w:eastAsia="Arial" w:hAnsi="Arial" w:cs="Arial"/>
          <w:b/>
          <w:i/>
        </w:rPr>
        <w:t>PRIMERO</w:t>
      </w:r>
      <w:r>
        <w:rPr>
          <w:rFonts w:ascii="Arial" w:eastAsia="Arial" w:hAnsi="Arial" w:cs="Arial"/>
          <w:i/>
        </w:rPr>
        <w:t xml:space="preserve">. Esta Primera Sala unitaria fue competente para conocer y resolver del presente asunto. - - - - - - - - - - - - - - - - - - - - - - - - - - - - - - - - - - </w:t>
      </w:r>
    </w:p>
    <w:p w14:paraId="374450A9" w14:textId="1396F160" w:rsidR="0012730E" w:rsidRDefault="006B2D01">
      <w:pPr>
        <w:spacing w:after="0" w:line="360" w:lineRule="auto"/>
        <w:ind w:left="851" w:right="616"/>
        <w:jc w:val="both"/>
        <w:rPr>
          <w:rFonts w:ascii="Arial" w:eastAsia="Arial" w:hAnsi="Arial" w:cs="Arial"/>
          <w:i/>
        </w:rPr>
      </w:pPr>
      <w:r>
        <w:rPr>
          <w:rFonts w:ascii="Arial" w:eastAsia="Arial" w:hAnsi="Arial" w:cs="Arial"/>
          <w:b/>
          <w:i/>
        </w:rPr>
        <w:t>SEGUNDO</w:t>
      </w:r>
      <w:r>
        <w:rPr>
          <w:rFonts w:ascii="Arial" w:eastAsia="Arial" w:hAnsi="Arial" w:cs="Arial"/>
          <w:i/>
        </w:rPr>
        <w:t>. La personería de las partes quedó acreditada.</w:t>
      </w:r>
      <w:r w:rsidR="00A07085">
        <w:rPr>
          <w:rFonts w:ascii="Arial" w:eastAsia="Arial" w:hAnsi="Arial" w:cs="Arial"/>
          <w:i/>
        </w:rPr>
        <w:t xml:space="preserve"> </w:t>
      </w:r>
      <w:r>
        <w:rPr>
          <w:rFonts w:ascii="Arial" w:eastAsia="Arial" w:hAnsi="Arial" w:cs="Arial"/>
          <w:i/>
        </w:rPr>
        <w:t xml:space="preserve">- - - - - - - - - - - - </w:t>
      </w:r>
    </w:p>
    <w:p w14:paraId="52D735E4" w14:textId="54D0F353" w:rsidR="0012730E" w:rsidRDefault="006B2D01">
      <w:pPr>
        <w:spacing w:after="0" w:line="360" w:lineRule="auto"/>
        <w:ind w:left="851" w:right="616"/>
        <w:jc w:val="both"/>
        <w:rPr>
          <w:rFonts w:ascii="Arial" w:eastAsia="Arial" w:hAnsi="Arial" w:cs="Arial"/>
        </w:rPr>
      </w:pPr>
      <w:r>
        <w:rPr>
          <w:rFonts w:ascii="Arial" w:eastAsia="Arial" w:hAnsi="Arial" w:cs="Arial"/>
          <w:b/>
          <w:i/>
        </w:rPr>
        <w:t>TERCERO</w:t>
      </w:r>
      <w:r>
        <w:rPr>
          <w:rFonts w:ascii="Arial" w:eastAsia="Arial" w:hAnsi="Arial" w:cs="Arial"/>
          <w:i/>
        </w:rPr>
        <w:t xml:space="preserve">. Se declara la NULIDAD, LISA Y LLANA del acta de infracción con </w:t>
      </w:r>
      <w:r w:rsidR="000E5611">
        <w:rPr>
          <w:rFonts w:ascii="Arial" w:eastAsia="Arial" w:hAnsi="Arial" w:cs="Arial"/>
          <w:i/>
        </w:rPr>
        <w:t>número</w:t>
      </w:r>
      <w:r>
        <w:rPr>
          <w:rFonts w:ascii="Arial" w:eastAsia="Arial" w:hAnsi="Arial" w:cs="Arial"/>
          <w:i/>
        </w:rPr>
        <w:t xml:space="preserve"> de folio </w:t>
      </w:r>
      <w:r w:rsidR="00A87994">
        <w:rPr>
          <w:rFonts w:ascii="Arial" w:eastAsia="Arial" w:hAnsi="Arial" w:cs="Arial"/>
          <w:i/>
        </w:rPr>
        <w:t>*********</w:t>
      </w:r>
      <w:r>
        <w:rPr>
          <w:rFonts w:ascii="Arial" w:eastAsia="Arial" w:hAnsi="Arial" w:cs="Arial"/>
          <w:i/>
        </w:rPr>
        <w:t xml:space="preserve"> de fecha dos de agosto de dos mil veintidós por las razones expuestas en el considerando SEXTO de la presente resolución.”- - - </w:t>
      </w:r>
      <w:r>
        <w:rPr>
          <w:rFonts w:ascii="Arial" w:eastAsia="Arial" w:hAnsi="Arial" w:cs="Arial"/>
        </w:rPr>
        <w:t xml:space="preserve">- - - - - - - - - - - - - - - - - - - - - - - - - - - - - - - - - - - - - - - - - - - - </w:t>
      </w:r>
    </w:p>
    <w:p w14:paraId="253B4525" w14:textId="77777777" w:rsidR="0012730E" w:rsidRDefault="006B2D01">
      <w:pPr>
        <w:spacing w:before="240" w:line="360" w:lineRule="auto"/>
        <w:ind w:left="851" w:right="616"/>
        <w:jc w:val="center"/>
        <w:rPr>
          <w:rFonts w:ascii="Arial" w:eastAsia="Arial" w:hAnsi="Arial" w:cs="Arial"/>
          <w:b/>
          <w:sz w:val="26"/>
          <w:szCs w:val="26"/>
        </w:rPr>
      </w:pPr>
      <w:r>
        <w:rPr>
          <w:rFonts w:ascii="Arial" w:eastAsia="Arial" w:hAnsi="Arial" w:cs="Arial"/>
          <w:b/>
          <w:sz w:val="26"/>
          <w:szCs w:val="26"/>
        </w:rPr>
        <w:t>C O N S I D E R A N D O</w:t>
      </w:r>
    </w:p>
    <w:p w14:paraId="6DD863B2" w14:textId="77777777" w:rsidR="0012730E" w:rsidRDefault="006B2D01">
      <w:pPr>
        <w:spacing w:line="360" w:lineRule="auto"/>
        <w:ind w:firstLine="567"/>
        <w:jc w:val="both"/>
        <w:rPr>
          <w:rFonts w:ascii="Arial" w:eastAsia="Arial" w:hAnsi="Arial" w:cs="Arial"/>
          <w:b/>
          <w:sz w:val="26"/>
          <w:szCs w:val="26"/>
        </w:rPr>
      </w:pPr>
      <w:r>
        <w:rPr>
          <w:rFonts w:ascii="Arial" w:eastAsia="Arial" w:hAnsi="Arial" w:cs="Arial"/>
          <w:b/>
          <w:sz w:val="26"/>
          <w:szCs w:val="26"/>
        </w:rPr>
        <w:t xml:space="preserve">PRIMERO. JURISDICCIÓN Y COMPETENCIA LEGAL. </w:t>
      </w:r>
    </w:p>
    <w:p w14:paraId="217599E7" w14:textId="77777777" w:rsidR="0012730E" w:rsidRDefault="006B2D01">
      <w:pPr>
        <w:numPr>
          <w:ilvl w:val="0"/>
          <w:numId w:val="1"/>
        </w:numPr>
        <w:pBdr>
          <w:top w:val="nil"/>
          <w:left w:val="nil"/>
          <w:bottom w:val="nil"/>
          <w:right w:val="nil"/>
          <w:between w:val="nil"/>
        </w:pBdr>
        <w:spacing w:after="0" w:line="360" w:lineRule="auto"/>
        <w:ind w:left="0" w:firstLine="567"/>
        <w:jc w:val="both"/>
        <w:rPr>
          <w:rFonts w:ascii="Arial" w:eastAsia="Arial" w:hAnsi="Arial" w:cs="Arial"/>
          <w:color w:val="000000"/>
          <w:sz w:val="26"/>
          <w:szCs w:val="26"/>
        </w:rPr>
      </w:pPr>
      <w:r>
        <w:rPr>
          <w:rFonts w:ascii="Arial" w:eastAsia="Arial" w:hAnsi="Arial" w:cs="Arial"/>
          <w:color w:val="000000"/>
          <w:sz w:val="26"/>
          <w:szCs w:val="26"/>
        </w:rPr>
        <w:t xml:space="preserve">Esta Sala Superior del Tribunal de Justicia Administrativa y Combate a la Corrupción del Estado de Oaxaca ejerce jurisdicción y es competente para conocer del presente asunto, conforme a lo dispuesto por los artículos 114 </w:t>
      </w:r>
      <w:proofErr w:type="spellStart"/>
      <w:r>
        <w:rPr>
          <w:rFonts w:ascii="Arial" w:eastAsia="Arial" w:hAnsi="Arial" w:cs="Arial"/>
          <w:color w:val="000000"/>
          <w:sz w:val="26"/>
          <w:szCs w:val="26"/>
        </w:rPr>
        <w:t>Quáter</w:t>
      </w:r>
      <w:proofErr w:type="spellEnd"/>
      <w:r>
        <w:rPr>
          <w:rFonts w:ascii="Arial" w:eastAsia="Arial" w:hAnsi="Arial" w:cs="Arial"/>
          <w:color w:val="000000"/>
          <w:sz w:val="26"/>
          <w:szCs w:val="26"/>
        </w:rPr>
        <w:t xml:space="preserve"> de la Constitución Política del Estado Libre y Soberano de Oaxaca</w:t>
      </w:r>
      <w:r>
        <w:rPr>
          <w:rFonts w:ascii="Arial" w:eastAsia="Arial" w:hAnsi="Arial" w:cs="Arial"/>
          <w:color w:val="000000"/>
          <w:sz w:val="26"/>
          <w:szCs w:val="26"/>
          <w:vertAlign w:val="superscript"/>
        </w:rPr>
        <w:footnoteReference w:id="1"/>
      </w:r>
      <w:r>
        <w:rPr>
          <w:rFonts w:ascii="Arial" w:eastAsia="Arial" w:hAnsi="Arial" w:cs="Arial"/>
          <w:color w:val="000000"/>
          <w:sz w:val="26"/>
          <w:szCs w:val="26"/>
        </w:rPr>
        <w:t xml:space="preserve">; 1, 2, 4, fracción VIII, 23, 24, fracciones I y III, 25, fracción I y 27 de la Ley Orgánica del Tribunal de Justicia Administrativa del Estado de Oaxaca, vigente; 120, 125, 127, 129,130, fracción l, 131, 201, 236, fracción VII y 238 de la Ley de Procedimiento y Justicia Administrativa para el Estado de Oaxaca.- - - - - - - - - - - - - - - -  - - - - - - - - - - - - - - - -- - - - - - - - </w:t>
      </w:r>
    </w:p>
    <w:p w14:paraId="379DFEAC" w14:textId="77777777" w:rsidR="0012730E" w:rsidRDefault="0012730E">
      <w:pPr>
        <w:pBdr>
          <w:top w:val="nil"/>
          <w:left w:val="nil"/>
          <w:bottom w:val="nil"/>
          <w:right w:val="nil"/>
          <w:between w:val="nil"/>
        </w:pBdr>
        <w:spacing w:line="360" w:lineRule="auto"/>
        <w:ind w:left="1776"/>
        <w:jc w:val="both"/>
        <w:rPr>
          <w:rFonts w:ascii="Arial" w:eastAsia="Arial" w:hAnsi="Arial" w:cs="Arial"/>
          <w:b/>
          <w:color w:val="000000"/>
          <w:sz w:val="26"/>
          <w:szCs w:val="26"/>
        </w:rPr>
      </w:pPr>
    </w:p>
    <w:p w14:paraId="433FD876" w14:textId="77777777" w:rsidR="0012730E" w:rsidRDefault="006B2D01">
      <w:pPr>
        <w:spacing w:line="360" w:lineRule="auto"/>
        <w:ind w:firstLine="567"/>
        <w:jc w:val="both"/>
        <w:rPr>
          <w:rFonts w:ascii="Arial" w:eastAsia="Arial" w:hAnsi="Arial" w:cs="Arial"/>
          <w:sz w:val="26"/>
          <w:szCs w:val="26"/>
        </w:rPr>
      </w:pPr>
      <w:r>
        <w:rPr>
          <w:rFonts w:ascii="Arial" w:eastAsia="Arial" w:hAnsi="Arial" w:cs="Arial"/>
          <w:b/>
          <w:sz w:val="26"/>
          <w:szCs w:val="26"/>
        </w:rPr>
        <w:t>SEGUNDO. REQUISITOS DE PROCEDENCIA</w:t>
      </w:r>
      <w:r>
        <w:rPr>
          <w:rFonts w:ascii="Arial" w:eastAsia="Arial" w:hAnsi="Arial" w:cs="Arial"/>
          <w:sz w:val="26"/>
          <w:szCs w:val="26"/>
        </w:rPr>
        <w:t xml:space="preserve">. </w:t>
      </w:r>
    </w:p>
    <w:p w14:paraId="036007C1" w14:textId="77777777" w:rsidR="0012730E" w:rsidRDefault="006B2D01">
      <w:pPr>
        <w:numPr>
          <w:ilvl w:val="0"/>
          <w:numId w:val="1"/>
        </w:numPr>
        <w:pBdr>
          <w:top w:val="nil"/>
          <w:left w:val="nil"/>
          <w:bottom w:val="nil"/>
          <w:right w:val="nil"/>
          <w:between w:val="nil"/>
        </w:pBdr>
        <w:spacing w:after="0" w:line="360" w:lineRule="auto"/>
        <w:ind w:left="0" w:firstLine="708"/>
        <w:jc w:val="both"/>
        <w:rPr>
          <w:rFonts w:ascii="Arial" w:eastAsia="Arial" w:hAnsi="Arial" w:cs="Arial"/>
          <w:color w:val="000000"/>
          <w:sz w:val="26"/>
          <w:szCs w:val="26"/>
        </w:rPr>
      </w:pPr>
      <w:r>
        <w:rPr>
          <w:rFonts w:ascii="Arial" w:eastAsia="Arial" w:hAnsi="Arial" w:cs="Arial"/>
          <w:color w:val="000000"/>
          <w:sz w:val="26"/>
          <w:szCs w:val="26"/>
        </w:rPr>
        <w:t xml:space="preserve">Se tienen por satisfechos los requisitos de procedencia previstos en los artículos 236 y 237 de la Ley de Procedimiento y Justicia Administrativa para el Estado de Oaxaca. - - - - - - - - - - - - - - - - - - - - - - - - - - - - - - - - - - -  - </w:t>
      </w:r>
    </w:p>
    <w:p w14:paraId="16162546" w14:textId="77777777" w:rsidR="0012730E" w:rsidRDefault="006B2D01">
      <w:pPr>
        <w:pBdr>
          <w:top w:val="nil"/>
          <w:left w:val="nil"/>
          <w:bottom w:val="nil"/>
          <w:right w:val="nil"/>
          <w:between w:val="nil"/>
        </w:pBdr>
        <w:spacing w:after="0" w:line="360" w:lineRule="auto"/>
        <w:ind w:left="1068"/>
        <w:jc w:val="both"/>
        <w:rPr>
          <w:rFonts w:ascii="Arial" w:eastAsia="Arial" w:hAnsi="Arial" w:cs="Arial"/>
          <w:color w:val="000000"/>
          <w:sz w:val="26"/>
          <w:szCs w:val="26"/>
        </w:rPr>
      </w:pPr>
      <w:r>
        <w:rPr>
          <w:rFonts w:ascii="Arial" w:eastAsia="Arial" w:hAnsi="Arial" w:cs="Arial"/>
          <w:color w:val="000000"/>
          <w:sz w:val="26"/>
          <w:szCs w:val="26"/>
        </w:rPr>
        <w:lastRenderedPageBreak/>
        <w:t>a)</w:t>
      </w:r>
      <w:r>
        <w:rPr>
          <w:rFonts w:ascii="Arial" w:eastAsia="Arial" w:hAnsi="Arial" w:cs="Arial"/>
          <w:color w:val="000000"/>
          <w:sz w:val="26"/>
          <w:szCs w:val="26"/>
        </w:rPr>
        <w:tab/>
      </w:r>
      <w:r>
        <w:rPr>
          <w:rFonts w:ascii="Arial" w:eastAsia="Arial" w:hAnsi="Arial" w:cs="Arial"/>
          <w:b/>
          <w:color w:val="000000"/>
          <w:sz w:val="26"/>
          <w:szCs w:val="26"/>
        </w:rPr>
        <w:t>Forma</w:t>
      </w:r>
      <w:r>
        <w:rPr>
          <w:rFonts w:ascii="Arial" w:eastAsia="Arial" w:hAnsi="Arial" w:cs="Arial"/>
          <w:color w:val="000000"/>
          <w:sz w:val="26"/>
          <w:szCs w:val="26"/>
        </w:rPr>
        <w:t xml:space="preserve">. Se observa que el recurso se efectuó conforme a los lineamientos que exige el artículo 236 de la Ley de Procedimiento y Justicia Administrativa para el Estado de Oaxaca, ya que se presentó por escrito, con la expresión de agravios ante la Sala que dictó el acuerdo que se impugna. -- - - - - - - - - - - - - - - - - - - - - - - - </w:t>
      </w:r>
    </w:p>
    <w:p w14:paraId="6AA09DB5" w14:textId="167A3E2D" w:rsidR="0012730E" w:rsidRDefault="006B2D01">
      <w:pPr>
        <w:pBdr>
          <w:top w:val="nil"/>
          <w:left w:val="nil"/>
          <w:bottom w:val="nil"/>
          <w:right w:val="nil"/>
          <w:between w:val="nil"/>
        </w:pBdr>
        <w:spacing w:after="0" w:line="360" w:lineRule="auto"/>
        <w:ind w:left="1068"/>
        <w:jc w:val="both"/>
        <w:rPr>
          <w:rFonts w:ascii="Arial" w:eastAsia="Arial" w:hAnsi="Arial" w:cs="Arial"/>
          <w:color w:val="000000"/>
          <w:sz w:val="26"/>
          <w:szCs w:val="26"/>
        </w:rPr>
      </w:pPr>
      <w:r>
        <w:rPr>
          <w:rFonts w:ascii="Arial" w:eastAsia="Arial" w:hAnsi="Arial" w:cs="Arial"/>
          <w:color w:val="000000"/>
          <w:sz w:val="26"/>
          <w:szCs w:val="26"/>
        </w:rPr>
        <w:t>b)</w:t>
      </w:r>
      <w:r>
        <w:rPr>
          <w:rFonts w:ascii="Arial" w:eastAsia="Arial" w:hAnsi="Arial" w:cs="Arial"/>
          <w:color w:val="000000"/>
          <w:sz w:val="26"/>
          <w:szCs w:val="26"/>
        </w:rPr>
        <w:tab/>
      </w:r>
      <w:r>
        <w:rPr>
          <w:rFonts w:ascii="Arial" w:eastAsia="Arial" w:hAnsi="Arial" w:cs="Arial"/>
          <w:b/>
          <w:color w:val="000000"/>
          <w:sz w:val="26"/>
          <w:szCs w:val="26"/>
        </w:rPr>
        <w:t>Oportunidad</w:t>
      </w:r>
      <w:r>
        <w:rPr>
          <w:rFonts w:ascii="Arial" w:eastAsia="Arial" w:hAnsi="Arial" w:cs="Arial"/>
          <w:color w:val="000000"/>
          <w:sz w:val="26"/>
          <w:szCs w:val="26"/>
        </w:rPr>
        <w:t xml:space="preserve">. Se cumple tal requisito, toda vez que el acto impugnado fue notificado al recurrente, el veintisiete de marzo de dos mil veintitrés, en tanto el correspondiente recurso se interpuso el treinta de marzo del dos mil veintitrés, siendo éste dentro del plazo de cinco días previsto en el artículo 237 de la Ley de Procedimiento y Justicia Administrativa para el Estado de Oaxaca, en virtud que el martes veintiocho del mes en cita surtió efectos, empezando a correr el cómputo a partir del miércoles veintinueve, jueves treinta, viernes treinta y uno, </w:t>
      </w:r>
      <w:r w:rsidRPr="006B2D01">
        <w:rPr>
          <w:rFonts w:ascii="Arial" w:eastAsia="Arial" w:hAnsi="Arial" w:cs="Arial"/>
          <w:color w:val="000000"/>
          <w:sz w:val="26"/>
          <w:szCs w:val="26"/>
        </w:rPr>
        <w:t xml:space="preserve">lunes </w:t>
      </w:r>
      <w:r w:rsidR="000E5611" w:rsidRPr="006B2D01">
        <w:rPr>
          <w:rFonts w:ascii="Arial" w:eastAsia="Arial" w:hAnsi="Arial" w:cs="Arial"/>
          <w:color w:val="000000"/>
          <w:sz w:val="26"/>
          <w:szCs w:val="26"/>
        </w:rPr>
        <w:t>diez</w:t>
      </w:r>
      <w:r w:rsidRPr="006B2D01">
        <w:rPr>
          <w:rFonts w:ascii="Arial" w:eastAsia="Arial" w:hAnsi="Arial" w:cs="Arial"/>
          <w:color w:val="000000"/>
          <w:sz w:val="26"/>
          <w:szCs w:val="26"/>
        </w:rPr>
        <w:t xml:space="preserve"> y martes </w:t>
      </w:r>
      <w:r w:rsidR="000E5611" w:rsidRPr="006B2D01">
        <w:rPr>
          <w:rFonts w:ascii="Arial" w:eastAsia="Arial" w:hAnsi="Arial" w:cs="Arial"/>
          <w:color w:val="000000"/>
          <w:sz w:val="26"/>
          <w:szCs w:val="26"/>
        </w:rPr>
        <w:t>once</w:t>
      </w:r>
      <w:r w:rsidRPr="006B2D01">
        <w:rPr>
          <w:rFonts w:ascii="Arial" w:eastAsia="Arial" w:hAnsi="Arial" w:cs="Arial"/>
          <w:color w:val="000000"/>
          <w:sz w:val="26"/>
          <w:szCs w:val="26"/>
        </w:rPr>
        <w:t xml:space="preserve"> de abril; todos del</w:t>
      </w:r>
      <w:r>
        <w:rPr>
          <w:rFonts w:ascii="Arial" w:eastAsia="Arial" w:hAnsi="Arial" w:cs="Arial"/>
          <w:color w:val="000000"/>
          <w:sz w:val="26"/>
          <w:szCs w:val="26"/>
        </w:rPr>
        <w:t xml:space="preserve"> dos mil veintitrés (sin ser contados los veinticinco y veintiséis de marzo por ser sábado y domingo</w:t>
      </w:r>
      <w:r w:rsidR="000E5611">
        <w:rPr>
          <w:rFonts w:ascii="Arial" w:eastAsia="Arial" w:hAnsi="Arial" w:cs="Arial"/>
          <w:color w:val="000000"/>
          <w:sz w:val="26"/>
          <w:szCs w:val="26"/>
        </w:rPr>
        <w:t xml:space="preserve">, y lunes tres, martes cuatro, miércoles cinco, jueves seis y viernes siete por </w:t>
      </w:r>
      <w:r w:rsidR="000E5611" w:rsidRPr="006B2D01">
        <w:rPr>
          <w:rFonts w:ascii="Arial" w:eastAsia="Arial" w:hAnsi="Arial" w:cs="Arial"/>
          <w:color w:val="000000"/>
          <w:sz w:val="26"/>
          <w:szCs w:val="26"/>
        </w:rPr>
        <w:t>ser días inhábiles</w:t>
      </w:r>
      <w:r>
        <w:rPr>
          <w:rFonts w:ascii="Arial" w:eastAsia="Arial" w:hAnsi="Arial" w:cs="Arial"/>
          <w:color w:val="000000"/>
          <w:sz w:val="26"/>
          <w:szCs w:val="26"/>
        </w:rPr>
        <w:t xml:space="preserve"> por motivo de la semana santa, por acuerdo de Pleno</w:t>
      </w:r>
      <w:r w:rsidR="000E5611" w:rsidRPr="006B2D01">
        <w:rPr>
          <w:rFonts w:ascii="Arial" w:eastAsia="Arial" w:hAnsi="Arial" w:cs="Arial"/>
          <w:color w:val="000000"/>
          <w:sz w:val="26"/>
          <w:szCs w:val="26"/>
        </w:rPr>
        <w:t>)</w:t>
      </w:r>
      <w:r w:rsidRPr="006B2D01">
        <w:rPr>
          <w:rFonts w:ascii="Arial" w:eastAsia="Arial" w:hAnsi="Arial" w:cs="Arial"/>
          <w:color w:val="000000"/>
          <w:sz w:val="26"/>
          <w:szCs w:val="26"/>
        </w:rPr>
        <w:t>.</w:t>
      </w:r>
      <w:r>
        <w:rPr>
          <w:rFonts w:ascii="Arial" w:eastAsia="Arial" w:hAnsi="Arial" w:cs="Arial"/>
          <w:color w:val="000000"/>
          <w:sz w:val="26"/>
          <w:szCs w:val="26"/>
        </w:rPr>
        <w:t xml:space="preserve"> - - - - - - - - - - - - - - - - - - - - - </w:t>
      </w:r>
    </w:p>
    <w:p w14:paraId="2ECF1A32" w14:textId="77777777" w:rsidR="0012730E" w:rsidRDefault="006B2D01">
      <w:pPr>
        <w:pBdr>
          <w:top w:val="nil"/>
          <w:left w:val="nil"/>
          <w:bottom w:val="nil"/>
          <w:right w:val="nil"/>
          <w:between w:val="nil"/>
        </w:pBdr>
        <w:spacing w:after="0" w:line="360" w:lineRule="auto"/>
        <w:ind w:left="1068"/>
        <w:jc w:val="both"/>
        <w:rPr>
          <w:rFonts w:ascii="Arial" w:eastAsia="Arial" w:hAnsi="Arial" w:cs="Arial"/>
          <w:color w:val="FF0000"/>
          <w:sz w:val="26"/>
          <w:szCs w:val="26"/>
        </w:rPr>
      </w:pPr>
      <w:r>
        <w:rPr>
          <w:rFonts w:ascii="Arial" w:eastAsia="Arial" w:hAnsi="Arial" w:cs="Arial"/>
          <w:color w:val="000000"/>
          <w:sz w:val="26"/>
          <w:szCs w:val="26"/>
        </w:rPr>
        <w:t>c)</w:t>
      </w:r>
      <w:r>
        <w:rPr>
          <w:rFonts w:ascii="Arial" w:eastAsia="Arial" w:hAnsi="Arial" w:cs="Arial"/>
          <w:color w:val="000000"/>
          <w:sz w:val="26"/>
          <w:szCs w:val="26"/>
        </w:rPr>
        <w:tab/>
      </w:r>
      <w:r>
        <w:rPr>
          <w:rFonts w:ascii="Arial" w:eastAsia="Arial" w:hAnsi="Arial" w:cs="Arial"/>
          <w:b/>
          <w:color w:val="000000"/>
          <w:sz w:val="26"/>
          <w:szCs w:val="26"/>
        </w:rPr>
        <w:t>Legitimación</w:t>
      </w:r>
      <w:r>
        <w:rPr>
          <w:rFonts w:ascii="Arial" w:eastAsia="Arial" w:hAnsi="Arial" w:cs="Arial"/>
          <w:color w:val="000000"/>
          <w:sz w:val="26"/>
          <w:szCs w:val="26"/>
        </w:rPr>
        <w:t xml:space="preserve">. El presente recurso fue interpuesto por parte legitimada. Ello, de conformidad con lo señalado en el artículo 148, segundo párrafo, de la Ley de Procedimiento y Justicia Administrativa para el Estado de Oaxaca. Acreditando su personalidad el recurrente con su nombramiento Sub-Oficial Vial, como empleado de confianza, dado de alta el primero de julio de mil novecientos noventa y dos (foja 20 del expediente 71/2022), en términos de los artículos 188 fracciones II, VI y 189 del Bando de Policía y Gobierno del Municipio de Oaxaca de Juárez, en vigor. - - </w:t>
      </w:r>
    </w:p>
    <w:p w14:paraId="5A2CCA27" w14:textId="482FF05C" w:rsidR="0012730E" w:rsidRDefault="006B2D01">
      <w:pPr>
        <w:pBdr>
          <w:top w:val="nil"/>
          <w:left w:val="nil"/>
          <w:bottom w:val="nil"/>
          <w:right w:val="nil"/>
          <w:between w:val="nil"/>
        </w:pBdr>
        <w:spacing w:after="0" w:line="360" w:lineRule="auto"/>
        <w:ind w:left="1068"/>
        <w:jc w:val="both"/>
        <w:rPr>
          <w:rFonts w:ascii="Arial" w:eastAsia="Arial" w:hAnsi="Arial" w:cs="Arial"/>
          <w:b/>
          <w:color w:val="000000"/>
          <w:sz w:val="26"/>
          <w:szCs w:val="26"/>
        </w:rPr>
      </w:pPr>
      <w:r>
        <w:rPr>
          <w:rFonts w:ascii="Arial" w:eastAsia="Arial" w:hAnsi="Arial" w:cs="Arial"/>
          <w:color w:val="000000"/>
          <w:sz w:val="26"/>
          <w:szCs w:val="26"/>
        </w:rPr>
        <w:t>d)</w:t>
      </w:r>
      <w:r>
        <w:rPr>
          <w:rFonts w:ascii="Arial" w:eastAsia="Arial" w:hAnsi="Arial" w:cs="Arial"/>
          <w:color w:val="000000"/>
          <w:sz w:val="26"/>
          <w:szCs w:val="26"/>
        </w:rPr>
        <w:tab/>
      </w:r>
      <w:r>
        <w:rPr>
          <w:rFonts w:ascii="Arial" w:eastAsia="Arial" w:hAnsi="Arial" w:cs="Arial"/>
          <w:b/>
          <w:color w:val="000000"/>
          <w:sz w:val="26"/>
          <w:szCs w:val="26"/>
        </w:rPr>
        <w:t>Idoneidad</w:t>
      </w:r>
      <w:r>
        <w:rPr>
          <w:rFonts w:ascii="Arial" w:eastAsia="Arial" w:hAnsi="Arial" w:cs="Arial"/>
          <w:color w:val="000000"/>
          <w:sz w:val="26"/>
          <w:szCs w:val="26"/>
        </w:rPr>
        <w:t>. Se cumple con este requisito, en virtud que la determinación recurrida de la Primera Sala Unitaria, deviene de la sentencia de diez de marzo de dos mil veintitrés, emitido en el juicio de nulidad 0071/202</w:t>
      </w:r>
      <w:r w:rsidRPr="006B2D01">
        <w:rPr>
          <w:rFonts w:ascii="Arial" w:eastAsia="Arial" w:hAnsi="Arial" w:cs="Arial"/>
          <w:color w:val="000000"/>
          <w:sz w:val="26"/>
          <w:szCs w:val="26"/>
        </w:rPr>
        <w:t>3</w:t>
      </w:r>
      <w:r>
        <w:rPr>
          <w:rFonts w:ascii="Arial" w:eastAsia="Arial" w:hAnsi="Arial" w:cs="Arial"/>
          <w:color w:val="000000"/>
          <w:sz w:val="26"/>
          <w:szCs w:val="26"/>
        </w:rPr>
        <w:t xml:space="preserve">, donde </w:t>
      </w:r>
      <w:r>
        <w:rPr>
          <w:rFonts w:ascii="Arial" w:eastAsia="Arial" w:hAnsi="Arial" w:cs="Arial"/>
          <w:i/>
          <w:color w:val="000000"/>
          <w:sz w:val="26"/>
          <w:szCs w:val="26"/>
        </w:rPr>
        <w:t>declaró la NULIDAD, LISA Y LLANA del acta de infracción con número de folio</w:t>
      </w:r>
      <w:r w:rsidR="008D2D71">
        <w:rPr>
          <w:rFonts w:ascii="Arial" w:eastAsia="Arial" w:hAnsi="Arial" w:cs="Arial"/>
          <w:i/>
          <w:color w:val="000000"/>
          <w:sz w:val="26"/>
          <w:szCs w:val="26"/>
        </w:rPr>
        <w:t xml:space="preserve"> ********</w:t>
      </w:r>
      <w:r>
        <w:rPr>
          <w:rFonts w:ascii="Arial" w:eastAsia="Arial" w:hAnsi="Arial" w:cs="Arial"/>
          <w:i/>
          <w:color w:val="000000"/>
          <w:sz w:val="26"/>
          <w:szCs w:val="26"/>
        </w:rPr>
        <w:t xml:space="preserve"> de fecha dos de agosto de dos mil veintidós</w:t>
      </w:r>
      <w:r>
        <w:rPr>
          <w:rFonts w:ascii="Arial" w:eastAsia="Arial" w:hAnsi="Arial" w:cs="Arial"/>
          <w:color w:val="000000"/>
          <w:sz w:val="26"/>
          <w:szCs w:val="26"/>
        </w:rPr>
        <w:t xml:space="preserve">, por tanto, se actualiza el supuesto previsto por el artículo 236, fracción VII de la Ley de Procedimiento y Justicia Administrativa para el Estado de Oaxaca.- - - - - - - - - - - - </w:t>
      </w:r>
    </w:p>
    <w:p w14:paraId="20278117" w14:textId="77777777" w:rsidR="00AA62D5" w:rsidRDefault="00AA62D5">
      <w:pPr>
        <w:spacing w:before="240" w:line="360" w:lineRule="auto"/>
        <w:ind w:firstLine="567"/>
        <w:jc w:val="both"/>
        <w:rPr>
          <w:rFonts w:ascii="Arial" w:eastAsia="Arial" w:hAnsi="Arial" w:cs="Arial"/>
          <w:b/>
          <w:sz w:val="26"/>
          <w:szCs w:val="26"/>
        </w:rPr>
      </w:pPr>
    </w:p>
    <w:p w14:paraId="035419C8" w14:textId="77777777" w:rsidR="0012730E" w:rsidRDefault="006B2D01">
      <w:pPr>
        <w:spacing w:before="240" w:line="360" w:lineRule="auto"/>
        <w:ind w:firstLine="567"/>
        <w:jc w:val="both"/>
        <w:rPr>
          <w:rFonts w:ascii="Arial" w:eastAsia="Arial" w:hAnsi="Arial" w:cs="Arial"/>
          <w:b/>
          <w:sz w:val="26"/>
          <w:szCs w:val="26"/>
        </w:rPr>
      </w:pPr>
      <w:r>
        <w:rPr>
          <w:rFonts w:ascii="Arial" w:eastAsia="Arial" w:hAnsi="Arial" w:cs="Arial"/>
          <w:b/>
          <w:sz w:val="26"/>
          <w:szCs w:val="26"/>
        </w:rPr>
        <w:lastRenderedPageBreak/>
        <w:t>TERCERO. DETERMINACIÓN EN PRIMERA INSTANCIA.</w:t>
      </w:r>
    </w:p>
    <w:p w14:paraId="4C6DB871" w14:textId="4A455590" w:rsidR="0012730E" w:rsidRDefault="006B2D01">
      <w:pPr>
        <w:numPr>
          <w:ilvl w:val="0"/>
          <w:numId w:val="1"/>
        </w:numPr>
        <w:pBdr>
          <w:top w:val="nil"/>
          <w:left w:val="nil"/>
          <w:bottom w:val="nil"/>
          <w:right w:val="nil"/>
          <w:between w:val="nil"/>
        </w:pBdr>
        <w:spacing w:before="240" w:after="0" w:line="360" w:lineRule="auto"/>
        <w:ind w:left="0" w:firstLine="426"/>
        <w:jc w:val="both"/>
        <w:rPr>
          <w:rFonts w:ascii="Arial" w:eastAsia="Arial" w:hAnsi="Arial" w:cs="Arial"/>
          <w:b/>
          <w:color w:val="000000"/>
          <w:sz w:val="26"/>
          <w:szCs w:val="26"/>
        </w:rPr>
      </w:pPr>
      <w:r>
        <w:rPr>
          <w:rFonts w:ascii="Arial" w:eastAsia="Arial" w:hAnsi="Arial" w:cs="Arial"/>
          <w:color w:val="000000"/>
          <w:sz w:val="26"/>
          <w:szCs w:val="26"/>
        </w:rPr>
        <w:t xml:space="preserve">Por sentencia de diez de marzo de dos mil veintitrés, el Titular de la Primera Sala Unitaria, resolvió declarar la nulidad lisa y llana del acta de infracción con número </w:t>
      </w:r>
      <w:r w:rsidR="00A14602">
        <w:rPr>
          <w:rFonts w:ascii="Arial" w:eastAsia="Arial" w:hAnsi="Arial" w:cs="Arial"/>
          <w:color w:val="000000"/>
          <w:sz w:val="26"/>
          <w:szCs w:val="26"/>
        </w:rPr>
        <w:t xml:space="preserve">*********** </w:t>
      </w:r>
      <w:r>
        <w:rPr>
          <w:rFonts w:ascii="Arial" w:eastAsia="Arial" w:hAnsi="Arial" w:cs="Arial"/>
          <w:color w:val="000000"/>
          <w:sz w:val="26"/>
          <w:szCs w:val="26"/>
        </w:rPr>
        <w:t xml:space="preserve">de dos de agosto de dos mil veintidós; misma que fue notificada al promovente el veintisiete de marzo de dos mil veintitrés. </w:t>
      </w:r>
    </w:p>
    <w:p w14:paraId="28499608" w14:textId="77777777" w:rsidR="0012730E" w:rsidRDefault="0012730E">
      <w:pPr>
        <w:pBdr>
          <w:top w:val="nil"/>
          <w:left w:val="nil"/>
          <w:bottom w:val="nil"/>
          <w:right w:val="nil"/>
          <w:between w:val="nil"/>
        </w:pBdr>
        <w:spacing w:after="0" w:line="360" w:lineRule="auto"/>
        <w:ind w:left="567"/>
        <w:jc w:val="both"/>
        <w:rPr>
          <w:rFonts w:ascii="Arial" w:eastAsia="Arial" w:hAnsi="Arial" w:cs="Arial"/>
          <w:color w:val="000000"/>
          <w:sz w:val="26"/>
          <w:szCs w:val="26"/>
        </w:rPr>
      </w:pPr>
    </w:p>
    <w:p w14:paraId="2A0D6642" w14:textId="77777777" w:rsidR="0012730E" w:rsidRDefault="006B2D01">
      <w:pPr>
        <w:pBdr>
          <w:top w:val="nil"/>
          <w:left w:val="nil"/>
          <w:bottom w:val="nil"/>
          <w:right w:val="nil"/>
          <w:between w:val="nil"/>
        </w:pBdr>
        <w:spacing w:line="360" w:lineRule="auto"/>
        <w:ind w:left="567"/>
        <w:jc w:val="both"/>
        <w:rPr>
          <w:rFonts w:ascii="Arial" w:eastAsia="Arial" w:hAnsi="Arial" w:cs="Arial"/>
          <w:b/>
          <w:color w:val="000000"/>
          <w:sz w:val="26"/>
          <w:szCs w:val="26"/>
        </w:rPr>
      </w:pPr>
      <w:r>
        <w:rPr>
          <w:rFonts w:ascii="Arial" w:eastAsia="Arial" w:hAnsi="Arial" w:cs="Arial"/>
          <w:b/>
          <w:color w:val="000000"/>
          <w:sz w:val="26"/>
          <w:szCs w:val="26"/>
        </w:rPr>
        <w:t>CUARTO. AGRAVIOS.</w:t>
      </w:r>
    </w:p>
    <w:p w14:paraId="5F18B20A" w14:textId="377C1559" w:rsidR="0012730E" w:rsidRDefault="006B2D01">
      <w:pPr>
        <w:spacing w:line="360" w:lineRule="auto"/>
        <w:ind w:firstLine="426"/>
        <w:jc w:val="both"/>
        <w:rPr>
          <w:rFonts w:ascii="Arial" w:eastAsia="Arial" w:hAnsi="Arial" w:cs="Arial"/>
          <w:sz w:val="26"/>
          <w:szCs w:val="26"/>
        </w:rPr>
      </w:pPr>
      <w:r>
        <w:rPr>
          <w:rFonts w:ascii="Arial" w:eastAsia="Arial" w:hAnsi="Arial" w:cs="Arial"/>
          <w:sz w:val="26"/>
          <w:szCs w:val="26"/>
        </w:rPr>
        <w:t>6. Los</w:t>
      </w:r>
      <w:r w:rsidR="0042593A">
        <w:rPr>
          <w:rFonts w:ascii="Arial" w:eastAsia="Arial" w:hAnsi="Arial" w:cs="Arial"/>
          <w:sz w:val="26"/>
          <w:szCs w:val="26"/>
        </w:rPr>
        <w:t xml:space="preserve"> </w:t>
      </w:r>
      <w:r>
        <w:rPr>
          <w:rFonts w:ascii="Arial" w:eastAsia="Arial" w:hAnsi="Arial" w:cs="Arial"/>
          <w:sz w:val="26"/>
          <w:szCs w:val="26"/>
        </w:rPr>
        <w:t xml:space="preserve">agravios hechos valer se encuentran expuestos en el escrito respectivo del recurrente, por lo que no existe necesidad de transcribirlos al no transgredírsele derecho alguno, como tampoco se vulnera disposición expresa que imponga tal obligación. </w:t>
      </w:r>
      <w:r>
        <w:rPr>
          <w:rFonts w:ascii="Arial" w:eastAsia="Arial" w:hAnsi="Arial" w:cs="Arial"/>
          <w:color w:val="000000"/>
          <w:sz w:val="26"/>
          <w:szCs w:val="26"/>
        </w:rPr>
        <w:t xml:space="preserve">Se invoca en apoyo, la Tesis con registro 254280, publicada en la Gaceta del Semanario Judicial de la Federación, Volumen 81, Sexta Parte, Séptima Época, pagina 23, bajo el rubro </w:t>
      </w:r>
      <w:r>
        <w:rPr>
          <w:rFonts w:ascii="Arial" w:eastAsia="Arial" w:hAnsi="Arial" w:cs="Arial"/>
          <w:b/>
          <w:i/>
          <w:color w:val="000000"/>
          <w:sz w:val="26"/>
          <w:szCs w:val="26"/>
        </w:rPr>
        <w:t>“CONCEPTOS DE VIOLACIÓN. NO ES OBLIGATORIO TRANSCRIBIRLOS EN LA SENTENCIA</w:t>
      </w:r>
      <w:r>
        <w:rPr>
          <w:rFonts w:ascii="Arial" w:eastAsia="Arial" w:hAnsi="Arial" w:cs="Arial"/>
          <w:b/>
          <w:i/>
          <w:color w:val="000000"/>
          <w:sz w:val="26"/>
          <w:szCs w:val="26"/>
          <w:vertAlign w:val="superscript"/>
        </w:rPr>
        <w:footnoteReference w:id="2"/>
      </w:r>
      <w:r>
        <w:rPr>
          <w:rFonts w:ascii="Arial" w:eastAsia="Arial" w:hAnsi="Arial" w:cs="Arial"/>
          <w:b/>
          <w:i/>
          <w:color w:val="000000"/>
          <w:sz w:val="26"/>
          <w:szCs w:val="26"/>
        </w:rPr>
        <w:t xml:space="preserve">”. </w:t>
      </w:r>
      <w:r>
        <w:rPr>
          <w:rFonts w:ascii="Arial" w:eastAsia="Arial" w:hAnsi="Arial" w:cs="Arial"/>
          <w:i/>
          <w:color w:val="000000"/>
          <w:sz w:val="26"/>
          <w:szCs w:val="26"/>
        </w:rPr>
        <w:t>- - - - - - - - - -  - - - - - -</w:t>
      </w:r>
      <w:r>
        <w:rPr>
          <w:rFonts w:ascii="Arial" w:eastAsia="Arial" w:hAnsi="Arial" w:cs="Arial"/>
          <w:b/>
          <w:i/>
          <w:color w:val="000000"/>
          <w:sz w:val="26"/>
          <w:szCs w:val="26"/>
        </w:rPr>
        <w:t xml:space="preserve"> </w:t>
      </w:r>
      <w:r>
        <w:rPr>
          <w:rFonts w:ascii="Arial" w:eastAsia="Arial" w:hAnsi="Arial" w:cs="Arial"/>
          <w:i/>
          <w:color w:val="000000"/>
          <w:sz w:val="26"/>
          <w:szCs w:val="26"/>
        </w:rPr>
        <w:t xml:space="preserve">- - - - - - - </w:t>
      </w:r>
    </w:p>
    <w:p w14:paraId="51730F16" w14:textId="77777777" w:rsidR="0012730E" w:rsidRDefault="006B2D01">
      <w:pPr>
        <w:spacing w:line="360" w:lineRule="auto"/>
        <w:ind w:firstLine="567"/>
        <w:jc w:val="both"/>
        <w:rPr>
          <w:rFonts w:ascii="Arial" w:eastAsia="Arial" w:hAnsi="Arial" w:cs="Arial"/>
          <w:sz w:val="26"/>
          <w:szCs w:val="26"/>
        </w:rPr>
      </w:pPr>
      <w:r>
        <w:rPr>
          <w:rFonts w:ascii="Arial" w:eastAsia="Arial" w:hAnsi="Arial" w:cs="Arial"/>
          <w:sz w:val="26"/>
          <w:szCs w:val="26"/>
        </w:rPr>
        <w:t xml:space="preserve">7. Aun cuando no es necesaria la transcripción íntegra de los agravios formulados; es importante observar que, en esencia, el recurrente expone dos agravios, refiriendo en su parte sustantiva, lo siguiente: - - - - - - - - - - - - </w:t>
      </w:r>
    </w:p>
    <w:p w14:paraId="46169695" w14:textId="77777777" w:rsidR="0012730E" w:rsidRDefault="006B2D01">
      <w:pPr>
        <w:spacing w:line="360" w:lineRule="auto"/>
        <w:ind w:firstLine="567"/>
        <w:jc w:val="both"/>
        <w:rPr>
          <w:rFonts w:ascii="Arial" w:eastAsia="Arial" w:hAnsi="Arial" w:cs="Arial"/>
          <w:sz w:val="26"/>
          <w:szCs w:val="26"/>
        </w:rPr>
      </w:pPr>
      <w:r>
        <w:rPr>
          <w:rFonts w:ascii="Arial" w:eastAsia="Arial" w:hAnsi="Arial" w:cs="Arial"/>
          <w:sz w:val="26"/>
          <w:szCs w:val="26"/>
        </w:rPr>
        <w:t xml:space="preserve">a) </w:t>
      </w:r>
      <w:r>
        <w:rPr>
          <w:rFonts w:ascii="Arial" w:eastAsia="Arial" w:hAnsi="Arial" w:cs="Arial"/>
          <w:b/>
          <w:sz w:val="26"/>
          <w:szCs w:val="26"/>
        </w:rPr>
        <w:t>En el primer agravio:</w:t>
      </w:r>
      <w:r>
        <w:rPr>
          <w:rFonts w:ascii="Arial" w:eastAsia="Arial" w:hAnsi="Arial" w:cs="Arial"/>
          <w:sz w:val="26"/>
          <w:szCs w:val="26"/>
        </w:rPr>
        <w:t xml:space="preserve"> </w:t>
      </w:r>
    </w:p>
    <w:p w14:paraId="6B9BB8EE" w14:textId="77777777" w:rsidR="0012730E" w:rsidRDefault="006B2D01">
      <w:pPr>
        <w:numPr>
          <w:ilvl w:val="0"/>
          <w:numId w:val="3"/>
        </w:numPr>
        <w:pBdr>
          <w:top w:val="nil"/>
          <w:left w:val="nil"/>
          <w:bottom w:val="nil"/>
          <w:right w:val="nil"/>
          <w:between w:val="nil"/>
        </w:pBdr>
        <w:spacing w:after="0" w:line="360" w:lineRule="auto"/>
        <w:ind w:left="567" w:firstLine="0"/>
        <w:jc w:val="both"/>
        <w:rPr>
          <w:rFonts w:ascii="Arial" w:eastAsia="Arial" w:hAnsi="Arial" w:cs="Arial"/>
          <w:color w:val="000000"/>
          <w:sz w:val="26"/>
          <w:szCs w:val="26"/>
        </w:rPr>
      </w:pPr>
      <w:r>
        <w:rPr>
          <w:rFonts w:ascii="Arial" w:eastAsia="Arial" w:hAnsi="Arial" w:cs="Arial"/>
          <w:color w:val="000000"/>
          <w:sz w:val="26"/>
          <w:szCs w:val="26"/>
        </w:rPr>
        <w:t xml:space="preserve"> Manifiesta que le causa agravio el considerando SEXTO de la sentencia que se combate, por la violación de los artículos 14 y 16 constitucionales y 207 fracción II de la Ley de Procedimiento de Justicia Administrativa para el Estado de Oaxaca, en virtud de que la sentencia que se recurre, no es emitida de forma congruente con el acto impugnado, ya que a pesar de que quedó fundado y motivado el acto, y con ello la validez del mismo, la Sala Unitaria realizó un razonamiento omiso al declarar la nulidad, lisa y llana.- - - - - - - - - - - - - - - - - - - - - - - </w:t>
      </w:r>
    </w:p>
    <w:p w14:paraId="50126464" w14:textId="2DBF98F0" w:rsidR="0012730E" w:rsidRDefault="006B2D01">
      <w:pPr>
        <w:numPr>
          <w:ilvl w:val="0"/>
          <w:numId w:val="3"/>
        </w:numPr>
        <w:pBdr>
          <w:top w:val="nil"/>
          <w:left w:val="nil"/>
          <w:bottom w:val="nil"/>
          <w:right w:val="nil"/>
          <w:between w:val="nil"/>
        </w:pBdr>
        <w:spacing w:line="360" w:lineRule="auto"/>
        <w:ind w:left="567" w:firstLine="0"/>
        <w:jc w:val="both"/>
        <w:rPr>
          <w:rFonts w:ascii="Arial" w:eastAsia="Arial" w:hAnsi="Arial" w:cs="Arial"/>
          <w:color w:val="000000"/>
          <w:sz w:val="26"/>
          <w:szCs w:val="26"/>
        </w:rPr>
      </w:pPr>
      <w:r>
        <w:rPr>
          <w:rFonts w:ascii="Arial" w:eastAsia="Arial" w:hAnsi="Arial" w:cs="Arial"/>
          <w:color w:val="000000"/>
          <w:sz w:val="26"/>
          <w:szCs w:val="26"/>
        </w:rPr>
        <w:t xml:space="preserve"> Asimismo,</w:t>
      </w:r>
      <w:r w:rsidR="0042593A">
        <w:rPr>
          <w:rFonts w:ascii="Arial" w:eastAsia="Arial" w:hAnsi="Arial" w:cs="Arial"/>
          <w:color w:val="000000"/>
          <w:sz w:val="26"/>
          <w:szCs w:val="26"/>
        </w:rPr>
        <w:t xml:space="preserve"> </w:t>
      </w:r>
      <w:r>
        <w:rPr>
          <w:rFonts w:ascii="Arial" w:eastAsia="Arial" w:hAnsi="Arial" w:cs="Arial"/>
          <w:color w:val="000000"/>
          <w:sz w:val="26"/>
          <w:szCs w:val="26"/>
        </w:rPr>
        <w:t xml:space="preserve">dicha resolución causa agravio a la envestidura del Policía Vial del Municipio de Oaxaca de Juárez, ya que el acta de infracción con folio 8437 A de dos de agosto de dos mil veintidós, se </w:t>
      </w:r>
      <w:r>
        <w:rPr>
          <w:rFonts w:ascii="Arial" w:eastAsia="Arial" w:hAnsi="Arial" w:cs="Arial"/>
          <w:color w:val="000000"/>
          <w:sz w:val="26"/>
          <w:szCs w:val="26"/>
        </w:rPr>
        <w:lastRenderedPageBreak/>
        <w:t>encuentra fundada y motivada, bajo los artículos 85 y 86 fracción XXXIII del Reglamento de Vialidad para el Municipio de Oaxaca de Juárez, donde prevén la conducta ilegal del infractor</w:t>
      </w:r>
      <w:r w:rsidR="00A14602">
        <w:rPr>
          <w:rFonts w:ascii="Arial" w:eastAsia="Arial" w:hAnsi="Arial" w:cs="Arial"/>
          <w:color w:val="000000"/>
          <w:sz w:val="26"/>
          <w:szCs w:val="26"/>
        </w:rPr>
        <w:t xml:space="preserve"> **********</w:t>
      </w:r>
      <w:r>
        <w:rPr>
          <w:rFonts w:ascii="Arial" w:eastAsia="Arial" w:hAnsi="Arial" w:cs="Arial"/>
          <w:color w:val="000000"/>
          <w:sz w:val="26"/>
          <w:szCs w:val="26"/>
        </w:rPr>
        <w:t>, ya que el Policía Vial señaló la falta administrativa en la que incurrió, consistente en “ESTACIONARSE EN LUGAR PROHIBIDO”</w:t>
      </w:r>
      <w:r w:rsidRPr="006B2D01">
        <w:rPr>
          <w:rFonts w:ascii="Arial" w:eastAsia="Arial" w:hAnsi="Arial" w:cs="Arial"/>
          <w:color w:val="000000"/>
          <w:sz w:val="26"/>
          <w:szCs w:val="26"/>
        </w:rPr>
        <w:t>.</w:t>
      </w:r>
      <w:r>
        <w:rPr>
          <w:rFonts w:ascii="Arial" w:eastAsia="Arial" w:hAnsi="Arial" w:cs="Arial"/>
          <w:color w:val="000000"/>
          <w:sz w:val="26"/>
          <w:szCs w:val="26"/>
        </w:rPr>
        <w:t xml:space="preserve"> quien fue acreedor de una multa, lo que desprende la legalidad del acto.  </w:t>
      </w:r>
    </w:p>
    <w:p w14:paraId="6CA239C0" w14:textId="77777777" w:rsidR="0012730E" w:rsidRDefault="006B2D01">
      <w:pPr>
        <w:spacing w:line="360" w:lineRule="auto"/>
        <w:ind w:firstLine="567"/>
        <w:jc w:val="both"/>
        <w:rPr>
          <w:rFonts w:ascii="Arial" w:eastAsia="Arial" w:hAnsi="Arial" w:cs="Arial"/>
          <w:sz w:val="26"/>
          <w:szCs w:val="26"/>
        </w:rPr>
      </w:pPr>
      <w:r>
        <w:rPr>
          <w:rFonts w:ascii="Arial" w:eastAsia="Arial" w:hAnsi="Arial" w:cs="Arial"/>
          <w:sz w:val="26"/>
          <w:szCs w:val="26"/>
        </w:rPr>
        <w:t xml:space="preserve">b) </w:t>
      </w:r>
      <w:r>
        <w:rPr>
          <w:rFonts w:ascii="Arial" w:eastAsia="Arial" w:hAnsi="Arial" w:cs="Arial"/>
          <w:b/>
          <w:sz w:val="26"/>
          <w:szCs w:val="26"/>
        </w:rPr>
        <w:t>En el segundo agravio:</w:t>
      </w:r>
    </w:p>
    <w:p w14:paraId="268E6A65" w14:textId="5952751D" w:rsidR="0012730E" w:rsidRDefault="006B2D01">
      <w:pPr>
        <w:numPr>
          <w:ilvl w:val="0"/>
          <w:numId w:val="3"/>
        </w:numPr>
        <w:pBdr>
          <w:top w:val="nil"/>
          <w:left w:val="nil"/>
          <w:bottom w:val="nil"/>
          <w:right w:val="nil"/>
          <w:between w:val="nil"/>
        </w:pBdr>
        <w:tabs>
          <w:tab w:val="left" w:pos="567"/>
        </w:tabs>
        <w:spacing w:after="0" w:line="360" w:lineRule="auto"/>
        <w:ind w:left="567" w:firstLine="0"/>
        <w:jc w:val="both"/>
        <w:rPr>
          <w:rFonts w:ascii="Arial" w:eastAsia="Arial" w:hAnsi="Arial" w:cs="Arial"/>
          <w:color w:val="000000"/>
          <w:sz w:val="26"/>
          <w:szCs w:val="26"/>
        </w:rPr>
      </w:pPr>
      <w:r>
        <w:rPr>
          <w:rFonts w:ascii="Arial" w:eastAsia="Arial" w:hAnsi="Arial" w:cs="Arial"/>
          <w:color w:val="000000"/>
          <w:sz w:val="26"/>
          <w:szCs w:val="26"/>
        </w:rPr>
        <w:t xml:space="preserve"> Inicia enfatizando que la motivación del acta de infracción, estuvo en lo correcto al citar los preceptos legales aplicables al caso en particular, concluyendo que, como Policía Vial, procedió de acuerdo a las facultades previstos en los diversos ordenamientos jurídicos indicados, los cuales le autorizan a infraccionar al transgresor y hacerlo acreedor de una sanción pecuniaria por haberse “ESTACIONADO EN LUGAR PROHIBIDO” ya que con esa acción interfiere con la circulación vehicular y representa un obstáculo para los automovilistas y peatones.- </w:t>
      </w:r>
    </w:p>
    <w:p w14:paraId="4094710B" w14:textId="77777777" w:rsidR="0012730E" w:rsidRDefault="0012730E">
      <w:pPr>
        <w:pBdr>
          <w:top w:val="nil"/>
          <w:left w:val="nil"/>
          <w:bottom w:val="nil"/>
          <w:right w:val="nil"/>
          <w:between w:val="nil"/>
        </w:pBdr>
        <w:spacing w:after="0" w:line="360" w:lineRule="auto"/>
        <w:ind w:left="709"/>
        <w:jc w:val="both"/>
        <w:rPr>
          <w:rFonts w:ascii="Arial" w:eastAsia="Arial" w:hAnsi="Arial" w:cs="Arial"/>
          <w:color w:val="000000"/>
          <w:sz w:val="26"/>
          <w:szCs w:val="26"/>
        </w:rPr>
      </w:pPr>
    </w:p>
    <w:p w14:paraId="19C1905C" w14:textId="77777777" w:rsidR="0012730E" w:rsidRDefault="006B2D01">
      <w:pPr>
        <w:pBdr>
          <w:top w:val="nil"/>
          <w:left w:val="nil"/>
          <w:bottom w:val="nil"/>
          <w:right w:val="nil"/>
          <w:between w:val="nil"/>
        </w:pBdr>
        <w:spacing w:line="360" w:lineRule="auto"/>
        <w:ind w:left="709"/>
        <w:jc w:val="both"/>
        <w:rPr>
          <w:rFonts w:ascii="Arial" w:eastAsia="Arial" w:hAnsi="Arial" w:cs="Arial"/>
          <w:b/>
          <w:color w:val="000000"/>
          <w:sz w:val="26"/>
          <w:szCs w:val="26"/>
        </w:rPr>
      </w:pPr>
      <w:r>
        <w:rPr>
          <w:rFonts w:ascii="Arial" w:eastAsia="Arial" w:hAnsi="Arial" w:cs="Arial"/>
          <w:b/>
          <w:color w:val="000000"/>
          <w:sz w:val="26"/>
          <w:szCs w:val="26"/>
        </w:rPr>
        <w:t>QUINTO. CONTESTACIÓN DE AGRAVIOS</w:t>
      </w:r>
    </w:p>
    <w:p w14:paraId="31CBD956" w14:textId="3C6724D5" w:rsidR="0012730E" w:rsidRDefault="006B2D01">
      <w:pPr>
        <w:numPr>
          <w:ilvl w:val="0"/>
          <w:numId w:val="2"/>
        </w:numPr>
        <w:pBdr>
          <w:top w:val="nil"/>
          <w:left w:val="nil"/>
          <w:bottom w:val="nil"/>
          <w:right w:val="nil"/>
          <w:between w:val="nil"/>
        </w:pBdr>
        <w:spacing w:line="360" w:lineRule="auto"/>
        <w:ind w:left="0" w:right="190" w:firstLine="426"/>
        <w:jc w:val="both"/>
        <w:rPr>
          <w:rFonts w:ascii="Arial" w:eastAsia="Arial" w:hAnsi="Arial" w:cs="Arial"/>
          <w:b/>
          <w:i/>
          <w:color w:val="000000"/>
          <w:sz w:val="26"/>
          <w:szCs w:val="26"/>
        </w:rPr>
      </w:pPr>
      <w:r>
        <w:rPr>
          <w:rFonts w:ascii="Arial" w:eastAsia="Arial" w:hAnsi="Arial" w:cs="Arial"/>
          <w:color w:val="000000"/>
          <w:sz w:val="26"/>
          <w:szCs w:val="26"/>
        </w:rPr>
        <w:t xml:space="preserve">Respecto al agravio identificado con el inciso a) de esta resolución, se considera que el mismo es </w:t>
      </w:r>
      <w:r w:rsidR="00773B72">
        <w:rPr>
          <w:rFonts w:ascii="Arial" w:eastAsia="Arial" w:hAnsi="Arial" w:cs="Arial"/>
          <w:b/>
          <w:color w:val="000000"/>
          <w:sz w:val="26"/>
          <w:szCs w:val="26"/>
        </w:rPr>
        <w:t>INOPERANTE</w:t>
      </w:r>
      <w:r>
        <w:rPr>
          <w:rFonts w:ascii="Arial" w:eastAsia="Arial" w:hAnsi="Arial" w:cs="Arial"/>
          <w:color w:val="000000"/>
          <w:sz w:val="26"/>
          <w:szCs w:val="26"/>
        </w:rPr>
        <w:t xml:space="preserve">, puesto que si bien en el preámbulo de la fundamentación inserta en el acta de infracción </w:t>
      </w:r>
      <w:r w:rsidR="00A14602">
        <w:rPr>
          <w:rFonts w:ascii="Arial" w:eastAsia="Arial" w:hAnsi="Arial" w:cs="Arial"/>
          <w:color w:val="000000"/>
          <w:sz w:val="26"/>
          <w:szCs w:val="26"/>
        </w:rPr>
        <w:t xml:space="preserve">*********** </w:t>
      </w:r>
      <w:r>
        <w:rPr>
          <w:rFonts w:ascii="Arial" w:eastAsia="Arial" w:hAnsi="Arial" w:cs="Arial"/>
          <w:color w:val="000000"/>
          <w:sz w:val="26"/>
          <w:szCs w:val="26"/>
        </w:rPr>
        <w:t>de dos de agosto de dos mil veintidós, se contienen diversos artículos del Reglamento de Vialidad para el municipio de Oaxaca de Juárez, Oaxaca; sin embargo, no se cita el exactamente aplicable a la infracción supuestamente cometida. - - - - - - - - - - - - - - - - - - - - - - - - - - - - - - - - - - - -</w:t>
      </w:r>
    </w:p>
    <w:p w14:paraId="745D8FC1" w14:textId="77777777" w:rsidR="0012730E" w:rsidRDefault="006B2D01">
      <w:pPr>
        <w:numPr>
          <w:ilvl w:val="0"/>
          <w:numId w:val="2"/>
        </w:numPr>
        <w:pBdr>
          <w:top w:val="nil"/>
          <w:left w:val="nil"/>
          <w:bottom w:val="nil"/>
          <w:right w:val="nil"/>
          <w:between w:val="nil"/>
        </w:pBdr>
        <w:spacing w:line="360" w:lineRule="auto"/>
        <w:ind w:left="0" w:right="190" w:firstLine="426"/>
        <w:jc w:val="both"/>
        <w:rPr>
          <w:rFonts w:ascii="Arial" w:eastAsia="Arial" w:hAnsi="Arial" w:cs="Arial"/>
          <w:b/>
          <w:i/>
          <w:color w:val="000000"/>
          <w:sz w:val="26"/>
          <w:szCs w:val="26"/>
        </w:rPr>
      </w:pPr>
      <w:r>
        <w:rPr>
          <w:rFonts w:ascii="Arial" w:eastAsia="Arial" w:hAnsi="Arial" w:cs="Arial"/>
          <w:color w:val="000000"/>
          <w:sz w:val="26"/>
          <w:szCs w:val="26"/>
        </w:rPr>
        <w:t xml:space="preserve">Si bien se invoca el diverso ordinal 16 del citado reglamento que faculta a los policías viales a formular las actas de infracción cometidas por los conductores que infrinjan dicho reglamento, pero también ese mismo precepto los constriñe a fundarlas y motivarlas, lo que no sucedió en el caso </w:t>
      </w:r>
      <w:proofErr w:type="gramStart"/>
      <w:r>
        <w:rPr>
          <w:rFonts w:ascii="Arial" w:eastAsia="Arial" w:hAnsi="Arial" w:cs="Arial"/>
          <w:color w:val="000000"/>
          <w:sz w:val="26"/>
          <w:szCs w:val="26"/>
        </w:rPr>
        <w:t>concreto.-</w:t>
      </w:r>
      <w:proofErr w:type="gramEnd"/>
      <w:r>
        <w:rPr>
          <w:rFonts w:ascii="Arial" w:eastAsia="Arial" w:hAnsi="Arial" w:cs="Arial"/>
          <w:color w:val="000000"/>
          <w:sz w:val="26"/>
          <w:szCs w:val="26"/>
        </w:rPr>
        <w:t xml:space="preserve"> - - - - - - - - - - - - - - - - - - - - - - - - - - - - - - - - - - - - - - - - - - - - - - -</w:t>
      </w:r>
    </w:p>
    <w:p w14:paraId="4460E54F" w14:textId="77777777" w:rsidR="0012730E" w:rsidRDefault="006B2D01">
      <w:pPr>
        <w:numPr>
          <w:ilvl w:val="0"/>
          <w:numId w:val="2"/>
        </w:numPr>
        <w:pBdr>
          <w:top w:val="nil"/>
          <w:left w:val="nil"/>
          <w:bottom w:val="nil"/>
          <w:right w:val="nil"/>
          <w:between w:val="nil"/>
        </w:pBdr>
        <w:spacing w:line="360" w:lineRule="auto"/>
        <w:ind w:left="0" w:right="190" w:firstLine="426"/>
        <w:jc w:val="both"/>
        <w:rPr>
          <w:rFonts w:ascii="Arial" w:eastAsia="Arial" w:hAnsi="Arial" w:cs="Arial"/>
          <w:b/>
          <w:i/>
          <w:color w:val="000000"/>
          <w:sz w:val="26"/>
          <w:szCs w:val="26"/>
        </w:rPr>
      </w:pPr>
      <w:r>
        <w:rPr>
          <w:rFonts w:ascii="Arial" w:eastAsia="Arial" w:hAnsi="Arial" w:cs="Arial"/>
          <w:color w:val="000000"/>
          <w:sz w:val="26"/>
          <w:szCs w:val="26"/>
        </w:rPr>
        <w:t xml:space="preserve">Máxime que en el Acta de Infracción se cita el artículo 86, fracción XXXIII del Reglamento de Movilidad vigente y artículo 132 del Código Nacional, sin especificar a que código refiere, lo cual genera incertidumbre en el ciudadano, puesto que no se le da a conocer de forma precisa el supuesto y consecuencia que la norma prevé, por el contrario, </w:t>
      </w:r>
      <w:r>
        <w:rPr>
          <w:rFonts w:ascii="Arial" w:eastAsia="Arial" w:hAnsi="Arial" w:cs="Arial"/>
          <w:color w:val="000000"/>
          <w:sz w:val="26"/>
          <w:szCs w:val="26"/>
        </w:rPr>
        <w:lastRenderedPageBreak/>
        <w:t xml:space="preserve">resulta contradictoria con la fundamentación inserta en el preámbulo de dicha acta. </w:t>
      </w:r>
      <w:r>
        <w:rPr>
          <w:rFonts w:ascii="Arial" w:eastAsia="Arial" w:hAnsi="Arial" w:cs="Arial"/>
          <w:i/>
          <w:color w:val="000000"/>
          <w:sz w:val="26"/>
          <w:szCs w:val="26"/>
        </w:rPr>
        <w:t xml:space="preserve"> - - - - - - - - - - - - - - - - - - - - - - - - - - - - - - - - - - - - - - - - - - - - - - </w:t>
      </w:r>
    </w:p>
    <w:p w14:paraId="5449EDD3" w14:textId="383E73FC" w:rsidR="0012730E" w:rsidRDefault="006B2D01">
      <w:pPr>
        <w:numPr>
          <w:ilvl w:val="0"/>
          <w:numId w:val="2"/>
        </w:numPr>
        <w:pBdr>
          <w:top w:val="nil"/>
          <w:left w:val="nil"/>
          <w:bottom w:val="nil"/>
          <w:right w:val="nil"/>
          <w:between w:val="nil"/>
        </w:pBdr>
        <w:spacing w:line="360" w:lineRule="auto"/>
        <w:ind w:left="0" w:right="48" w:firstLine="426"/>
        <w:rPr>
          <w:rFonts w:ascii="Arial" w:eastAsia="Arial" w:hAnsi="Arial" w:cs="Arial"/>
          <w:b/>
          <w:i/>
          <w:color w:val="000000"/>
          <w:sz w:val="26"/>
          <w:szCs w:val="26"/>
        </w:rPr>
      </w:pPr>
      <w:r>
        <w:rPr>
          <w:rFonts w:ascii="Arial" w:eastAsia="Arial" w:hAnsi="Arial" w:cs="Arial"/>
          <w:color w:val="000000"/>
          <w:sz w:val="26"/>
          <w:szCs w:val="26"/>
        </w:rPr>
        <w:t xml:space="preserve"> Para mayor ilustración, se anexa –en lo que interesa- el acta de infracción del acto que fue impugnado:</w:t>
      </w:r>
      <w:r>
        <w:rPr>
          <w:rFonts w:ascii="Arial" w:eastAsia="Arial" w:hAnsi="Arial" w:cs="Arial"/>
          <w:i/>
          <w:color w:val="000000"/>
          <w:sz w:val="26"/>
          <w:szCs w:val="26"/>
        </w:rPr>
        <w:t xml:space="preserve"> </w:t>
      </w:r>
      <w:r>
        <w:rPr>
          <w:rFonts w:ascii="Arial" w:eastAsia="Arial" w:hAnsi="Arial" w:cs="Arial"/>
          <w:color w:val="000000"/>
          <w:sz w:val="26"/>
          <w:szCs w:val="26"/>
        </w:rPr>
        <w:t xml:space="preserve">- - - - - - - - - - - - - - - - - - - - - - - - </w:t>
      </w:r>
      <w:r>
        <w:rPr>
          <w:rFonts w:ascii="Arial" w:eastAsia="Arial" w:hAnsi="Arial" w:cs="Arial"/>
          <w:noProof/>
          <w:color w:val="000000"/>
          <w:sz w:val="26"/>
          <w:szCs w:val="26"/>
        </w:rPr>
        <w:drawing>
          <wp:inline distT="0" distB="0" distL="0" distR="0" wp14:anchorId="6E5BCAE1" wp14:editId="52830197">
            <wp:extent cx="5551434" cy="1826490"/>
            <wp:effectExtent l="0" t="0" r="0" b="0"/>
            <wp:docPr id="1538920897"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8"/>
                    <a:srcRect t="43066" b="6303"/>
                    <a:stretch>
                      <a:fillRect/>
                    </a:stretch>
                  </pic:blipFill>
                  <pic:spPr>
                    <a:xfrm>
                      <a:off x="0" y="0"/>
                      <a:ext cx="5551434" cy="1826490"/>
                    </a:xfrm>
                    <a:prstGeom prst="rect">
                      <a:avLst/>
                    </a:prstGeom>
                    <a:ln/>
                  </pic:spPr>
                </pic:pic>
              </a:graphicData>
            </a:graphic>
          </wp:inline>
        </w:drawing>
      </w:r>
    </w:p>
    <w:p w14:paraId="3335A799" w14:textId="77777777" w:rsidR="0012730E" w:rsidRDefault="006B2D01">
      <w:pPr>
        <w:numPr>
          <w:ilvl w:val="0"/>
          <w:numId w:val="2"/>
        </w:numPr>
        <w:pBdr>
          <w:top w:val="nil"/>
          <w:left w:val="nil"/>
          <w:bottom w:val="nil"/>
          <w:right w:val="nil"/>
          <w:between w:val="nil"/>
        </w:pBdr>
        <w:spacing w:line="360" w:lineRule="auto"/>
        <w:ind w:left="0" w:right="48" w:firstLine="426"/>
        <w:jc w:val="both"/>
        <w:rPr>
          <w:rFonts w:ascii="Arial" w:eastAsia="Arial" w:hAnsi="Arial" w:cs="Arial"/>
          <w:b/>
          <w:i/>
          <w:color w:val="000000"/>
          <w:sz w:val="26"/>
          <w:szCs w:val="26"/>
        </w:rPr>
      </w:pPr>
      <w:r>
        <w:rPr>
          <w:rFonts w:ascii="Arial" w:eastAsia="Arial" w:hAnsi="Arial" w:cs="Arial"/>
          <w:color w:val="000000"/>
          <w:sz w:val="26"/>
          <w:szCs w:val="26"/>
        </w:rPr>
        <w:t xml:space="preserve">Por lo que respecta al inciso b) de sus agravios, en el que menciona, que la sentencia impugnada no se encuentra debidamente fundada y motivada, resulta </w:t>
      </w:r>
      <w:r>
        <w:rPr>
          <w:rFonts w:ascii="Arial" w:eastAsia="Arial" w:hAnsi="Arial" w:cs="Arial"/>
          <w:b/>
          <w:color w:val="000000"/>
          <w:sz w:val="26"/>
          <w:szCs w:val="26"/>
        </w:rPr>
        <w:t xml:space="preserve">INOPERANTE, </w:t>
      </w:r>
      <w:r>
        <w:rPr>
          <w:rFonts w:ascii="Arial" w:eastAsia="Arial" w:hAnsi="Arial" w:cs="Arial"/>
          <w:color w:val="000000"/>
          <w:sz w:val="26"/>
          <w:szCs w:val="26"/>
        </w:rPr>
        <w:t xml:space="preserve">ya que no basta que el inconforme exprese de forma genérica y abstracta que en la sentencia en estudio se incurrió en indebida fundamentación y motivación, sino que debe exponer en forma precisa y razonada, los motivos concretos en los que explique el porqué de sus aseveraciones; es decir, debe señalar cual es el pronunciamiento específico de la sentencia en la que se incurrió en indebida fundamentación y motivación así como relacionar tal razón con el perjuicio que se le cause.- - - - - - - - - - - - - - - - - - - - - - - - - - - - - - - - - - - - - - - - - - - - </w:t>
      </w:r>
    </w:p>
    <w:p w14:paraId="2C6B5A4C" w14:textId="77777777" w:rsidR="0012730E" w:rsidRDefault="006B2D01">
      <w:pPr>
        <w:numPr>
          <w:ilvl w:val="0"/>
          <w:numId w:val="2"/>
        </w:numPr>
        <w:pBdr>
          <w:top w:val="nil"/>
          <w:left w:val="nil"/>
          <w:bottom w:val="nil"/>
          <w:right w:val="nil"/>
          <w:between w:val="nil"/>
        </w:pBdr>
        <w:spacing w:line="360" w:lineRule="auto"/>
        <w:ind w:left="0" w:right="48" w:firstLine="426"/>
        <w:jc w:val="both"/>
        <w:rPr>
          <w:rFonts w:ascii="Arial" w:eastAsia="Arial" w:hAnsi="Arial" w:cs="Arial"/>
          <w:b/>
          <w:i/>
          <w:color w:val="000000"/>
          <w:sz w:val="26"/>
          <w:szCs w:val="26"/>
        </w:rPr>
      </w:pPr>
      <w:r>
        <w:rPr>
          <w:rFonts w:ascii="Arial" w:eastAsia="Arial" w:hAnsi="Arial" w:cs="Arial"/>
          <w:color w:val="000000"/>
          <w:sz w:val="26"/>
          <w:szCs w:val="26"/>
        </w:rPr>
        <w:t>En efecto, el</w:t>
      </w:r>
      <w:r>
        <w:rPr>
          <w:rFonts w:ascii="Arial" w:eastAsia="Arial" w:hAnsi="Arial" w:cs="Arial"/>
          <w:color w:val="000000"/>
          <w:sz w:val="26"/>
          <w:szCs w:val="26"/>
          <w:highlight w:val="white"/>
        </w:rPr>
        <w:t xml:space="preserve"> hoy recurrente como autoridad demandada en el juicio natural, le corresponde exponer razonadamente por qué estima ilegal la resolución impugnada, debiendo señalar la parte de la sentencia que considera se encuentra indebidamente fundada y motivada. </w:t>
      </w:r>
      <w:r>
        <w:rPr>
          <w:rFonts w:ascii="Arial" w:eastAsia="Arial" w:hAnsi="Arial" w:cs="Arial"/>
          <w:color w:val="000000"/>
          <w:sz w:val="26"/>
          <w:szCs w:val="26"/>
        </w:rPr>
        <w:t xml:space="preserve">- - - - - - - - - - - - </w:t>
      </w:r>
    </w:p>
    <w:p w14:paraId="2D73D48D" w14:textId="77777777" w:rsidR="0012730E" w:rsidRDefault="006B2D01">
      <w:pPr>
        <w:numPr>
          <w:ilvl w:val="0"/>
          <w:numId w:val="2"/>
        </w:numPr>
        <w:pBdr>
          <w:top w:val="nil"/>
          <w:left w:val="nil"/>
          <w:bottom w:val="nil"/>
          <w:right w:val="nil"/>
          <w:between w:val="nil"/>
        </w:pBdr>
        <w:spacing w:before="240" w:after="0" w:line="360" w:lineRule="auto"/>
        <w:ind w:left="0" w:firstLine="708"/>
        <w:jc w:val="both"/>
        <w:rPr>
          <w:rFonts w:ascii="Arial" w:eastAsia="Arial" w:hAnsi="Arial" w:cs="Arial"/>
          <w:color w:val="000000"/>
          <w:sz w:val="26"/>
          <w:szCs w:val="26"/>
        </w:rPr>
      </w:pPr>
      <w:r>
        <w:rPr>
          <w:rFonts w:ascii="Arial" w:eastAsia="Arial" w:hAnsi="Arial" w:cs="Arial"/>
          <w:color w:val="000000"/>
          <w:sz w:val="26"/>
          <w:szCs w:val="26"/>
        </w:rPr>
        <w:t xml:space="preserve">Por lo anterior, la Sala Unitaria estuvo en lo correcto al declarar la </w:t>
      </w:r>
      <w:r>
        <w:rPr>
          <w:rFonts w:ascii="Arial" w:eastAsia="Arial" w:hAnsi="Arial" w:cs="Arial"/>
          <w:b/>
          <w:color w:val="000000"/>
          <w:sz w:val="26"/>
          <w:szCs w:val="26"/>
          <w:u w:val="single"/>
        </w:rPr>
        <w:t>nulidad lisa y llana</w:t>
      </w:r>
      <w:r>
        <w:rPr>
          <w:rFonts w:ascii="Arial" w:eastAsia="Arial" w:hAnsi="Arial" w:cs="Arial"/>
          <w:color w:val="000000"/>
          <w:sz w:val="26"/>
          <w:szCs w:val="26"/>
        </w:rPr>
        <w:t xml:space="preserve"> del acto administrativo, consistente en el Acta de Infracción de folio 8437 A, de dos de agosto de dos mil veintidós. - - - - - - - - </w:t>
      </w:r>
    </w:p>
    <w:p w14:paraId="4FADEEE0" w14:textId="269000A9" w:rsidR="0012730E" w:rsidRDefault="006B2D01">
      <w:pPr>
        <w:widowControl w:val="0"/>
        <w:numPr>
          <w:ilvl w:val="0"/>
          <w:numId w:val="2"/>
        </w:numPr>
        <w:pBdr>
          <w:top w:val="nil"/>
          <w:left w:val="nil"/>
          <w:bottom w:val="nil"/>
          <w:right w:val="nil"/>
          <w:between w:val="nil"/>
        </w:pBdr>
        <w:tabs>
          <w:tab w:val="left" w:pos="0"/>
        </w:tabs>
        <w:spacing w:line="360" w:lineRule="auto"/>
        <w:ind w:left="0" w:right="18" w:firstLine="567"/>
        <w:jc w:val="both"/>
        <w:rPr>
          <w:rFonts w:ascii="Arial" w:eastAsia="Arial" w:hAnsi="Arial" w:cs="Arial"/>
          <w:color w:val="000000"/>
          <w:sz w:val="26"/>
          <w:szCs w:val="26"/>
        </w:rPr>
      </w:pPr>
      <w:r>
        <w:rPr>
          <w:rFonts w:ascii="Arial" w:eastAsia="Arial" w:hAnsi="Arial" w:cs="Arial"/>
          <w:color w:val="000000"/>
          <w:sz w:val="26"/>
          <w:szCs w:val="26"/>
        </w:rPr>
        <w:t xml:space="preserve">Por tanto, ante lo </w:t>
      </w:r>
      <w:r>
        <w:rPr>
          <w:rFonts w:ascii="Arial" w:eastAsia="Arial" w:hAnsi="Arial" w:cs="Arial"/>
          <w:b/>
          <w:color w:val="000000"/>
          <w:sz w:val="26"/>
          <w:szCs w:val="26"/>
        </w:rPr>
        <w:t xml:space="preserve">INOPERANTE </w:t>
      </w:r>
      <w:r>
        <w:rPr>
          <w:rFonts w:ascii="Arial" w:eastAsia="Arial" w:hAnsi="Arial" w:cs="Arial"/>
          <w:color w:val="000000"/>
          <w:sz w:val="26"/>
          <w:szCs w:val="26"/>
        </w:rPr>
        <w:t xml:space="preserve">de los agravios expuestos por la autoridad recurrente, lo procedente es </w:t>
      </w:r>
      <w:r>
        <w:rPr>
          <w:rFonts w:ascii="Arial" w:eastAsia="Arial" w:hAnsi="Arial" w:cs="Arial"/>
          <w:b/>
          <w:color w:val="000000"/>
          <w:sz w:val="26"/>
          <w:szCs w:val="26"/>
        </w:rPr>
        <w:t>CONFIRMAR</w:t>
      </w:r>
      <w:r>
        <w:rPr>
          <w:rFonts w:ascii="Arial" w:eastAsia="Arial" w:hAnsi="Arial" w:cs="Arial"/>
          <w:color w:val="000000"/>
          <w:sz w:val="26"/>
          <w:szCs w:val="26"/>
        </w:rPr>
        <w:t xml:space="preserve"> la sentencia impugnada; en consecuencia, con fundamento en los artículos 237 y 238 de la Ley de Procedimiento y Justicia Administrativa para el Estado de Oaxaca, se: </w:t>
      </w:r>
      <w:r>
        <w:rPr>
          <w:rFonts w:ascii="Arial" w:eastAsia="Arial" w:hAnsi="Arial" w:cs="Arial"/>
          <w:i/>
          <w:color w:val="000000"/>
          <w:sz w:val="26"/>
          <w:szCs w:val="26"/>
        </w:rPr>
        <w:t>- - - - - - - - - - - - - - - - - - - - - - - - - - - - - - - - - - - - - - - - - - - - - - -</w:t>
      </w:r>
      <w:r w:rsidR="00AA62D5">
        <w:rPr>
          <w:rFonts w:ascii="Arial" w:eastAsia="Arial" w:hAnsi="Arial" w:cs="Arial"/>
          <w:color w:val="000000"/>
          <w:sz w:val="26"/>
          <w:szCs w:val="26"/>
        </w:rPr>
        <w:t xml:space="preserve"> - - - - - - </w:t>
      </w:r>
    </w:p>
    <w:p w14:paraId="5EB1F66B" w14:textId="77777777" w:rsidR="0012730E" w:rsidRDefault="006B2D01">
      <w:pPr>
        <w:spacing w:line="360" w:lineRule="auto"/>
        <w:ind w:firstLine="708"/>
        <w:jc w:val="center"/>
        <w:rPr>
          <w:rFonts w:ascii="Arial" w:eastAsia="Arial" w:hAnsi="Arial" w:cs="Arial"/>
          <w:b/>
          <w:sz w:val="26"/>
          <w:szCs w:val="26"/>
        </w:rPr>
      </w:pPr>
      <w:r>
        <w:rPr>
          <w:rFonts w:ascii="Arial" w:eastAsia="Arial" w:hAnsi="Arial" w:cs="Arial"/>
          <w:b/>
          <w:sz w:val="26"/>
          <w:szCs w:val="26"/>
        </w:rPr>
        <w:t>R E S U E L V E</w:t>
      </w:r>
    </w:p>
    <w:p w14:paraId="6C47480D" w14:textId="77777777" w:rsidR="0012730E" w:rsidRDefault="006B2D01">
      <w:pPr>
        <w:pBdr>
          <w:top w:val="nil"/>
          <w:left w:val="nil"/>
          <w:bottom w:val="nil"/>
          <w:right w:val="nil"/>
          <w:between w:val="nil"/>
        </w:pBdr>
        <w:spacing w:before="240" w:after="0" w:line="360" w:lineRule="auto"/>
        <w:ind w:firstLine="708"/>
        <w:jc w:val="both"/>
        <w:rPr>
          <w:rFonts w:ascii="Arial" w:eastAsia="Arial" w:hAnsi="Arial" w:cs="Arial"/>
          <w:color w:val="000000"/>
          <w:sz w:val="26"/>
          <w:szCs w:val="26"/>
        </w:rPr>
      </w:pPr>
      <w:r>
        <w:rPr>
          <w:rFonts w:ascii="Arial" w:eastAsia="Arial" w:hAnsi="Arial" w:cs="Arial"/>
          <w:b/>
          <w:color w:val="000000"/>
          <w:sz w:val="26"/>
          <w:szCs w:val="26"/>
        </w:rPr>
        <w:lastRenderedPageBreak/>
        <w:t>PRIMERO</w:t>
      </w:r>
      <w:r>
        <w:rPr>
          <w:rFonts w:ascii="Arial" w:eastAsia="Arial" w:hAnsi="Arial" w:cs="Arial"/>
          <w:color w:val="000000"/>
          <w:sz w:val="26"/>
          <w:szCs w:val="26"/>
        </w:rPr>
        <w:t xml:space="preserve">. Se </w:t>
      </w:r>
      <w:r>
        <w:rPr>
          <w:rFonts w:ascii="Arial" w:eastAsia="Arial" w:hAnsi="Arial" w:cs="Arial"/>
          <w:b/>
          <w:color w:val="000000"/>
          <w:sz w:val="26"/>
          <w:szCs w:val="26"/>
        </w:rPr>
        <w:t xml:space="preserve">CONFIRMA </w:t>
      </w:r>
      <w:r>
        <w:rPr>
          <w:rFonts w:ascii="Arial" w:eastAsia="Arial" w:hAnsi="Arial" w:cs="Arial"/>
          <w:color w:val="000000"/>
          <w:sz w:val="26"/>
          <w:szCs w:val="26"/>
        </w:rPr>
        <w:t xml:space="preserve">la sentencia recurrida por las razones expuestas en el considerando que antecede. - - - - - - - - - - - - - - - - - - - - - - - </w:t>
      </w:r>
    </w:p>
    <w:p w14:paraId="05A40B1E" w14:textId="77777777" w:rsidR="0012730E" w:rsidRDefault="006B2D01">
      <w:pPr>
        <w:widowControl w:val="0"/>
        <w:tabs>
          <w:tab w:val="left" w:pos="0"/>
        </w:tabs>
        <w:spacing w:before="240" w:line="360" w:lineRule="auto"/>
        <w:ind w:right="18"/>
        <w:jc w:val="both"/>
        <w:rPr>
          <w:rFonts w:ascii="Arial" w:eastAsia="Arial" w:hAnsi="Arial" w:cs="Arial"/>
          <w:sz w:val="26"/>
          <w:szCs w:val="26"/>
        </w:rPr>
      </w:pPr>
      <w:r>
        <w:rPr>
          <w:rFonts w:ascii="Arial" w:eastAsia="Arial" w:hAnsi="Arial" w:cs="Arial"/>
          <w:b/>
          <w:sz w:val="26"/>
          <w:szCs w:val="26"/>
        </w:rPr>
        <w:tab/>
        <w:t>SEGUNDO. NOTIFÍQUESE Y CÚMPLASE,</w:t>
      </w:r>
      <w:r>
        <w:rPr>
          <w:rFonts w:ascii="Arial" w:eastAsia="Arial" w:hAnsi="Arial" w:cs="Arial"/>
          <w:sz w:val="26"/>
          <w:szCs w:val="26"/>
        </w:rPr>
        <w:t xml:space="preserve"> remítase copia certificada de la presente resolución a la entonces Primera Sala Unitaria de Primera Instancia, ahora Primera Sala Unitaria Especializada en Controversias entre los Municipios y sus Agencias de este Tribunal y en su oportunidad archívese el presente cuaderno de revisión como asunto concluido. - - - - - - - - - - - - - - </w:t>
      </w:r>
    </w:p>
    <w:p w14:paraId="014B4310" w14:textId="77777777" w:rsidR="0012730E" w:rsidRDefault="006B2D01">
      <w:pPr>
        <w:widowControl w:val="0"/>
        <w:spacing w:line="360" w:lineRule="auto"/>
        <w:ind w:right="51" w:firstLine="567"/>
        <w:jc w:val="both"/>
        <w:rPr>
          <w:rFonts w:ascii="Arial" w:eastAsia="Arial" w:hAnsi="Arial" w:cs="Arial"/>
          <w:sz w:val="26"/>
          <w:szCs w:val="26"/>
        </w:rPr>
      </w:pPr>
      <w:r>
        <w:rPr>
          <w:rFonts w:ascii="Arial" w:eastAsia="Arial" w:hAnsi="Arial" w:cs="Arial"/>
          <w:sz w:val="26"/>
          <w:szCs w:val="26"/>
        </w:rPr>
        <w:t xml:space="preserve">Por unanimidad de votos, lo resolvieron y firmaron los Magistrados Mateo Martínez </w:t>
      </w:r>
      <w:proofErr w:type="spellStart"/>
      <w:r>
        <w:rPr>
          <w:rFonts w:ascii="Arial" w:eastAsia="Arial" w:hAnsi="Arial" w:cs="Arial"/>
          <w:sz w:val="26"/>
          <w:szCs w:val="26"/>
        </w:rPr>
        <w:t>Martínez</w:t>
      </w:r>
      <w:proofErr w:type="spellEnd"/>
      <w:r>
        <w:rPr>
          <w:rFonts w:ascii="Arial" w:eastAsia="Arial" w:hAnsi="Arial" w:cs="Arial"/>
          <w:sz w:val="26"/>
          <w:szCs w:val="26"/>
        </w:rPr>
        <w:t xml:space="preserve">, Cruz Itzel Espinosa Rojas y Manuel de Jesús López </w:t>
      </w:r>
      <w:proofErr w:type="spellStart"/>
      <w:r>
        <w:rPr>
          <w:rFonts w:ascii="Arial" w:eastAsia="Arial" w:hAnsi="Arial" w:cs="Arial"/>
          <w:sz w:val="26"/>
          <w:szCs w:val="26"/>
        </w:rPr>
        <w:t>López</w:t>
      </w:r>
      <w:proofErr w:type="spellEnd"/>
      <w:r>
        <w:rPr>
          <w:rFonts w:ascii="Arial" w:eastAsia="Arial" w:hAnsi="Arial" w:cs="Arial"/>
          <w:sz w:val="26"/>
          <w:szCs w:val="26"/>
        </w:rPr>
        <w:t xml:space="preserve"> (</w:t>
      </w:r>
      <w:r>
        <w:rPr>
          <w:rFonts w:ascii="Arial" w:eastAsia="Arial" w:hAnsi="Arial" w:cs="Arial"/>
          <w:b/>
          <w:sz w:val="26"/>
          <w:szCs w:val="26"/>
        </w:rPr>
        <w:t>ponente)</w:t>
      </w:r>
      <w:r>
        <w:rPr>
          <w:rFonts w:ascii="Arial" w:eastAsia="Arial" w:hAnsi="Arial" w:cs="Arial"/>
          <w:sz w:val="26"/>
          <w:szCs w:val="26"/>
        </w:rPr>
        <w:t xml:space="preserve">, quienes actúan con la Maestra Lizbeth Jessica Gallardo Martínez, </w:t>
      </w:r>
      <w:proofErr w:type="gramStart"/>
      <w:r>
        <w:rPr>
          <w:rFonts w:ascii="Arial" w:eastAsia="Arial" w:hAnsi="Arial" w:cs="Arial"/>
          <w:sz w:val="26"/>
          <w:szCs w:val="26"/>
        </w:rPr>
        <w:t>Secretaria General</w:t>
      </w:r>
      <w:proofErr w:type="gramEnd"/>
      <w:r>
        <w:rPr>
          <w:rFonts w:ascii="Arial" w:eastAsia="Arial" w:hAnsi="Arial" w:cs="Arial"/>
          <w:sz w:val="26"/>
          <w:szCs w:val="26"/>
        </w:rPr>
        <w:t xml:space="preserve"> de Acuerdos de este Tribunal, que autoriza y da fe. - - - - - - - - - - - - - - - - - - - - - - - - - - - - - - - - - - - - - - - - - - - - </w:t>
      </w:r>
    </w:p>
    <w:p w14:paraId="3CDBCF72" w14:textId="77777777" w:rsidR="0012730E" w:rsidRDefault="0012730E" w:rsidP="00F53683">
      <w:pPr>
        <w:widowControl w:val="0"/>
        <w:spacing w:line="360" w:lineRule="auto"/>
        <w:ind w:right="51"/>
        <w:jc w:val="center"/>
        <w:rPr>
          <w:rFonts w:ascii="Arial" w:eastAsia="Arial" w:hAnsi="Arial" w:cs="Arial"/>
          <w:sz w:val="26"/>
          <w:szCs w:val="26"/>
        </w:rPr>
      </w:pPr>
    </w:p>
    <w:p w14:paraId="7BB4567E" w14:textId="77777777" w:rsidR="00F53683" w:rsidRDefault="00F53683" w:rsidP="00F53683">
      <w:pPr>
        <w:widowControl w:val="0"/>
        <w:spacing w:line="360" w:lineRule="auto"/>
        <w:ind w:right="51"/>
        <w:jc w:val="center"/>
        <w:rPr>
          <w:rFonts w:ascii="Arial" w:eastAsia="Arial" w:hAnsi="Arial" w:cs="Arial"/>
          <w:sz w:val="26"/>
          <w:szCs w:val="26"/>
        </w:rPr>
      </w:pPr>
    </w:p>
    <w:p w14:paraId="57B22DCA" w14:textId="77777777" w:rsidR="0012730E" w:rsidRDefault="006B2D01">
      <w:pPr>
        <w:widowControl w:val="0"/>
        <w:spacing w:after="0" w:line="240" w:lineRule="auto"/>
        <w:ind w:right="51" w:firstLine="567"/>
        <w:jc w:val="center"/>
        <w:rPr>
          <w:rFonts w:ascii="Arial" w:eastAsia="Arial" w:hAnsi="Arial" w:cs="Arial"/>
          <w:sz w:val="26"/>
          <w:szCs w:val="26"/>
        </w:rPr>
      </w:pPr>
      <w:r>
        <w:rPr>
          <w:rFonts w:ascii="Arial" w:eastAsia="Arial" w:hAnsi="Arial" w:cs="Arial"/>
          <w:sz w:val="26"/>
          <w:szCs w:val="26"/>
        </w:rPr>
        <w:t xml:space="preserve">MAGISTRADO MATEO MARTÍNEZ </w:t>
      </w:r>
      <w:proofErr w:type="spellStart"/>
      <w:r>
        <w:rPr>
          <w:rFonts w:ascii="Arial" w:eastAsia="Arial" w:hAnsi="Arial" w:cs="Arial"/>
          <w:sz w:val="26"/>
          <w:szCs w:val="26"/>
        </w:rPr>
        <w:t>MARTÍNEZ</w:t>
      </w:r>
      <w:proofErr w:type="spellEnd"/>
    </w:p>
    <w:p w14:paraId="6993955E" w14:textId="77777777" w:rsidR="0012730E" w:rsidRDefault="006B2D01">
      <w:pPr>
        <w:widowControl w:val="0"/>
        <w:spacing w:line="240" w:lineRule="auto"/>
        <w:ind w:right="51" w:firstLine="567"/>
        <w:jc w:val="center"/>
        <w:rPr>
          <w:rFonts w:ascii="Arial" w:eastAsia="Arial" w:hAnsi="Arial" w:cs="Arial"/>
          <w:sz w:val="26"/>
          <w:szCs w:val="26"/>
        </w:rPr>
      </w:pPr>
      <w:r>
        <w:rPr>
          <w:rFonts w:ascii="Arial" w:eastAsia="Arial" w:hAnsi="Arial" w:cs="Arial"/>
          <w:sz w:val="26"/>
          <w:szCs w:val="26"/>
        </w:rPr>
        <w:t>PRESIDENTE</w:t>
      </w:r>
    </w:p>
    <w:p w14:paraId="5DD62212" w14:textId="77777777" w:rsidR="0012730E" w:rsidRDefault="0012730E">
      <w:pPr>
        <w:widowControl w:val="0"/>
        <w:spacing w:after="0" w:line="240" w:lineRule="auto"/>
        <w:ind w:right="51" w:firstLine="567"/>
        <w:jc w:val="center"/>
        <w:rPr>
          <w:rFonts w:ascii="Arial" w:eastAsia="Arial" w:hAnsi="Arial" w:cs="Arial"/>
          <w:sz w:val="26"/>
          <w:szCs w:val="26"/>
        </w:rPr>
      </w:pPr>
    </w:p>
    <w:p w14:paraId="351FA6D9" w14:textId="77777777" w:rsidR="0012730E" w:rsidRDefault="0012730E" w:rsidP="00D3090C">
      <w:pPr>
        <w:widowControl w:val="0"/>
        <w:spacing w:after="0" w:line="240" w:lineRule="auto"/>
        <w:ind w:right="51"/>
        <w:rPr>
          <w:rFonts w:ascii="Arial" w:eastAsia="Arial" w:hAnsi="Arial" w:cs="Arial"/>
          <w:sz w:val="20"/>
          <w:szCs w:val="20"/>
        </w:rPr>
      </w:pPr>
    </w:p>
    <w:p w14:paraId="23537BCA" w14:textId="77777777" w:rsidR="0012730E" w:rsidRDefault="006B2D01" w:rsidP="00A14602">
      <w:pPr>
        <w:widowControl w:val="0"/>
        <w:spacing w:after="0" w:line="240" w:lineRule="auto"/>
        <w:ind w:right="51"/>
        <w:rPr>
          <w:rFonts w:ascii="Arial" w:eastAsia="Arial" w:hAnsi="Arial" w:cs="Arial"/>
          <w:sz w:val="26"/>
          <w:szCs w:val="26"/>
        </w:rPr>
      </w:pPr>
      <w:r>
        <w:rPr>
          <w:rFonts w:ascii="Arial" w:eastAsia="Arial" w:hAnsi="Arial" w:cs="Arial"/>
          <w:sz w:val="26"/>
          <w:szCs w:val="26"/>
        </w:rPr>
        <w:br/>
      </w:r>
    </w:p>
    <w:p w14:paraId="54C0B45F" w14:textId="77777777" w:rsidR="0012730E" w:rsidRDefault="0012730E">
      <w:pPr>
        <w:widowControl w:val="0"/>
        <w:spacing w:line="360" w:lineRule="auto"/>
        <w:ind w:right="51" w:firstLine="567"/>
        <w:jc w:val="center"/>
        <w:rPr>
          <w:rFonts w:ascii="Arial" w:eastAsia="Arial" w:hAnsi="Arial" w:cs="Arial"/>
          <w:sz w:val="26"/>
          <w:szCs w:val="26"/>
        </w:rPr>
      </w:pPr>
    </w:p>
    <w:p w14:paraId="7FD47EFE" w14:textId="77777777" w:rsidR="0012730E" w:rsidRDefault="006B2D01">
      <w:pPr>
        <w:widowControl w:val="0"/>
        <w:spacing w:after="0" w:line="240" w:lineRule="auto"/>
        <w:ind w:right="51" w:firstLine="567"/>
        <w:jc w:val="center"/>
        <w:rPr>
          <w:rFonts w:ascii="Arial" w:eastAsia="Arial" w:hAnsi="Arial" w:cs="Arial"/>
          <w:sz w:val="26"/>
          <w:szCs w:val="26"/>
        </w:rPr>
      </w:pPr>
      <w:r>
        <w:rPr>
          <w:rFonts w:ascii="Arial" w:eastAsia="Arial" w:hAnsi="Arial" w:cs="Arial"/>
          <w:sz w:val="26"/>
          <w:szCs w:val="26"/>
        </w:rPr>
        <w:t>MAGISTRADA CRUZ ITZEL ESPINOSA ROJAS</w:t>
      </w:r>
    </w:p>
    <w:p w14:paraId="1618D85A" w14:textId="77777777" w:rsidR="0012730E" w:rsidRDefault="006B2D01">
      <w:pPr>
        <w:widowControl w:val="0"/>
        <w:spacing w:after="0" w:line="240" w:lineRule="auto"/>
        <w:ind w:right="51" w:firstLine="567"/>
        <w:jc w:val="center"/>
        <w:rPr>
          <w:rFonts w:ascii="Arial" w:eastAsia="Arial" w:hAnsi="Arial" w:cs="Arial"/>
          <w:sz w:val="26"/>
          <w:szCs w:val="26"/>
        </w:rPr>
      </w:pPr>
      <w:r>
        <w:rPr>
          <w:rFonts w:ascii="Arial" w:eastAsia="Arial" w:hAnsi="Arial" w:cs="Arial"/>
          <w:sz w:val="26"/>
          <w:szCs w:val="26"/>
        </w:rPr>
        <w:t>INTEGRANTE DE SALA</w:t>
      </w:r>
    </w:p>
    <w:p w14:paraId="4ADB8686" w14:textId="77777777" w:rsidR="0012730E" w:rsidRDefault="0012730E" w:rsidP="00A14602">
      <w:pPr>
        <w:widowControl w:val="0"/>
        <w:spacing w:line="360" w:lineRule="auto"/>
        <w:ind w:right="51"/>
        <w:rPr>
          <w:rFonts w:ascii="Arial" w:eastAsia="Arial" w:hAnsi="Arial" w:cs="Arial"/>
          <w:sz w:val="26"/>
          <w:szCs w:val="26"/>
        </w:rPr>
      </w:pPr>
    </w:p>
    <w:p w14:paraId="62C4A49C" w14:textId="77777777" w:rsidR="0012730E" w:rsidRDefault="0012730E">
      <w:pPr>
        <w:widowControl w:val="0"/>
        <w:spacing w:line="360" w:lineRule="auto"/>
        <w:ind w:right="51" w:firstLine="567"/>
        <w:jc w:val="center"/>
        <w:rPr>
          <w:rFonts w:ascii="Arial" w:eastAsia="Arial" w:hAnsi="Arial" w:cs="Arial"/>
          <w:sz w:val="26"/>
          <w:szCs w:val="26"/>
        </w:rPr>
      </w:pPr>
    </w:p>
    <w:p w14:paraId="2CEBDE06" w14:textId="77777777" w:rsidR="0012730E" w:rsidRDefault="006B2D01">
      <w:pPr>
        <w:widowControl w:val="0"/>
        <w:spacing w:after="0" w:line="240" w:lineRule="auto"/>
        <w:ind w:right="51" w:firstLine="567"/>
        <w:jc w:val="center"/>
        <w:rPr>
          <w:rFonts w:ascii="Arial" w:eastAsia="Arial" w:hAnsi="Arial" w:cs="Arial"/>
          <w:sz w:val="26"/>
          <w:szCs w:val="26"/>
        </w:rPr>
      </w:pPr>
      <w:r>
        <w:rPr>
          <w:rFonts w:ascii="Arial" w:eastAsia="Arial" w:hAnsi="Arial" w:cs="Arial"/>
          <w:sz w:val="26"/>
          <w:szCs w:val="26"/>
        </w:rPr>
        <w:t xml:space="preserve">MAGISTRADO MANUEL DE JESÚS LÓPEZ </w:t>
      </w:r>
      <w:proofErr w:type="spellStart"/>
      <w:r>
        <w:rPr>
          <w:rFonts w:ascii="Arial" w:eastAsia="Arial" w:hAnsi="Arial" w:cs="Arial"/>
          <w:sz w:val="26"/>
          <w:szCs w:val="26"/>
        </w:rPr>
        <w:t>LÓPEZ</w:t>
      </w:r>
      <w:proofErr w:type="spellEnd"/>
    </w:p>
    <w:p w14:paraId="6FB14E7D" w14:textId="77777777" w:rsidR="0012730E" w:rsidRDefault="006B2D01">
      <w:pPr>
        <w:widowControl w:val="0"/>
        <w:spacing w:after="0" w:line="240" w:lineRule="auto"/>
        <w:ind w:right="51" w:firstLine="567"/>
        <w:jc w:val="center"/>
        <w:rPr>
          <w:rFonts w:ascii="Arial" w:eastAsia="Arial" w:hAnsi="Arial" w:cs="Arial"/>
          <w:sz w:val="26"/>
          <w:szCs w:val="26"/>
        </w:rPr>
      </w:pPr>
      <w:r>
        <w:rPr>
          <w:rFonts w:ascii="Arial" w:eastAsia="Arial" w:hAnsi="Arial" w:cs="Arial"/>
          <w:sz w:val="26"/>
          <w:szCs w:val="26"/>
        </w:rPr>
        <w:t>INTEGRANTE DE SALA</w:t>
      </w:r>
    </w:p>
    <w:p w14:paraId="001D081A" w14:textId="77777777" w:rsidR="0012730E" w:rsidRDefault="0012730E">
      <w:pPr>
        <w:widowControl w:val="0"/>
        <w:spacing w:after="0" w:line="240" w:lineRule="auto"/>
        <w:ind w:right="51" w:firstLine="567"/>
        <w:jc w:val="center"/>
        <w:rPr>
          <w:rFonts w:ascii="Arial" w:eastAsia="Arial" w:hAnsi="Arial" w:cs="Arial"/>
          <w:sz w:val="26"/>
          <w:szCs w:val="26"/>
        </w:rPr>
      </w:pPr>
    </w:p>
    <w:p w14:paraId="74CC7621" w14:textId="77777777" w:rsidR="0012730E" w:rsidRDefault="0012730E">
      <w:pPr>
        <w:widowControl w:val="0"/>
        <w:spacing w:after="0" w:line="240" w:lineRule="auto"/>
        <w:ind w:right="51" w:firstLine="567"/>
        <w:jc w:val="center"/>
        <w:rPr>
          <w:rFonts w:ascii="Arial" w:eastAsia="Arial" w:hAnsi="Arial" w:cs="Arial"/>
          <w:sz w:val="26"/>
          <w:szCs w:val="26"/>
        </w:rPr>
      </w:pPr>
    </w:p>
    <w:p w14:paraId="62DCC207" w14:textId="77777777" w:rsidR="0012730E" w:rsidRDefault="0012730E">
      <w:pPr>
        <w:widowControl w:val="0"/>
        <w:spacing w:after="0" w:line="240" w:lineRule="auto"/>
        <w:ind w:right="51" w:firstLine="567"/>
        <w:jc w:val="center"/>
        <w:rPr>
          <w:rFonts w:ascii="Arial" w:eastAsia="Arial" w:hAnsi="Arial" w:cs="Arial"/>
          <w:sz w:val="26"/>
          <w:szCs w:val="26"/>
        </w:rPr>
      </w:pPr>
    </w:p>
    <w:p w14:paraId="4A0C804D" w14:textId="77777777" w:rsidR="0012730E" w:rsidRDefault="0012730E">
      <w:pPr>
        <w:widowControl w:val="0"/>
        <w:spacing w:after="0" w:line="240" w:lineRule="auto"/>
        <w:ind w:right="51" w:firstLine="567"/>
        <w:jc w:val="center"/>
        <w:rPr>
          <w:rFonts w:ascii="Arial" w:eastAsia="Arial" w:hAnsi="Arial" w:cs="Arial"/>
          <w:sz w:val="26"/>
          <w:szCs w:val="26"/>
        </w:rPr>
      </w:pPr>
    </w:p>
    <w:p w14:paraId="5CA2EA2E" w14:textId="77777777" w:rsidR="0012730E" w:rsidRDefault="0012730E">
      <w:pPr>
        <w:widowControl w:val="0"/>
        <w:spacing w:after="0" w:line="240" w:lineRule="auto"/>
        <w:ind w:right="51" w:firstLine="567"/>
        <w:jc w:val="center"/>
        <w:rPr>
          <w:rFonts w:ascii="Arial" w:eastAsia="Arial" w:hAnsi="Arial" w:cs="Arial"/>
          <w:sz w:val="26"/>
          <w:szCs w:val="26"/>
        </w:rPr>
      </w:pPr>
    </w:p>
    <w:p w14:paraId="70FEC93D" w14:textId="77777777" w:rsidR="0012730E" w:rsidRDefault="0012730E" w:rsidP="00A14602">
      <w:pPr>
        <w:widowControl w:val="0"/>
        <w:spacing w:after="0" w:line="240" w:lineRule="auto"/>
        <w:ind w:right="51"/>
        <w:rPr>
          <w:rFonts w:ascii="Arial" w:eastAsia="Arial" w:hAnsi="Arial" w:cs="Arial"/>
          <w:sz w:val="26"/>
          <w:szCs w:val="26"/>
        </w:rPr>
      </w:pPr>
    </w:p>
    <w:p w14:paraId="797B23E4" w14:textId="77777777" w:rsidR="0012730E" w:rsidRDefault="0012730E">
      <w:pPr>
        <w:widowControl w:val="0"/>
        <w:spacing w:after="0" w:line="240" w:lineRule="auto"/>
        <w:ind w:right="51" w:firstLine="567"/>
        <w:jc w:val="center"/>
        <w:rPr>
          <w:rFonts w:ascii="Arial" w:eastAsia="Arial" w:hAnsi="Arial" w:cs="Arial"/>
          <w:sz w:val="26"/>
          <w:szCs w:val="26"/>
        </w:rPr>
      </w:pPr>
    </w:p>
    <w:p w14:paraId="041CD00D" w14:textId="77777777" w:rsidR="0012730E" w:rsidRDefault="0012730E">
      <w:pPr>
        <w:widowControl w:val="0"/>
        <w:spacing w:after="0" w:line="240" w:lineRule="auto"/>
        <w:ind w:right="51" w:firstLine="567"/>
        <w:jc w:val="center"/>
        <w:rPr>
          <w:rFonts w:ascii="Arial" w:eastAsia="Arial" w:hAnsi="Arial" w:cs="Arial"/>
          <w:sz w:val="26"/>
          <w:szCs w:val="26"/>
        </w:rPr>
      </w:pPr>
    </w:p>
    <w:p w14:paraId="60663DB1" w14:textId="77777777" w:rsidR="0012730E" w:rsidRDefault="0012730E">
      <w:pPr>
        <w:widowControl w:val="0"/>
        <w:spacing w:after="0" w:line="240" w:lineRule="auto"/>
        <w:ind w:right="51" w:firstLine="567"/>
        <w:jc w:val="center"/>
        <w:rPr>
          <w:rFonts w:ascii="Arial" w:eastAsia="Arial" w:hAnsi="Arial" w:cs="Arial"/>
          <w:sz w:val="26"/>
          <w:szCs w:val="26"/>
        </w:rPr>
      </w:pPr>
    </w:p>
    <w:p w14:paraId="4D598744" w14:textId="77777777" w:rsidR="0012730E" w:rsidRDefault="006B2D01">
      <w:pPr>
        <w:widowControl w:val="0"/>
        <w:spacing w:after="0" w:line="240" w:lineRule="auto"/>
        <w:ind w:right="51" w:firstLine="567"/>
        <w:jc w:val="center"/>
        <w:rPr>
          <w:rFonts w:ascii="Arial" w:eastAsia="Arial" w:hAnsi="Arial" w:cs="Arial"/>
          <w:sz w:val="26"/>
          <w:szCs w:val="26"/>
        </w:rPr>
      </w:pPr>
      <w:r>
        <w:rPr>
          <w:rFonts w:ascii="Arial" w:eastAsia="Arial" w:hAnsi="Arial" w:cs="Arial"/>
          <w:sz w:val="26"/>
          <w:szCs w:val="26"/>
        </w:rPr>
        <w:t>MAESTRA LIZBETH JESSICA GALLARDO MARTÍNEZ</w:t>
      </w:r>
    </w:p>
    <w:p w14:paraId="7EA71EFB" w14:textId="77777777" w:rsidR="0012730E" w:rsidRDefault="006B2D01">
      <w:pPr>
        <w:widowControl w:val="0"/>
        <w:spacing w:after="0" w:line="240" w:lineRule="auto"/>
        <w:ind w:right="51" w:firstLine="567"/>
        <w:jc w:val="center"/>
        <w:rPr>
          <w:rFonts w:ascii="Arial" w:eastAsia="Arial" w:hAnsi="Arial" w:cs="Arial"/>
          <w:sz w:val="26"/>
          <w:szCs w:val="26"/>
        </w:rPr>
      </w:pPr>
      <w:r>
        <w:rPr>
          <w:rFonts w:ascii="Arial" w:eastAsia="Arial" w:hAnsi="Arial" w:cs="Arial"/>
          <w:sz w:val="26"/>
          <w:szCs w:val="26"/>
        </w:rPr>
        <w:t>SECRETARIA GENERAL DE ACUERDOS</w:t>
      </w:r>
    </w:p>
    <w:p w14:paraId="0530F68F" w14:textId="4825450A" w:rsidR="0012730E" w:rsidRPr="00F53683" w:rsidRDefault="0012730E" w:rsidP="00F53683">
      <w:pPr>
        <w:tabs>
          <w:tab w:val="left" w:pos="5580"/>
        </w:tabs>
        <w:rPr>
          <w:rFonts w:ascii="Arial" w:eastAsia="Arial" w:hAnsi="Arial" w:cs="Arial"/>
          <w:sz w:val="26"/>
          <w:szCs w:val="26"/>
        </w:rPr>
      </w:pPr>
    </w:p>
    <w:sectPr w:rsidR="0012730E" w:rsidRPr="00F53683" w:rsidSect="00A14602">
      <w:headerReference w:type="even" r:id="rId9"/>
      <w:headerReference w:type="default" r:id="rId10"/>
      <w:footerReference w:type="default" r:id="rId11"/>
      <w:headerReference w:type="first" r:id="rId12"/>
      <w:pgSz w:w="12240" w:h="20160"/>
      <w:pgMar w:top="1134" w:right="1134" w:bottom="2268" w:left="2268" w:header="709" w:footer="12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5B5E73" w14:textId="77777777" w:rsidR="00182F3B" w:rsidRDefault="00182F3B">
      <w:pPr>
        <w:spacing w:after="0" w:line="240" w:lineRule="auto"/>
      </w:pPr>
      <w:r>
        <w:separator/>
      </w:r>
    </w:p>
  </w:endnote>
  <w:endnote w:type="continuationSeparator" w:id="0">
    <w:p w14:paraId="78759806" w14:textId="77777777" w:rsidR="00182F3B" w:rsidRDefault="00182F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5DB70" w14:textId="77777777" w:rsidR="0012730E" w:rsidRDefault="0012730E">
    <w:pPr>
      <w:pBdr>
        <w:top w:val="nil"/>
        <w:left w:val="nil"/>
        <w:bottom w:val="nil"/>
        <w:right w:val="nil"/>
        <w:between w:val="nil"/>
      </w:pBdr>
      <w:tabs>
        <w:tab w:val="center" w:pos="4419"/>
        <w:tab w:val="right" w:pos="8838"/>
      </w:tabs>
      <w:spacing w:after="0" w:line="240" w:lineRule="auto"/>
      <w:jc w:val="center"/>
      <w:rPr>
        <w:rFonts w:ascii="Arial" w:eastAsia="Arial" w:hAnsi="Arial" w:cs="Arial"/>
        <w:color w:val="000000"/>
        <w:sz w:val="24"/>
        <w:szCs w:val="24"/>
      </w:rPr>
    </w:pPr>
  </w:p>
  <w:p w14:paraId="3AB04C5A" w14:textId="77777777" w:rsidR="0012730E" w:rsidRDefault="0012730E">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7ACF92" w14:textId="77777777" w:rsidR="00182F3B" w:rsidRDefault="00182F3B">
      <w:pPr>
        <w:spacing w:after="0" w:line="240" w:lineRule="auto"/>
      </w:pPr>
      <w:r>
        <w:separator/>
      </w:r>
    </w:p>
  </w:footnote>
  <w:footnote w:type="continuationSeparator" w:id="0">
    <w:p w14:paraId="5A1EADAD" w14:textId="77777777" w:rsidR="00182F3B" w:rsidRDefault="00182F3B">
      <w:pPr>
        <w:spacing w:after="0" w:line="240" w:lineRule="auto"/>
      </w:pPr>
      <w:r>
        <w:continuationSeparator/>
      </w:r>
    </w:p>
  </w:footnote>
  <w:footnote w:id="1">
    <w:p w14:paraId="0CBD04F6" w14:textId="77777777" w:rsidR="0012730E" w:rsidRDefault="006B2D01">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rFonts w:ascii="Arial" w:eastAsia="Arial" w:hAnsi="Arial" w:cs="Arial"/>
          <w:color w:val="000000"/>
          <w:sz w:val="18"/>
          <w:szCs w:val="18"/>
        </w:rPr>
        <w:t>Decreto 1486 del Periódico Oficial del veintidós de julio de dos mil veintitrés.</w:t>
      </w:r>
    </w:p>
  </w:footnote>
  <w:footnote w:id="2">
    <w:p w14:paraId="4A740152" w14:textId="77777777" w:rsidR="0012730E" w:rsidRDefault="006B2D01">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rFonts w:ascii="Arial" w:eastAsia="Arial" w:hAnsi="Arial" w:cs="Arial"/>
          <w:b/>
          <w:i/>
          <w:color w:val="000000"/>
          <w:sz w:val="18"/>
          <w:szCs w:val="18"/>
        </w:rPr>
        <w:t>“CONCEPTOS DE VIOLACIÓN. NO ES OBLIGATORIO TRANSCRIBIRLOS EN LA SENTENCIA</w:t>
      </w:r>
      <w:r>
        <w:rPr>
          <w:rFonts w:ascii="Arial" w:eastAsia="Arial" w:hAnsi="Arial" w:cs="Arial"/>
          <w:i/>
          <w:color w:val="000000"/>
          <w:sz w:val="18"/>
          <w:szCs w:val="18"/>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28F67" w14:textId="4A4823CA" w:rsidR="00A14602" w:rsidRDefault="00A14602">
    <w:pPr>
      <w:pStyle w:val="Encabezado"/>
    </w:pPr>
    <w:r>
      <w:rPr>
        <w:noProof/>
      </w:rPr>
      <w:drawing>
        <wp:anchor distT="0" distB="0" distL="114300" distR="114300" simplePos="0" relativeHeight="251660288" behindDoc="1" locked="0" layoutInCell="1" allowOverlap="1" wp14:anchorId="258F75D7" wp14:editId="45379178">
          <wp:simplePos x="0" y="0"/>
          <wp:positionH relativeFrom="column">
            <wp:posOffset>5804535</wp:posOffset>
          </wp:positionH>
          <wp:positionV relativeFrom="paragraph">
            <wp:posOffset>2807335</wp:posOffset>
          </wp:positionV>
          <wp:extent cx="1030605" cy="1256030"/>
          <wp:effectExtent l="0" t="0" r="0" b="1270"/>
          <wp:wrapNone/>
          <wp:docPr id="563905355" name="Imagen 563905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507422" name="Imagen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FF93C" w14:textId="34923B93" w:rsidR="0012730E" w:rsidRDefault="006B2D01" w:rsidP="00A14602">
    <w:pPr>
      <w:pBdr>
        <w:top w:val="nil"/>
        <w:left w:val="nil"/>
        <w:bottom w:val="nil"/>
        <w:right w:val="nil"/>
        <w:between w:val="nil"/>
      </w:pBdr>
      <w:tabs>
        <w:tab w:val="center" w:pos="4419"/>
        <w:tab w:val="right" w:pos="8838"/>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F53683">
      <w:rPr>
        <w:noProof/>
        <w:color w:val="000000"/>
      </w:rPr>
      <w:t>7</w:t>
    </w:r>
    <w:r>
      <w:rPr>
        <w:color w:val="000000"/>
      </w:rPr>
      <w:fldChar w:fldCharType="end"/>
    </w:r>
    <w:r>
      <w:rPr>
        <w:noProof/>
      </w:rPr>
      <w:drawing>
        <wp:anchor distT="0" distB="0" distL="114300" distR="114300" simplePos="0" relativeHeight="251658240" behindDoc="0" locked="0" layoutInCell="1" hidden="0" allowOverlap="1" wp14:anchorId="45D388A2" wp14:editId="5F2D791B">
          <wp:simplePos x="0" y="0"/>
          <wp:positionH relativeFrom="column">
            <wp:posOffset>99696</wp:posOffset>
          </wp:positionH>
          <wp:positionV relativeFrom="paragraph">
            <wp:posOffset>-362584</wp:posOffset>
          </wp:positionV>
          <wp:extent cx="2495550" cy="631190"/>
          <wp:effectExtent l="0" t="0" r="0" b="0"/>
          <wp:wrapNone/>
          <wp:docPr id="153892089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8722" b="8590"/>
                  <a:stretch>
                    <a:fillRect/>
                  </a:stretch>
                </pic:blipFill>
                <pic:spPr>
                  <a:xfrm>
                    <a:off x="0" y="0"/>
                    <a:ext cx="2495550" cy="631190"/>
                  </a:xfrm>
                  <a:prstGeom prst="rect">
                    <a:avLst/>
                  </a:prstGeom>
                  <a:ln/>
                </pic:spPr>
              </pic:pic>
            </a:graphicData>
          </a:graphic>
        </wp:anchor>
      </w:drawing>
    </w:r>
  </w:p>
  <w:p w14:paraId="56095BFF" w14:textId="6904441A" w:rsidR="0012730E" w:rsidRDefault="00A14602" w:rsidP="00A14602">
    <w:pPr>
      <w:pBdr>
        <w:top w:val="nil"/>
        <w:left w:val="nil"/>
        <w:bottom w:val="nil"/>
        <w:right w:val="nil"/>
        <w:between w:val="nil"/>
      </w:pBdr>
      <w:tabs>
        <w:tab w:val="center" w:pos="4419"/>
        <w:tab w:val="right" w:pos="8838"/>
      </w:tabs>
      <w:spacing w:after="0" w:line="240" w:lineRule="auto"/>
      <w:rPr>
        <w:color w:val="000000"/>
      </w:rPr>
    </w:pPr>
    <w:r>
      <w:rPr>
        <w:noProof/>
      </w:rPr>
      <w:drawing>
        <wp:anchor distT="0" distB="0" distL="114300" distR="114300" simplePos="0" relativeHeight="251661312" behindDoc="1" locked="0" layoutInCell="1" allowOverlap="1" wp14:anchorId="20B540C4" wp14:editId="4CD7E051">
          <wp:simplePos x="0" y="0"/>
          <wp:positionH relativeFrom="column">
            <wp:posOffset>-1219200</wp:posOffset>
          </wp:positionH>
          <wp:positionV relativeFrom="paragraph">
            <wp:posOffset>3103245</wp:posOffset>
          </wp:positionV>
          <wp:extent cx="1030605" cy="1256030"/>
          <wp:effectExtent l="0" t="0" r="0" b="1270"/>
          <wp:wrapNone/>
          <wp:docPr id="81630015" name="Imagen 8163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507422" name="Imagen 1"/>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00F99" w14:textId="7A094FBB" w:rsidR="0012730E" w:rsidRDefault="006B2D01">
    <w:pPr>
      <w:pBdr>
        <w:top w:val="nil"/>
        <w:left w:val="nil"/>
        <w:bottom w:val="nil"/>
        <w:right w:val="nil"/>
        <w:between w:val="nil"/>
      </w:pBdr>
      <w:tabs>
        <w:tab w:val="center" w:pos="4419"/>
        <w:tab w:val="right" w:pos="8838"/>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AA62D5">
      <w:rPr>
        <w:noProof/>
        <w:color w:val="000000"/>
      </w:rPr>
      <w:t>1</w:t>
    </w:r>
    <w:r>
      <w:rPr>
        <w:color w:val="000000"/>
      </w:rPr>
      <w:fldChar w:fldCharType="end"/>
    </w:r>
    <w:r>
      <w:rPr>
        <w:noProof/>
      </w:rPr>
      <w:drawing>
        <wp:anchor distT="0" distB="0" distL="114300" distR="114300" simplePos="0" relativeHeight="251659264" behindDoc="0" locked="0" layoutInCell="1" hidden="0" allowOverlap="1" wp14:anchorId="6E8BDADF" wp14:editId="06588398">
          <wp:simplePos x="0" y="0"/>
          <wp:positionH relativeFrom="column">
            <wp:posOffset>-803274</wp:posOffset>
          </wp:positionH>
          <wp:positionV relativeFrom="paragraph">
            <wp:posOffset>-360044</wp:posOffset>
          </wp:positionV>
          <wp:extent cx="2495550" cy="631190"/>
          <wp:effectExtent l="0" t="0" r="0" b="0"/>
          <wp:wrapNone/>
          <wp:docPr id="153892089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8722" b="8590"/>
                  <a:stretch>
                    <a:fillRect/>
                  </a:stretch>
                </pic:blipFill>
                <pic:spPr>
                  <a:xfrm>
                    <a:off x="0" y="0"/>
                    <a:ext cx="2495550" cy="631190"/>
                  </a:xfrm>
                  <a:prstGeom prst="rect">
                    <a:avLst/>
                  </a:prstGeom>
                  <a:ln/>
                </pic:spPr>
              </pic:pic>
            </a:graphicData>
          </a:graphic>
        </wp:anchor>
      </w:drawing>
    </w:r>
  </w:p>
  <w:p w14:paraId="53933DB8" w14:textId="5A8F22A1" w:rsidR="0012730E" w:rsidRDefault="00A14602">
    <w:pPr>
      <w:pBdr>
        <w:top w:val="nil"/>
        <w:left w:val="nil"/>
        <w:bottom w:val="nil"/>
        <w:right w:val="nil"/>
        <w:between w:val="nil"/>
      </w:pBdr>
      <w:tabs>
        <w:tab w:val="center" w:pos="4419"/>
        <w:tab w:val="right" w:pos="8838"/>
      </w:tabs>
      <w:spacing w:after="0" w:line="240" w:lineRule="auto"/>
      <w:rPr>
        <w:color w:val="000000"/>
      </w:rPr>
    </w:pPr>
    <w:r>
      <w:rPr>
        <w:noProof/>
      </w:rPr>
      <w:drawing>
        <wp:anchor distT="0" distB="0" distL="114300" distR="114300" simplePos="0" relativeHeight="251662336" behindDoc="1" locked="0" layoutInCell="1" allowOverlap="1" wp14:anchorId="18AD100B" wp14:editId="1B8F3353">
          <wp:simplePos x="0" y="0"/>
          <wp:positionH relativeFrom="column">
            <wp:posOffset>-1154430</wp:posOffset>
          </wp:positionH>
          <wp:positionV relativeFrom="paragraph">
            <wp:posOffset>5133340</wp:posOffset>
          </wp:positionV>
          <wp:extent cx="1030605" cy="1256030"/>
          <wp:effectExtent l="0" t="0" r="0" b="1270"/>
          <wp:wrapNone/>
          <wp:docPr id="49550742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507422" name="Imagen 1"/>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E0411"/>
    <w:multiLevelType w:val="multilevel"/>
    <w:tmpl w:val="45B80330"/>
    <w:lvl w:ilvl="0">
      <w:start w:val="8"/>
      <w:numFmt w:val="decimal"/>
      <w:lvlText w:val="%1."/>
      <w:lvlJc w:val="left"/>
      <w:pPr>
        <w:ind w:left="1287" w:hanging="360"/>
      </w:pPr>
      <w:rPr>
        <w:b w:val="0"/>
        <w:sz w:val="24"/>
        <w:szCs w:val="24"/>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 w15:restartNumberingAfterBreak="0">
    <w:nsid w:val="2D0F4BB9"/>
    <w:multiLevelType w:val="multilevel"/>
    <w:tmpl w:val="89A27A6E"/>
    <w:lvl w:ilvl="0">
      <w:start w:val="1"/>
      <w:numFmt w:val="decimal"/>
      <w:lvlText w:val="%1."/>
      <w:lvlJc w:val="left"/>
      <w:pPr>
        <w:ind w:left="1068" w:hanging="360"/>
      </w:pPr>
      <w:rPr>
        <w:b w:val="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 w15:restartNumberingAfterBreak="0">
    <w:nsid w:val="69EC4701"/>
    <w:multiLevelType w:val="multilevel"/>
    <w:tmpl w:val="4A785A28"/>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num w:numId="1" w16cid:durableId="631790618">
    <w:abstractNumId w:val="1"/>
  </w:num>
  <w:num w:numId="2" w16cid:durableId="1182354354">
    <w:abstractNumId w:val="0"/>
  </w:num>
  <w:num w:numId="3" w16cid:durableId="7413663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20"/>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730E"/>
    <w:rsid w:val="000E5611"/>
    <w:rsid w:val="0012730E"/>
    <w:rsid w:val="00182F3B"/>
    <w:rsid w:val="001C05EB"/>
    <w:rsid w:val="00235E46"/>
    <w:rsid w:val="00292C53"/>
    <w:rsid w:val="00320BE4"/>
    <w:rsid w:val="00382257"/>
    <w:rsid w:val="00420C1E"/>
    <w:rsid w:val="0042593A"/>
    <w:rsid w:val="004E0F63"/>
    <w:rsid w:val="005162B1"/>
    <w:rsid w:val="006B2D01"/>
    <w:rsid w:val="00773B72"/>
    <w:rsid w:val="007F0DE6"/>
    <w:rsid w:val="008A2F1B"/>
    <w:rsid w:val="008B34A5"/>
    <w:rsid w:val="008D2D71"/>
    <w:rsid w:val="009009A2"/>
    <w:rsid w:val="009F16FD"/>
    <w:rsid w:val="00A07085"/>
    <w:rsid w:val="00A14602"/>
    <w:rsid w:val="00A87994"/>
    <w:rsid w:val="00AA62D5"/>
    <w:rsid w:val="00D3090C"/>
    <w:rsid w:val="00D4341B"/>
    <w:rsid w:val="00E540E8"/>
    <w:rsid w:val="00EF6A49"/>
    <w:rsid w:val="00F5368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F5A49"/>
  <w15:docId w15:val="{1610DE6A-BDD6-484A-ABEB-04EACE544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MX"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314"/>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semiHidden/>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iPriority w:val="99"/>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uiPriority w:val="99"/>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rPr>
  </w:style>
  <w:style w:type="paragraph" w:styleId="NormalWeb">
    <w:name w:val="Normal (Web)"/>
    <w:basedOn w:val="Normal"/>
    <w:uiPriority w:val="99"/>
    <w:unhideWhenUsed/>
    <w:rsid w:val="00CC0259"/>
    <w:pPr>
      <w:spacing w:before="100" w:beforeAutospacing="1" w:after="100" w:afterAutospacing="1" w:line="240" w:lineRule="auto"/>
    </w:pPr>
    <w:rPr>
      <w:rFonts w:ascii="Times New Roman" w:eastAsia="Times New Roman" w:hAnsi="Times New Roman" w:cs="Times New Roman"/>
      <w:sz w:val="24"/>
      <w:szCs w:val="24"/>
    </w:rPr>
  </w:style>
  <w:style w:type="paragraph" w:styleId="TtuloTDC">
    <w:name w:val="TOC Heading"/>
    <w:basedOn w:val="Ttulo1"/>
    <w:next w:val="Normal"/>
    <w:uiPriority w:val="39"/>
    <w:unhideWhenUsed/>
    <w:qFormat/>
    <w:rsid w:val="007F379C"/>
    <w:pPr>
      <w:spacing w:before="320" w:line="240" w:lineRule="auto"/>
      <w:outlineLvl w:val="9"/>
    </w:pPr>
    <w:rPr>
      <w:sz w:val="30"/>
      <w:szCs w:val="30"/>
    </w:rPr>
  </w:style>
  <w:style w:type="paragraph" w:styleId="TDC1">
    <w:name w:val="toc 1"/>
    <w:basedOn w:val="Normal"/>
    <w:next w:val="Normal"/>
    <w:autoRedefine/>
    <w:uiPriority w:val="39"/>
    <w:unhideWhenUsed/>
    <w:rsid w:val="007F379C"/>
    <w:pPr>
      <w:tabs>
        <w:tab w:val="right" w:leader="dot" w:pos="8828"/>
      </w:tabs>
      <w:spacing w:after="100" w:line="360" w:lineRule="auto"/>
    </w:pPr>
    <w:rPr>
      <w:rFonts w:ascii="Arial" w:eastAsiaTheme="minorEastAsia" w:hAnsi="Arial" w:cs="Arial"/>
      <w:b/>
      <w:noProof/>
      <w:sz w:val="24"/>
      <w:szCs w:val="24"/>
    </w:rPr>
  </w:style>
  <w:style w:type="paragraph" w:styleId="TDC2">
    <w:name w:val="toc 2"/>
    <w:basedOn w:val="Normal"/>
    <w:next w:val="Normal"/>
    <w:autoRedefine/>
    <w:uiPriority w:val="39"/>
    <w:unhideWhenUsed/>
    <w:rsid w:val="007F379C"/>
    <w:pPr>
      <w:spacing w:after="100" w:line="259" w:lineRule="auto"/>
      <w:ind w:left="220"/>
    </w:pPr>
    <w:rPr>
      <w:rFonts w:eastAsiaTheme="minorEastAsia"/>
    </w:rPr>
  </w:style>
  <w:style w:type="table" w:styleId="Tablaconcuadrcula">
    <w:name w:val="Table Grid"/>
    <w:basedOn w:val="Tablanormal"/>
    <w:uiPriority w:val="59"/>
    <w:rsid w:val="009A1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lendarText">
    <w:name w:val="CalendarText"/>
    <w:basedOn w:val="Normal"/>
    <w:link w:val="CalendarTextChar"/>
    <w:rsid w:val="003A568C"/>
    <w:pPr>
      <w:spacing w:after="0" w:line="240" w:lineRule="auto"/>
    </w:pPr>
    <w:rPr>
      <w:rFonts w:ascii="Arial" w:eastAsia="Times New Roman" w:hAnsi="Arial" w:cs="Arial"/>
      <w:color w:val="000000"/>
      <w:sz w:val="20"/>
      <w:szCs w:val="24"/>
      <w:lang w:val="en-US"/>
    </w:rPr>
  </w:style>
  <w:style w:type="character" w:customStyle="1" w:styleId="WinCalendarBLANKCELLSTYLE0">
    <w:name w:val="WinCalendar_BLANKCELL_STYLE0"/>
    <w:rsid w:val="003A568C"/>
    <w:rPr>
      <w:rFonts w:ascii="Arial Narrow" w:hAnsi="Arial Narrow"/>
      <w:b w:val="0"/>
      <w:color w:val="000000"/>
      <w:sz w:val="16"/>
      <w:szCs w:val="20"/>
    </w:rPr>
  </w:style>
  <w:style w:type="character" w:customStyle="1" w:styleId="CalendarTextChar">
    <w:name w:val="CalendarText Char"/>
    <w:basedOn w:val="Fuentedeprrafopredeter"/>
    <w:link w:val="CalendarText"/>
    <w:rsid w:val="003A568C"/>
    <w:rPr>
      <w:rFonts w:ascii="Arial" w:eastAsia="Times New Roman" w:hAnsi="Arial" w:cs="Arial"/>
      <w:color w:val="000000"/>
      <w:sz w:val="20"/>
      <w:szCs w:val="24"/>
      <w:lang w:val="en-US"/>
    </w:rPr>
  </w:style>
  <w:style w:type="character" w:customStyle="1" w:styleId="CalendarNumbers">
    <w:name w:val="CalendarNumbers"/>
    <w:basedOn w:val="Fuentedeprrafopredeter"/>
    <w:rsid w:val="003A568C"/>
    <w:rPr>
      <w:rFonts w:ascii="Arial" w:hAnsi="Arial"/>
      <w:b/>
      <w:bCs/>
      <w:color w:val="000080"/>
      <w:sz w:val="24"/>
    </w:rPr>
  </w:style>
  <w:style w:type="character" w:customStyle="1" w:styleId="StyleStyleCalendarNumbers10ptNotBold11pt">
    <w:name w:val="Style Style CalendarNumbers + 10 pt Not Bold + 11 pt"/>
    <w:basedOn w:val="Fuentedeprrafopredeter"/>
    <w:rsid w:val="003A568C"/>
    <w:rPr>
      <w:rFonts w:ascii="Arial" w:hAnsi="Arial"/>
      <w:b/>
      <w:bCs/>
      <w:color w:val="000080"/>
      <w:sz w:val="22"/>
      <w:szCs w:val="20"/>
    </w:rPr>
  </w:style>
  <w:style w:type="character" w:customStyle="1" w:styleId="WinCalendarHolidayBlue">
    <w:name w:val="WinCalendar_HolidayBlue"/>
    <w:basedOn w:val="Fuentedeprrafopredeter"/>
    <w:rsid w:val="003A568C"/>
    <w:rPr>
      <w:rFonts w:ascii="Arial Narrow" w:hAnsi="Arial Narrow"/>
      <w:b w:val="0"/>
      <w:color w:val="333399"/>
      <w:sz w:val="16"/>
    </w:rPr>
  </w:style>
  <w:style w:type="character" w:customStyle="1" w:styleId="ng-star-inserted">
    <w:name w:val="ng-star-inserted"/>
    <w:basedOn w:val="Fuentedeprrafopredeter"/>
    <w:rsid w:val="00525623"/>
  </w:style>
  <w:style w:type="character" w:styleId="Textoennegrita">
    <w:name w:val="Strong"/>
    <w:basedOn w:val="Fuentedeprrafopredeter"/>
    <w:uiPriority w:val="22"/>
    <w:qFormat/>
    <w:rsid w:val="00941F75"/>
    <w:rPr>
      <w:b/>
      <w:bCs/>
    </w:rPr>
  </w:style>
  <w:style w:type="character" w:customStyle="1" w:styleId="skin-color-text">
    <w:name w:val="skin-color-text"/>
    <w:basedOn w:val="Fuentedeprrafopredeter"/>
    <w:rsid w:val="00941F75"/>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aQFgwJBdg4IV2yV0o/hnM6jXkQ==">CgMxLjAyCGguZ2pkZ3hzMgloLjMwajB6bGwyCWguMWZvYjl0ZTgAciExZllFb29MUlNyZ3c2cXY4SU9XQmpDV2xMdTZZMHZYS3U=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7</Pages>
  <Words>2117</Words>
  <Characters>11646</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tjao_personal</cp:lastModifiedBy>
  <cp:revision>10</cp:revision>
  <dcterms:created xsi:type="dcterms:W3CDTF">2023-09-13T19:21:00Z</dcterms:created>
  <dcterms:modified xsi:type="dcterms:W3CDTF">2023-10-25T19:16:00Z</dcterms:modified>
</cp:coreProperties>
</file>