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36441" w14:textId="6B50A147" w:rsidR="009E317D" w:rsidRPr="00EE4752" w:rsidRDefault="005222BD" w:rsidP="00312248">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6FAF062C" w:rsidR="001658D6" w:rsidRPr="00EE4752" w:rsidRDefault="00F71B86" w:rsidP="004C2614">
      <w:pPr>
        <w:spacing w:line="240" w:lineRule="auto"/>
        <w:ind w:left="2835"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20953968" w14:textId="6507E711" w:rsidR="00A96589" w:rsidRDefault="00F71B86"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2647FE" w:rsidRPr="002647FE">
        <w:rPr>
          <w:rFonts w:ascii="Arial" w:eastAsia="Times New Roman" w:hAnsi="Arial" w:cs="Arial"/>
          <w:sz w:val="26"/>
          <w:szCs w:val="26"/>
          <w:lang w:val="es-ES_tradnl" w:eastAsia="es-ES"/>
        </w:rPr>
        <w:t>0237/2023.</w:t>
      </w:r>
    </w:p>
    <w:p w14:paraId="1E955A28" w14:textId="077E8D59" w:rsidR="00140805" w:rsidRPr="00F71B86" w:rsidRDefault="00A96589"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w:t>
      </w:r>
      <w:r w:rsidR="002647FE" w:rsidRPr="002647FE">
        <w:rPr>
          <w:rFonts w:ascii="Arial" w:eastAsia="Times New Roman" w:hAnsi="Arial" w:cs="Arial"/>
          <w:bCs/>
          <w:sz w:val="26"/>
          <w:szCs w:val="26"/>
          <w:lang w:val="es-ES_tradnl" w:eastAsia="es-ES"/>
        </w:rPr>
        <w:t>0040/2022 DE LA                      PRIMERA SALA UNITARIA DE PRIMERA INSTANCIA.</w:t>
      </w:r>
    </w:p>
    <w:p w14:paraId="4AE0D200" w14:textId="0D286944" w:rsidR="003569E3" w:rsidRPr="00A96589" w:rsidRDefault="002647FE"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RECURRENTE</w:t>
      </w:r>
      <w:r w:rsidR="00A06686">
        <w:rPr>
          <w:rFonts w:ascii="Arial" w:eastAsia="Times New Roman" w:hAnsi="Arial" w:cs="Arial"/>
          <w:b/>
          <w:sz w:val="26"/>
          <w:szCs w:val="26"/>
          <w:lang w:val="es-ES_tradnl" w:eastAsia="es-ES"/>
        </w:rPr>
        <w:t>:</w:t>
      </w:r>
      <w:r w:rsidR="00AA234A">
        <w:rPr>
          <w:rFonts w:ascii="Arial" w:eastAsia="Times New Roman" w:hAnsi="Arial" w:cs="Arial"/>
          <w:sz w:val="26"/>
          <w:szCs w:val="26"/>
          <w:lang w:val="es-ES_tradnl" w:eastAsia="es-ES"/>
        </w:rPr>
        <w:t xml:space="preserve"> **********</w:t>
      </w:r>
      <w:r w:rsidRPr="002647FE">
        <w:rPr>
          <w:rFonts w:ascii="Arial" w:eastAsia="Times New Roman" w:hAnsi="Arial" w:cs="Arial"/>
          <w:sz w:val="26"/>
          <w:szCs w:val="26"/>
          <w:lang w:val="es-ES_tradnl" w:eastAsia="es-ES"/>
        </w:rPr>
        <w:t>.</w:t>
      </w:r>
    </w:p>
    <w:p w14:paraId="56BD4D22" w14:textId="615F746B" w:rsidR="00016847" w:rsidRPr="002647FE" w:rsidRDefault="00C07F53" w:rsidP="004C2614">
      <w:pPr>
        <w:spacing w:line="240" w:lineRule="auto"/>
        <w:ind w:left="2835" w:right="51"/>
        <w:jc w:val="both"/>
        <w:rPr>
          <w:rFonts w:ascii="Arial" w:eastAsia="Times New Roman" w:hAnsi="Arial" w:cs="Arial"/>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2647FE" w:rsidRPr="002647FE">
        <w:rPr>
          <w:rFonts w:ascii="Arial" w:eastAsia="Times New Roman" w:hAnsi="Arial" w:cs="Arial"/>
          <w:sz w:val="26"/>
          <w:szCs w:val="26"/>
          <w:lang w:val="es-ES_tradnl" w:eastAsia="es-ES"/>
        </w:rPr>
        <w:t>PRESIDENTE MUNICIPAL DE SANTA MARÍA EL TULE, OAXACA.</w:t>
      </w:r>
    </w:p>
    <w:p w14:paraId="457C35AC" w14:textId="380C9BAF"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875B8">
        <w:rPr>
          <w:rFonts w:ascii="Arial" w:eastAsia="Times New Roman" w:hAnsi="Arial" w:cs="Arial"/>
          <w:bCs/>
          <w:sz w:val="26"/>
          <w:szCs w:val="26"/>
          <w:lang w:val="es-ES_tradnl" w:eastAsia="es-ES"/>
        </w:rPr>
        <w:t xml:space="preserve">MATEO MARTÍNEZ </w:t>
      </w:r>
      <w:proofErr w:type="spellStart"/>
      <w:r w:rsidR="007875B8">
        <w:rPr>
          <w:rFonts w:ascii="Arial" w:eastAsia="Times New Roman" w:hAnsi="Arial" w:cs="Arial"/>
          <w:bCs/>
          <w:sz w:val="26"/>
          <w:szCs w:val="26"/>
          <w:lang w:val="es-ES_tradnl" w:eastAsia="es-ES"/>
        </w:rPr>
        <w:t>MARTÍNEZ</w:t>
      </w:r>
      <w:proofErr w:type="spellEnd"/>
    </w:p>
    <w:p w14:paraId="6F491F01" w14:textId="77777777" w:rsidR="000F39BF" w:rsidRPr="000F39BF" w:rsidRDefault="000F39BF" w:rsidP="004C2614">
      <w:pPr>
        <w:spacing w:line="240" w:lineRule="auto"/>
        <w:ind w:left="2835" w:right="51"/>
        <w:jc w:val="both"/>
        <w:rPr>
          <w:rFonts w:ascii="Arial" w:eastAsia="Times New Roman" w:hAnsi="Arial" w:cs="Arial"/>
          <w:bCs/>
          <w:sz w:val="12"/>
          <w:szCs w:val="26"/>
          <w:lang w:val="es-ES_tradnl" w:eastAsia="es-ES"/>
        </w:rPr>
      </w:pPr>
    </w:p>
    <w:bookmarkEnd w:id="0"/>
    <w:bookmarkEnd w:id="1"/>
    <w:p w14:paraId="70DB9FE9" w14:textId="77871029" w:rsidR="008C764E" w:rsidRPr="00EE4752" w:rsidRDefault="003569E3" w:rsidP="00763651">
      <w:pPr>
        <w:widowControl w:val="0"/>
        <w:spacing w:line="360" w:lineRule="auto"/>
        <w:ind w:right="51" w:firstLine="709"/>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E26C96">
        <w:rPr>
          <w:rFonts w:ascii="Arial" w:eastAsia="Times New Roman" w:hAnsi="Arial" w:cs="Arial"/>
          <w:b/>
          <w:sz w:val="26"/>
          <w:szCs w:val="26"/>
          <w:lang w:val="es-ES" w:eastAsia="es-ES"/>
        </w:rPr>
        <w:t xml:space="preserve"> </w:t>
      </w:r>
      <w:r w:rsidR="00852D10">
        <w:rPr>
          <w:rFonts w:ascii="Arial" w:eastAsia="Times New Roman" w:hAnsi="Arial" w:cs="Arial"/>
          <w:b/>
          <w:sz w:val="26"/>
          <w:szCs w:val="26"/>
          <w:lang w:val="es-ES" w:eastAsia="es-ES"/>
        </w:rPr>
        <w:t xml:space="preserve">VEINTIOCHO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w:t>
      </w:r>
      <w:r w:rsidR="007875B8">
        <w:rPr>
          <w:rFonts w:ascii="Arial" w:eastAsia="Times New Roman" w:hAnsi="Arial" w:cs="Arial"/>
          <w:b/>
          <w:sz w:val="26"/>
          <w:szCs w:val="26"/>
          <w:lang w:val="es-ES" w:eastAsia="es-ES"/>
        </w:rPr>
        <w:t xml:space="preserve">- - - - - - - - - </w:t>
      </w:r>
    </w:p>
    <w:p w14:paraId="4BCD7EB3" w14:textId="2EE8374E" w:rsidR="007875B8" w:rsidRPr="002647FE" w:rsidRDefault="007875B8" w:rsidP="002647FE">
      <w:pPr>
        <w:spacing w:before="240" w:line="360" w:lineRule="auto"/>
        <w:ind w:firstLine="709"/>
        <w:jc w:val="both"/>
        <w:rPr>
          <w:rFonts w:ascii="Arial" w:hAnsi="Arial" w:cs="Arial"/>
          <w:b/>
          <w:sz w:val="26"/>
          <w:szCs w:val="26"/>
        </w:rPr>
      </w:pPr>
      <w:r>
        <w:rPr>
          <w:rFonts w:ascii="Arial" w:hAnsi="Arial" w:cs="Arial"/>
          <w:sz w:val="26"/>
          <w:szCs w:val="26"/>
        </w:rPr>
        <w:t xml:space="preserve">1. </w:t>
      </w:r>
      <w:r w:rsidRPr="00965F29">
        <w:rPr>
          <w:rFonts w:ascii="Arial" w:hAnsi="Arial" w:cs="Arial"/>
          <w:sz w:val="26"/>
          <w:szCs w:val="26"/>
        </w:rPr>
        <w:t>Resolución de la Sala Superior que</w:t>
      </w:r>
      <w:r w:rsidR="002647FE">
        <w:rPr>
          <w:rFonts w:ascii="Arial" w:hAnsi="Arial" w:cs="Arial"/>
          <w:sz w:val="26"/>
          <w:szCs w:val="26"/>
        </w:rPr>
        <w:t xml:space="preserve"> </w:t>
      </w:r>
      <w:r w:rsidR="002647FE" w:rsidRPr="002647FE">
        <w:rPr>
          <w:rFonts w:ascii="Arial" w:hAnsi="Arial" w:cs="Arial"/>
          <w:b/>
          <w:sz w:val="26"/>
          <w:szCs w:val="26"/>
        </w:rPr>
        <w:t>REVOCA</w:t>
      </w:r>
      <w:r w:rsidR="002647FE" w:rsidRPr="002647FE">
        <w:rPr>
          <w:rFonts w:ascii="Arial" w:hAnsi="Arial" w:cs="Arial"/>
          <w:sz w:val="26"/>
          <w:szCs w:val="26"/>
        </w:rPr>
        <w:t xml:space="preserve"> la sentencia de trece de marzo de dos mil veintitrés</w:t>
      </w:r>
      <w:r w:rsidR="002647FE">
        <w:rPr>
          <w:rFonts w:ascii="Arial" w:hAnsi="Arial" w:cs="Arial"/>
          <w:sz w:val="26"/>
          <w:szCs w:val="26"/>
        </w:rPr>
        <w:t xml:space="preserve">, dictada por la Primera </w:t>
      </w:r>
      <w:r>
        <w:rPr>
          <w:rFonts w:ascii="Arial" w:hAnsi="Arial" w:cs="Arial"/>
          <w:sz w:val="26"/>
          <w:szCs w:val="26"/>
        </w:rPr>
        <w:t>Sala Unitaria de Primera Instancia de este Tribunal de Justicia Administrativa</w:t>
      </w:r>
      <w:r w:rsidR="002647FE">
        <w:rPr>
          <w:rFonts w:ascii="Arial" w:hAnsi="Arial" w:cs="Arial"/>
          <w:sz w:val="26"/>
          <w:szCs w:val="26"/>
        </w:rPr>
        <w:t xml:space="preserve"> y Combate a la Corrupción del Estado de Oaxaca.</w:t>
      </w:r>
      <w:r w:rsidR="002417AF">
        <w:rPr>
          <w:rFonts w:ascii="Arial" w:hAnsi="Arial" w:cs="Arial"/>
          <w:sz w:val="26"/>
          <w:szCs w:val="26"/>
        </w:rPr>
        <w:t xml:space="preserve"> </w:t>
      </w:r>
    </w:p>
    <w:p w14:paraId="3175ABE5" w14:textId="373A60A0" w:rsidR="00B979B6" w:rsidRPr="00D76A97" w:rsidRDefault="00B979B6" w:rsidP="002417AF">
      <w:pPr>
        <w:spacing w:before="240" w:line="360" w:lineRule="auto"/>
        <w:jc w:val="center"/>
        <w:rPr>
          <w:rFonts w:ascii="Arial" w:hAnsi="Arial" w:cs="Arial"/>
          <w:b/>
          <w:color w:val="000000" w:themeColor="text1"/>
          <w:sz w:val="26"/>
          <w:szCs w:val="26"/>
        </w:rPr>
      </w:pPr>
      <w:r w:rsidRPr="00D76A97">
        <w:rPr>
          <w:rFonts w:ascii="Arial" w:hAnsi="Arial" w:cs="Arial"/>
          <w:b/>
          <w:color w:val="000000" w:themeColor="text1"/>
          <w:sz w:val="26"/>
          <w:szCs w:val="26"/>
        </w:rPr>
        <w:t>ÍNDICE</w:t>
      </w:r>
    </w:p>
    <w:p w14:paraId="671F150F" w14:textId="6E5A7F5E" w:rsidR="00B979B6" w:rsidRPr="00D76A97" w:rsidRDefault="00B979B6" w:rsidP="002417AF">
      <w:pPr>
        <w:spacing w:before="240" w:line="240" w:lineRule="auto"/>
        <w:ind w:left="284"/>
        <w:jc w:val="both"/>
        <w:rPr>
          <w:rFonts w:ascii="Arial" w:hAnsi="Arial" w:cs="Arial"/>
          <w:color w:val="000000" w:themeColor="text1"/>
          <w:sz w:val="24"/>
          <w:szCs w:val="26"/>
        </w:rPr>
      </w:pPr>
      <w:r w:rsidRPr="00D76A97">
        <w:rPr>
          <w:rFonts w:ascii="Arial" w:hAnsi="Arial" w:cs="Arial"/>
          <w:color w:val="000000" w:themeColor="text1"/>
          <w:sz w:val="24"/>
          <w:szCs w:val="26"/>
        </w:rPr>
        <w:t>GLOSARIO …………………………………………</w:t>
      </w:r>
      <w:proofErr w:type="gramStart"/>
      <w:r w:rsidRPr="00D76A97">
        <w:rPr>
          <w:rFonts w:ascii="Arial" w:hAnsi="Arial" w:cs="Arial"/>
          <w:color w:val="000000" w:themeColor="text1"/>
          <w:sz w:val="24"/>
          <w:szCs w:val="26"/>
        </w:rPr>
        <w:t>…</w:t>
      </w:r>
      <w:r w:rsidR="00254021" w:rsidRPr="00D76A97">
        <w:rPr>
          <w:rFonts w:ascii="Arial" w:hAnsi="Arial" w:cs="Arial"/>
          <w:color w:val="000000" w:themeColor="text1"/>
          <w:sz w:val="24"/>
          <w:szCs w:val="26"/>
        </w:rPr>
        <w:t>….</w:t>
      </w:r>
      <w:proofErr w:type="gramEnd"/>
      <w:r w:rsidR="00254021" w:rsidRPr="00D76A97">
        <w:rPr>
          <w:rFonts w:ascii="Arial" w:hAnsi="Arial" w:cs="Arial"/>
          <w:color w:val="000000" w:themeColor="text1"/>
          <w:sz w:val="24"/>
          <w:szCs w:val="26"/>
        </w:rPr>
        <w:t>.</w:t>
      </w:r>
      <w:r w:rsidRPr="00D76A97">
        <w:rPr>
          <w:rFonts w:ascii="Arial" w:hAnsi="Arial" w:cs="Arial"/>
          <w:color w:val="000000" w:themeColor="text1"/>
          <w:sz w:val="24"/>
          <w:szCs w:val="26"/>
        </w:rPr>
        <w:t>………………………</w:t>
      </w:r>
      <w:r w:rsidR="000F31C8" w:rsidRPr="00D76A97">
        <w:rPr>
          <w:rFonts w:ascii="Arial" w:hAnsi="Arial" w:cs="Arial"/>
          <w:color w:val="000000" w:themeColor="text1"/>
          <w:sz w:val="24"/>
          <w:szCs w:val="26"/>
        </w:rPr>
        <w:t xml:space="preserve">  1</w:t>
      </w:r>
    </w:p>
    <w:p w14:paraId="427904A1" w14:textId="727F1B0B" w:rsidR="00B979B6" w:rsidRPr="00D76A97" w:rsidRDefault="00657101" w:rsidP="002417AF">
      <w:pPr>
        <w:spacing w:before="240" w:line="240" w:lineRule="auto"/>
        <w:jc w:val="both"/>
        <w:rPr>
          <w:rFonts w:ascii="Arial" w:hAnsi="Arial" w:cs="Arial"/>
          <w:color w:val="000000" w:themeColor="text1"/>
          <w:sz w:val="24"/>
          <w:szCs w:val="26"/>
        </w:rPr>
      </w:pPr>
      <w:r w:rsidRPr="00D76A97">
        <w:rPr>
          <w:rFonts w:ascii="Arial" w:hAnsi="Arial" w:cs="Arial"/>
          <w:color w:val="000000" w:themeColor="text1"/>
          <w:sz w:val="24"/>
          <w:szCs w:val="26"/>
        </w:rPr>
        <w:t>1. RESULTANDO ……………………………………………</w:t>
      </w:r>
      <w:r w:rsidR="00254021" w:rsidRPr="00D76A97">
        <w:rPr>
          <w:rFonts w:ascii="Arial" w:hAnsi="Arial" w:cs="Arial"/>
          <w:color w:val="000000" w:themeColor="text1"/>
          <w:sz w:val="24"/>
          <w:szCs w:val="26"/>
        </w:rPr>
        <w:t>…..</w:t>
      </w:r>
      <w:r w:rsidRPr="00D76A97">
        <w:rPr>
          <w:rFonts w:ascii="Arial" w:hAnsi="Arial" w:cs="Arial"/>
          <w:color w:val="000000" w:themeColor="text1"/>
          <w:sz w:val="24"/>
          <w:szCs w:val="26"/>
        </w:rPr>
        <w:t>………………….</w:t>
      </w:r>
      <w:r w:rsidR="000F31C8" w:rsidRPr="00D76A97">
        <w:rPr>
          <w:rFonts w:ascii="Arial" w:hAnsi="Arial" w:cs="Arial"/>
          <w:color w:val="000000" w:themeColor="text1"/>
          <w:sz w:val="24"/>
          <w:szCs w:val="26"/>
        </w:rPr>
        <w:t xml:space="preserve">.  </w:t>
      </w:r>
      <w:r w:rsidRPr="00D76A97">
        <w:rPr>
          <w:rFonts w:ascii="Arial" w:hAnsi="Arial" w:cs="Arial"/>
          <w:color w:val="000000" w:themeColor="text1"/>
          <w:sz w:val="24"/>
          <w:szCs w:val="26"/>
        </w:rPr>
        <w:t>2</w:t>
      </w:r>
    </w:p>
    <w:p w14:paraId="454AB6E5" w14:textId="2072AEFF" w:rsidR="00657101" w:rsidRPr="00D76A97" w:rsidRDefault="00657101" w:rsidP="002417AF">
      <w:pPr>
        <w:spacing w:before="240" w:line="240" w:lineRule="auto"/>
        <w:ind w:left="284"/>
        <w:jc w:val="both"/>
        <w:rPr>
          <w:rFonts w:ascii="Arial" w:hAnsi="Arial" w:cs="Arial"/>
          <w:color w:val="000000" w:themeColor="text1"/>
          <w:sz w:val="24"/>
          <w:szCs w:val="26"/>
        </w:rPr>
      </w:pPr>
      <w:r w:rsidRPr="00D76A97">
        <w:rPr>
          <w:rFonts w:ascii="Arial" w:hAnsi="Arial" w:cs="Arial"/>
          <w:color w:val="000000" w:themeColor="text1"/>
          <w:sz w:val="24"/>
          <w:szCs w:val="26"/>
        </w:rPr>
        <w:t>PRIMERO. RECURSO DE REVISIÓN …………………</w:t>
      </w:r>
      <w:proofErr w:type="gramStart"/>
      <w:r w:rsidRPr="00D76A97">
        <w:rPr>
          <w:rFonts w:ascii="Arial" w:hAnsi="Arial" w:cs="Arial"/>
          <w:color w:val="000000" w:themeColor="text1"/>
          <w:sz w:val="24"/>
          <w:szCs w:val="26"/>
        </w:rPr>
        <w:t>…</w:t>
      </w:r>
      <w:r w:rsidR="00254021" w:rsidRPr="00D76A97">
        <w:rPr>
          <w:rFonts w:ascii="Arial" w:hAnsi="Arial" w:cs="Arial"/>
          <w:color w:val="000000" w:themeColor="text1"/>
          <w:sz w:val="24"/>
          <w:szCs w:val="26"/>
        </w:rPr>
        <w:t>….</w:t>
      </w:r>
      <w:proofErr w:type="gramEnd"/>
      <w:r w:rsidR="00254021" w:rsidRPr="00D76A97">
        <w:rPr>
          <w:rFonts w:ascii="Arial" w:hAnsi="Arial" w:cs="Arial"/>
          <w:color w:val="000000" w:themeColor="text1"/>
          <w:sz w:val="24"/>
          <w:szCs w:val="26"/>
        </w:rPr>
        <w:t>.</w:t>
      </w:r>
      <w:r w:rsidRPr="00D76A97">
        <w:rPr>
          <w:rFonts w:ascii="Arial" w:hAnsi="Arial" w:cs="Arial"/>
          <w:color w:val="000000" w:themeColor="text1"/>
          <w:sz w:val="24"/>
          <w:szCs w:val="26"/>
        </w:rPr>
        <w:t xml:space="preserve">………………. </w:t>
      </w:r>
      <w:r w:rsidR="000F31C8" w:rsidRPr="00D76A97">
        <w:rPr>
          <w:rFonts w:ascii="Arial" w:hAnsi="Arial" w:cs="Arial"/>
          <w:color w:val="000000" w:themeColor="text1"/>
          <w:sz w:val="24"/>
          <w:szCs w:val="26"/>
        </w:rPr>
        <w:t xml:space="preserve"> </w:t>
      </w:r>
      <w:r w:rsidR="002417AF" w:rsidRPr="00D76A97">
        <w:rPr>
          <w:rFonts w:ascii="Arial" w:hAnsi="Arial" w:cs="Arial"/>
          <w:color w:val="000000" w:themeColor="text1"/>
          <w:sz w:val="24"/>
          <w:szCs w:val="26"/>
        </w:rPr>
        <w:t>2</w:t>
      </w:r>
    </w:p>
    <w:p w14:paraId="3112EED4" w14:textId="67ED3C01" w:rsidR="00657101" w:rsidRPr="00D76A97" w:rsidRDefault="00657101" w:rsidP="002417AF">
      <w:pPr>
        <w:spacing w:before="240" w:line="240" w:lineRule="auto"/>
        <w:ind w:left="284"/>
        <w:jc w:val="both"/>
        <w:rPr>
          <w:rFonts w:ascii="Arial" w:hAnsi="Arial" w:cs="Arial"/>
          <w:color w:val="000000" w:themeColor="text1"/>
          <w:sz w:val="24"/>
          <w:szCs w:val="26"/>
        </w:rPr>
      </w:pPr>
      <w:r w:rsidRPr="00D76A97">
        <w:rPr>
          <w:rFonts w:ascii="Arial" w:hAnsi="Arial" w:cs="Arial"/>
          <w:color w:val="000000" w:themeColor="text1"/>
          <w:sz w:val="24"/>
          <w:szCs w:val="26"/>
        </w:rPr>
        <w:t>SEGUNDO. ACUERDO RECURRIDO …………………………</w:t>
      </w:r>
      <w:r w:rsidR="00254021" w:rsidRPr="00D76A97">
        <w:rPr>
          <w:rFonts w:ascii="Arial" w:hAnsi="Arial" w:cs="Arial"/>
          <w:color w:val="000000" w:themeColor="text1"/>
          <w:sz w:val="24"/>
          <w:szCs w:val="26"/>
        </w:rPr>
        <w:t>…..</w:t>
      </w:r>
      <w:r w:rsidRPr="00D76A97">
        <w:rPr>
          <w:rFonts w:ascii="Arial" w:hAnsi="Arial" w:cs="Arial"/>
          <w:color w:val="000000" w:themeColor="text1"/>
          <w:sz w:val="24"/>
          <w:szCs w:val="26"/>
        </w:rPr>
        <w:t>…………</w:t>
      </w:r>
      <w:r w:rsidR="002417AF" w:rsidRPr="00D76A97">
        <w:rPr>
          <w:rFonts w:ascii="Arial" w:hAnsi="Arial" w:cs="Arial"/>
          <w:color w:val="000000" w:themeColor="text1"/>
          <w:sz w:val="24"/>
          <w:szCs w:val="26"/>
        </w:rPr>
        <w:t xml:space="preserve">. </w:t>
      </w:r>
      <w:r w:rsidR="000F31C8" w:rsidRPr="00D76A97">
        <w:rPr>
          <w:rFonts w:ascii="Arial" w:hAnsi="Arial" w:cs="Arial"/>
          <w:color w:val="000000" w:themeColor="text1"/>
          <w:sz w:val="24"/>
          <w:szCs w:val="26"/>
        </w:rPr>
        <w:t xml:space="preserve"> </w:t>
      </w:r>
      <w:r w:rsidR="002417AF" w:rsidRPr="00D76A97">
        <w:rPr>
          <w:rFonts w:ascii="Arial" w:hAnsi="Arial" w:cs="Arial"/>
          <w:color w:val="000000" w:themeColor="text1"/>
          <w:sz w:val="24"/>
          <w:szCs w:val="26"/>
        </w:rPr>
        <w:t>2</w:t>
      </w:r>
    </w:p>
    <w:p w14:paraId="5107A41F" w14:textId="112166A6" w:rsidR="00657101" w:rsidRPr="00D76A97" w:rsidRDefault="00657101" w:rsidP="002417AF">
      <w:pPr>
        <w:spacing w:before="240" w:line="240" w:lineRule="auto"/>
        <w:jc w:val="both"/>
        <w:rPr>
          <w:rFonts w:ascii="Arial" w:hAnsi="Arial" w:cs="Arial"/>
          <w:color w:val="000000" w:themeColor="text1"/>
          <w:sz w:val="24"/>
          <w:szCs w:val="26"/>
        </w:rPr>
      </w:pPr>
      <w:r w:rsidRPr="00D76A97">
        <w:rPr>
          <w:rFonts w:ascii="Arial" w:hAnsi="Arial" w:cs="Arial"/>
          <w:color w:val="000000" w:themeColor="text1"/>
          <w:sz w:val="24"/>
          <w:szCs w:val="26"/>
        </w:rPr>
        <w:t>2. CONSIDERANDO ……………………………………………………</w:t>
      </w:r>
      <w:r w:rsidR="00254021" w:rsidRPr="00D76A97">
        <w:rPr>
          <w:rFonts w:ascii="Arial" w:hAnsi="Arial" w:cs="Arial"/>
          <w:color w:val="000000" w:themeColor="text1"/>
          <w:sz w:val="24"/>
          <w:szCs w:val="26"/>
        </w:rPr>
        <w:t>…..</w:t>
      </w:r>
      <w:r w:rsidRPr="00D76A97">
        <w:rPr>
          <w:rFonts w:ascii="Arial" w:hAnsi="Arial" w:cs="Arial"/>
          <w:color w:val="000000" w:themeColor="text1"/>
          <w:sz w:val="24"/>
          <w:szCs w:val="26"/>
        </w:rPr>
        <w:t>………</w:t>
      </w:r>
      <w:r w:rsidR="000F31C8" w:rsidRPr="00D76A97">
        <w:rPr>
          <w:rFonts w:ascii="Arial" w:hAnsi="Arial" w:cs="Arial"/>
          <w:color w:val="000000" w:themeColor="text1"/>
          <w:sz w:val="24"/>
          <w:szCs w:val="26"/>
        </w:rPr>
        <w:t xml:space="preserve">  </w:t>
      </w:r>
      <w:r w:rsidR="002417AF" w:rsidRPr="00D76A97">
        <w:rPr>
          <w:rFonts w:ascii="Arial" w:hAnsi="Arial" w:cs="Arial"/>
          <w:color w:val="000000" w:themeColor="text1"/>
          <w:sz w:val="24"/>
          <w:szCs w:val="26"/>
        </w:rPr>
        <w:t xml:space="preserve"> </w:t>
      </w:r>
      <w:r w:rsidR="000F31C8" w:rsidRPr="00D76A97">
        <w:rPr>
          <w:rFonts w:ascii="Arial" w:hAnsi="Arial" w:cs="Arial"/>
          <w:color w:val="000000" w:themeColor="text1"/>
          <w:sz w:val="24"/>
          <w:szCs w:val="26"/>
        </w:rPr>
        <w:t>3</w:t>
      </w:r>
    </w:p>
    <w:p w14:paraId="48DFC790" w14:textId="7300E287" w:rsidR="00657101" w:rsidRPr="00D76A97" w:rsidRDefault="00657101" w:rsidP="002417AF">
      <w:pPr>
        <w:spacing w:before="240" w:line="240" w:lineRule="auto"/>
        <w:ind w:left="284"/>
        <w:jc w:val="both"/>
        <w:rPr>
          <w:rFonts w:ascii="Arial" w:hAnsi="Arial" w:cs="Arial"/>
          <w:color w:val="000000" w:themeColor="text1"/>
          <w:sz w:val="24"/>
          <w:szCs w:val="26"/>
        </w:rPr>
      </w:pPr>
      <w:r w:rsidRPr="00D76A97">
        <w:rPr>
          <w:rFonts w:ascii="Arial" w:hAnsi="Arial" w:cs="Arial"/>
          <w:color w:val="000000" w:themeColor="text1"/>
          <w:sz w:val="24"/>
          <w:szCs w:val="26"/>
        </w:rPr>
        <w:t>PRIMERO</w:t>
      </w:r>
      <w:r w:rsidR="008E0382" w:rsidRPr="00D76A97">
        <w:rPr>
          <w:rFonts w:ascii="Arial" w:hAnsi="Arial" w:cs="Arial"/>
          <w:color w:val="000000" w:themeColor="text1"/>
          <w:sz w:val="24"/>
          <w:szCs w:val="26"/>
        </w:rPr>
        <w:t xml:space="preserve">. </w:t>
      </w:r>
      <w:r w:rsidRPr="00D76A97">
        <w:rPr>
          <w:rFonts w:ascii="Arial" w:hAnsi="Arial" w:cs="Arial"/>
          <w:color w:val="000000" w:themeColor="text1"/>
          <w:sz w:val="24"/>
          <w:szCs w:val="26"/>
        </w:rPr>
        <w:t>JURISDICCIÓN …………</w:t>
      </w:r>
      <w:proofErr w:type="gramStart"/>
      <w:r w:rsidRPr="00D76A97">
        <w:rPr>
          <w:rFonts w:ascii="Arial" w:hAnsi="Arial" w:cs="Arial"/>
          <w:color w:val="000000" w:themeColor="text1"/>
          <w:sz w:val="24"/>
          <w:szCs w:val="26"/>
        </w:rPr>
        <w:t>…</w:t>
      </w:r>
      <w:r w:rsidR="00254021" w:rsidRPr="00D76A97">
        <w:rPr>
          <w:rFonts w:ascii="Arial" w:hAnsi="Arial" w:cs="Arial"/>
          <w:color w:val="000000" w:themeColor="text1"/>
          <w:sz w:val="24"/>
          <w:szCs w:val="26"/>
        </w:rPr>
        <w:t>….</w:t>
      </w:r>
      <w:proofErr w:type="gramEnd"/>
      <w:r w:rsidR="00254021" w:rsidRPr="00D76A97">
        <w:rPr>
          <w:rFonts w:ascii="Arial" w:hAnsi="Arial" w:cs="Arial"/>
          <w:color w:val="000000" w:themeColor="text1"/>
          <w:sz w:val="24"/>
          <w:szCs w:val="26"/>
        </w:rPr>
        <w:t>.</w:t>
      </w:r>
      <w:r w:rsidRPr="00D76A97">
        <w:rPr>
          <w:rFonts w:ascii="Arial" w:hAnsi="Arial" w:cs="Arial"/>
          <w:color w:val="000000" w:themeColor="text1"/>
          <w:sz w:val="24"/>
          <w:szCs w:val="26"/>
        </w:rPr>
        <w:t>…...</w:t>
      </w:r>
      <w:r w:rsidR="00D76A97">
        <w:rPr>
          <w:rFonts w:ascii="Arial" w:hAnsi="Arial" w:cs="Arial"/>
          <w:color w:val="000000" w:themeColor="text1"/>
          <w:sz w:val="24"/>
          <w:szCs w:val="26"/>
        </w:rPr>
        <w:t>………………..</w:t>
      </w:r>
      <w:r w:rsidR="008E0382" w:rsidRPr="00D76A97">
        <w:rPr>
          <w:rFonts w:ascii="Arial" w:hAnsi="Arial" w:cs="Arial"/>
          <w:color w:val="000000" w:themeColor="text1"/>
          <w:sz w:val="24"/>
          <w:szCs w:val="26"/>
        </w:rPr>
        <w:t xml:space="preserve">..............  </w:t>
      </w:r>
      <w:r w:rsidR="000F31C8" w:rsidRPr="00D76A97">
        <w:rPr>
          <w:rFonts w:ascii="Arial" w:hAnsi="Arial" w:cs="Arial"/>
          <w:color w:val="000000" w:themeColor="text1"/>
          <w:sz w:val="24"/>
          <w:szCs w:val="26"/>
        </w:rPr>
        <w:t xml:space="preserve">  </w:t>
      </w:r>
      <w:r w:rsidR="00D8049E" w:rsidRPr="00D76A97">
        <w:rPr>
          <w:rFonts w:ascii="Arial" w:hAnsi="Arial" w:cs="Arial"/>
          <w:color w:val="000000" w:themeColor="text1"/>
          <w:sz w:val="24"/>
          <w:szCs w:val="26"/>
        </w:rPr>
        <w:t>3</w:t>
      </w:r>
    </w:p>
    <w:p w14:paraId="46A03187" w14:textId="76735E1A" w:rsidR="00657101" w:rsidRPr="00D76A97" w:rsidRDefault="008E0382" w:rsidP="002417AF">
      <w:pPr>
        <w:spacing w:before="240" w:line="240" w:lineRule="auto"/>
        <w:ind w:left="284"/>
        <w:jc w:val="both"/>
        <w:rPr>
          <w:rFonts w:ascii="Arial" w:hAnsi="Arial" w:cs="Arial"/>
          <w:color w:val="000000" w:themeColor="text1"/>
          <w:sz w:val="24"/>
          <w:szCs w:val="26"/>
        </w:rPr>
      </w:pPr>
      <w:r w:rsidRPr="00D76A97">
        <w:rPr>
          <w:rFonts w:ascii="Arial" w:hAnsi="Arial" w:cs="Arial"/>
          <w:color w:val="000000" w:themeColor="text1"/>
          <w:sz w:val="24"/>
          <w:szCs w:val="26"/>
        </w:rPr>
        <w:t>SEGUNDO</w:t>
      </w:r>
      <w:r w:rsidR="00657101" w:rsidRPr="00D76A97">
        <w:rPr>
          <w:rFonts w:ascii="Arial" w:hAnsi="Arial" w:cs="Arial"/>
          <w:color w:val="000000" w:themeColor="text1"/>
          <w:sz w:val="24"/>
          <w:szCs w:val="26"/>
        </w:rPr>
        <w:t xml:space="preserve">. AGRAVIOS </w:t>
      </w:r>
      <w:r w:rsidRPr="00D76A97">
        <w:rPr>
          <w:rFonts w:ascii="Arial" w:hAnsi="Arial" w:cs="Arial"/>
          <w:color w:val="000000" w:themeColor="text1"/>
          <w:sz w:val="24"/>
          <w:szCs w:val="26"/>
        </w:rPr>
        <w:t>…</w:t>
      </w:r>
      <w:r w:rsidR="00657101" w:rsidRPr="00D76A97">
        <w:rPr>
          <w:rFonts w:ascii="Arial" w:hAnsi="Arial" w:cs="Arial"/>
          <w:color w:val="000000" w:themeColor="text1"/>
          <w:sz w:val="24"/>
          <w:szCs w:val="26"/>
        </w:rPr>
        <w:t>…………………………………………</w:t>
      </w:r>
      <w:proofErr w:type="gramStart"/>
      <w:r w:rsidR="00657101" w:rsidRPr="00D76A97">
        <w:rPr>
          <w:rFonts w:ascii="Arial" w:hAnsi="Arial" w:cs="Arial"/>
          <w:color w:val="000000" w:themeColor="text1"/>
          <w:sz w:val="24"/>
          <w:szCs w:val="26"/>
        </w:rPr>
        <w:t>…</w:t>
      </w:r>
      <w:r w:rsidR="00254021" w:rsidRPr="00D76A97">
        <w:rPr>
          <w:rFonts w:ascii="Arial" w:hAnsi="Arial" w:cs="Arial"/>
          <w:color w:val="000000" w:themeColor="text1"/>
          <w:sz w:val="24"/>
          <w:szCs w:val="26"/>
        </w:rPr>
        <w:t>….</w:t>
      </w:r>
      <w:proofErr w:type="gramEnd"/>
      <w:r w:rsidR="00254021" w:rsidRPr="00D76A97">
        <w:rPr>
          <w:rFonts w:ascii="Arial" w:hAnsi="Arial" w:cs="Arial"/>
          <w:color w:val="000000" w:themeColor="text1"/>
          <w:sz w:val="24"/>
          <w:szCs w:val="26"/>
        </w:rPr>
        <w:t>.</w:t>
      </w:r>
      <w:r w:rsidR="00657101" w:rsidRPr="00D76A97">
        <w:rPr>
          <w:rFonts w:ascii="Arial" w:hAnsi="Arial" w:cs="Arial"/>
          <w:color w:val="000000" w:themeColor="text1"/>
          <w:sz w:val="24"/>
          <w:szCs w:val="26"/>
        </w:rPr>
        <w:t>…….</w:t>
      </w:r>
      <w:r w:rsidR="000F31C8" w:rsidRPr="00D76A97">
        <w:rPr>
          <w:rFonts w:ascii="Arial" w:hAnsi="Arial" w:cs="Arial"/>
          <w:color w:val="000000" w:themeColor="text1"/>
          <w:sz w:val="24"/>
          <w:szCs w:val="26"/>
        </w:rPr>
        <w:t xml:space="preserve">  </w:t>
      </w:r>
      <w:r w:rsidR="00657101" w:rsidRPr="00D76A97">
        <w:rPr>
          <w:rFonts w:ascii="Arial" w:hAnsi="Arial" w:cs="Arial"/>
          <w:color w:val="000000" w:themeColor="text1"/>
          <w:sz w:val="24"/>
          <w:szCs w:val="26"/>
        </w:rPr>
        <w:t xml:space="preserve"> </w:t>
      </w:r>
      <w:r w:rsidR="0085241C" w:rsidRPr="00D76A97">
        <w:rPr>
          <w:rFonts w:ascii="Arial" w:hAnsi="Arial" w:cs="Arial"/>
          <w:color w:val="000000" w:themeColor="text1"/>
          <w:sz w:val="24"/>
          <w:szCs w:val="26"/>
        </w:rPr>
        <w:t>4</w:t>
      </w:r>
    </w:p>
    <w:p w14:paraId="401C1240" w14:textId="7E9C9D08" w:rsidR="00657101" w:rsidRPr="00D76A97" w:rsidRDefault="004E0D6A" w:rsidP="002417AF">
      <w:pPr>
        <w:spacing w:before="240" w:line="240" w:lineRule="auto"/>
        <w:ind w:left="284"/>
        <w:jc w:val="both"/>
        <w:rPr>
          <w:rFonts w:ascii="Arial" w:hAnsi="Arial" w:cs="Arial"/>
          <w:color w:val="000000" w:themeColor="text1"/>
          <w:sz w:val="24"/>
          <w:szCs w:val="26"/>
        </w:rPr>
      </w:pPr>
      <w:r w:rsidRPr="00D76A97">
        <w:rPr>
          <w:rFonts w:ascii="Arial" w:hAnsi="Arial" w:cs="Arial"/>
          <w:color w:val="000000" w:themeColor="text1"/>
          <w:sz w:val="24"/>
          <w:szCs w:val="26"/>
        </w:rPr>
        <w:t>TERCERO</w:t>
      </w:r>
      <w:r w:rsidR="00657101" w:rsidRPr="00D76A97">
        <w:rPr>
          <w:rFonts w:ascii="Arial" w:hAnsi="Arial" w:cs="Arial"/>
          <w:color w:val="000000" w:themeColor="text1"/>
          <w:sz w:val="24"/>
          <w:szCs w:val="26"/>
        </w:rPr>
        <w:t xml:space="preserve">. </w:t>
      </w:r>
      <w:r w:rsidR="008E0382" w:rsidRPr="00D76A97">
        <w:rPr>
          <w:rFonts w:ascii="Arial" w:hAnsi="Arial" w:cs="Arial"/>
          <w:color w:val="000000" w:themeColor="text1"/>
          <w:sz w:val="24"/>
          <w:szCs w:val="26"/>
        </w:rPr>
        <w:t xml:space="preserve">ESTUDIO </w:t>
      </w:r>
      <w:r w:rsidR="00657101" w:rsidRPr="00D76A97">
        <w:rPr>
          <w:rFonts w:ascii="Arial" w:hAnsi="Arial" w:cs="Arial"/>
          <w:color w:val="000000" w:themeColor="text1"/>
          <w:sz w:val="24"/>
          <w:szCs w:val="26"/>
        </w:rPr>
        <w:t xml:space="preserve">DE </w:t>
      </w:r>
      <w:r w:rsidR="008E0382" w:rsidRPr="00D76A97">
        <w:rPr>
          <w:rFonts w:ascii="Arial" w:hAnsi="Arial" w:cs="Arial"/>
          <w:color w:val="000000" w:themeColor="text1"/>
          <w:sz w:val="24"/>
          <w:szCs w:val="26"/>
        </w:rPr>
        <w:t xml:space="preserve">LOS </w:t>
      </w:r>
      <w:r w:rsidR="00657101" w:rsidRPr="00D76A97">
        <w:rPr>
          <w:rFonts w:ascii="Arial" w:hAnsi="Arial" w:cs="Arial"/>
          <w:color w:val="000000" w:themeColor="text1"/>
          <w:sz w:val="24"/>
          <w:szCs w:val="26"/>
        </w:rPr>
        <w:t>AGRAVIOS ………………………</w:t>
      </w:r>
      <w:r w:rsidR="00254021" w:rsidRPr="00D76A97">
        <w:rPr>
          <w:rFonts w:ascii="Arial" w:hAnsi="Arial" w:cs="Arial"/>
          <w:color w:val="000000" w:themeColor="text1"/>
          <w:sz w:val="24"/>
          <w:szCs w:val="26"/>
        </w:rPr>
        <w:t>…..</w:t>
      </w:r>
      <w:r w:rsidR="00657101" w:rsidRPr="00D76A97">
        <w:rPr>
          <w:rFonts w:ascii="Arial" w:hAnsi="Arial" w:cs="Arial"/>
          <w:color w:val="000000" w:themeColor="text1"/>
          <w:sz w:val="24"/>
          <w:szCs w:val="26"/>
        </w:rPr>
        <w:t>……</w:t>
      </w:r>
      <w:r w:rsidR="0085241C" w:rsidRPr="00D76A97">
        <w:rPr>
          <w:rFonts w:ascii="Arial" w:hAnsi="Arial" w:cs="Arial"/>
          <w:color w:val="000000" w:themeColor="text1"/>
          <w:sz w:val="24"/>
          <w:szCs w:val="26"/>
        </w:rPr>
        <w:t>..</w:t>
      </w:r>
      <w:r w:rsidR="0031715B" w:rsidRPr="00D76A97">
        <w:rPr>
          <w:rFonts w:ascii="Arial" w:hAnsi="Arial" w:cs="Arial"/>
          <w:color w:val="000000" w:themeColor="text1"/>
          <w:sz w:val="24"/>
          <w:szCs w:val="26"/>
        </w:rPr>
        <w:t>.</w:t>
      </w:r>
      <w:r w:rsidR="000F31C8" w:rsidRPr="00D76A97">
        <w:rPr>
          <w:rFonts w:ascii="Arial" w:hAnsi="Arial" w:cs="Arial"/>
          <w:color w:val="000000" w:themeColor="text1"/>
          <w:sz w:val="24"/>
          <w:szCs w:val="26"/>
        </w:rPr>
        <w:t xml:space="preserve">  </w:t>
      </w:r>
      <w:r w:rsidR="0085241C" w:rsidRPr="00D76A97">
        <w:rPr>
          <w:rFonts w:ascii="Arial" w:hAnsi="Arial" w:cs="Arial"/>
          <w:color w:val="000000" w:themeColor="text1"/>
          <w:sz w:val="24"/>
          <w:szCs w:val="26"/>
        </w:rPr>
        <w:t xml:space="preserve"> </w:t>
      </w:r>
      <w:r w:rsidR="00D8049E" w:rsidRPr="00D76A97">
        <w:rPr>
          <w:rFonts w:ascii="Arial" w:hAnsi="Arial" w:cs="Arial"/>
          <w:color w:val="000000" w:themeColor="text1"/>
          <w:sz w:val="24"/>
          <w:szCs w:val="26"/>
        </w:rPr>
        <w:t>4</w:t>
      </w:r>
    </w:p>
    <w:p w14:paraId="237F5B88" w14:textId="37584829" w:rsidR="00657101" w:rsidRPr="00D76A97" w:rsidRDefault="00657101" w:rsidP="002417AF">
      <w:pPr>
        <w:spacing w:before="240" w:line="240" w:lineRule="auto"/>
        <w:ind w:left="284"/>
        <w:jc w:val="both"/>
        <w:rPr>
          <w:rFonts w:ascii="Arial" w:hAnsi="Arial" w:cs="Arial"/>
          <w:color w:val="000000" w:themeColor="text1"/>
          <w:sz w:val="24"/>
          <w:szCs w:val="26"/>
        </w:rPr>
      </w:pPr>
      <w:r w:rsidRPr="00D76A97">
        <w:rPr>
          <w:rFonts w:ascii="Arial" w:hAnsi="Arial" w:cs="Arial"/>
          <w:color w:val="000000" w:themeColor="text1"/>
          <w:sz w:val="24"/>
          <w:szCs w:val="26"/>
        </w:rPr>
        <w:t>SEXTO. DECISIÓN ……………………………………………</w:t>
      </w:r>
      <w:proofErr w:type="gramStart"/>
      <w:r w:rsidRPr="00D76A97">
        <w:rPr>
          <w:rFonts w:ascii="Arial" w:hAnsi="Arial" w:cs="Arial"/>
          <w:color w:val="000000" w:themeColor="text1"/>
          <w:sz w:val="24"/>
          <w:szCs w:val="26"/>
        </w:rPr>
        <w:t>…</w:t>
      </w:r>
      <w:r w:rsidR="00254021" w:rsidRPr="00D76A97">
        <w:rPr>
          <w:rFonts w:ascii="Arial" w:hAnsi="Arial" w:cs="Arial"/>
          <w:color w:val="000000" w:themeColor="text1"/>
          <w:sz w:val="24"/>
          <w:szCs w:val="26"/>
        </w:rPr>
        <w:t>….</w:t>
      </w:r>
      <w:proofErr w:type="gramEnd"/>
      <w:r w:rsidR="00254021" w:rsidRPr="00D76A97">
        <w:rPr>
          <w:rFonts w:ascii="Arial" w:hAnsi="Arial" w:cs="Arial"/>
          <w:color w:val="000000" w:themeColor="text1"/>
          <w:sz w:val="24"/>
          <w:szCs w:val="26"/>
        </w:rPr>
        <w:t>.</w:t>
      </w:r>
      <w:r w:rsidRPr="00D76A97">
        <w:rPr>
          <w:rFonts w:ascii="Arial" w:hAnsi="Arial" w:cs="Arial"/>
          <w:color w:val="000000" w:themeColor="text1"/>
          <w:sz w:val="24"/>
          <w:szCs w:val="26"/>
        </w:rPr>
        <w:t>…………</w:t>
      </w:r>
      <w:r w:rsidR="00D8049E" w:rsidRPr="00D76A97">
        <w:rPr>
          <w:rFonts w:ascii="Arial" w:hAnsi="Arial" w:cs="Arial"/>
          <w:color w:val="000000" w:themeColor="text1"/>
          <w:sz w:val="24"/>
          <w:szCs w:val="26"/>
        </w:rPr>
        <w:t>. 15</w:t>
      </w:r>
      <w:r w:rsidR="0085241C" w:rsidRPr="00D76A97">
        <w:rPr>
          <w:rFonts w:ascii="Arial" w:hAnsi="Arial" w:cs="Arial"/>
          <w:color w:val="000000" w:themeColor="text1"/>
          <w:sz w:val="24"/>
          <w:szCs w:val="26"/>
        </w:rPr>
        <w:t xml:space="preserve"> </w:t>
      </w:r>
    </w:p>
    <w:p w14:paraId="532E6A1D" w14:textId="1AA67E35" w:rsidR="00657101" w:rsidRPr="00D76A97" w:rsidRDefault="00657101" w:rsidP="002417AF">
      <w:pPr>
        <w:spacing w:before="240" w:line="360" w:lineRule="auto"/>
        <w:jc w:val="both"/>
        <w:rPr>
          <w:rFonts w:ascii="Arial" w:hAnsi="Arial" w:cs="Arial"/>
          <w:color w:val="000000" w:themeColor="text1"/>
          <w:sz w:val="24"/>
          <w:szCs w:val="26"/>
        </w:rPr>
      </w:pPr>
      <w:r w:rsidRPr="00D76A97">
        <w:rPr>
          <w:rFonts w:ascii="Arial" w:hAnsi="Arial" w:cs="Arial"/>
          <w:color w:val="000000" w:themeColor="text1"/>
          <w:sz w:val="24"/>
          <w:szCs w:val="26"/>
        </w:rPr>
        <w:t>3. RESUELVE ……………………………………………………………</w:t>
      </w:r>
      <w:r w:rsidR="00254021" w:rsidRPr="00D76A97">
        <w:rPr>
          <w:rFonts w:ascii="Arial" w:hAnsi="Arial" w:cs="Arial"/>
          <w:color w:val="000000" w:themeColor="text1"/>
          <w:sz w:val="24"/>
          <w:szCs w:val="26"/>
        </w:rPr>
        <w:t>…..</w:t>
      </w:r>
      <w:r w:rsidRPr="00D76A97">
        <w:rPr>
          <w:rFonts w:ascii="Arial" w:hAnsi="Arial" w:cs="Arial"/>
          <w:color w:val="000000" w:themeColor="text1"/>
          <w:sz w:val="24"/>
          <w:szCs w:val="26"/>
        </w:rPr>
        <w:t xml:space="preserve">…….  </w:t>
      </w:r>
      <w:r w:rsidR="000F31C8" w:rsidRPr="00D76A97">
        <w:rPr>
          <w:rFonts w:ascii="Arial" w:hAnsi="Arial" w:cs="Arial"/>
          <w:color w:val="000000" w:themeColor="text1"/>
          <w:sz w:val="24"/>
          <w:szCs w:val="26"/>
        </w:rPr>
        <w:t xml:space="preserve"> </w:t>
      </w:r>
      <w:r w:rsidRPr="00D76A97">
        <w:rPr>
          <w:rFonts w:ascii="Arial" w:hAnsi="Arial" w:cs="Arial"/>
          <w:color w:val="000000" w:themeColor="text1"/>
          <w:sz w:val="24"/>
          <w:szCs w:val="26"/>
        </w:rPr>
        <w:t>1</w:t>
      </w:r>
      <w:r w:rsidR="00D8049E" w:rsidRPr="00D76A97">
        <w:rPr>
          <w:rFonts w:ascii="Arial" w:hAnsi="Arial" w:cs="Arial"/>
          <w:color w:val="000000" w:themeColor="text1"/>
          <w:sz w:val="24"/>
          <w:szCs w:val="26"/>
        </w:rPr>
        <w:t>6</w:t>
      </w:r>
    </w:p>
    <w:p w14:paraId="28DA10A6" w14:textId="77777777" w:rsidR="007875B8" w:rsidRPr="00657101" w:rsidRDefault="007875B8" w:rsidP="002417AF">
      <w:pPr>
        <w:tabs>
          <w:tab w:val="center" w:pos="4418"/>
          <w:tab w:val="left" w:pos="6330"/>
        </w:tabs>
        <w:spacing w:line="360" w:lineRule="auto"/>
        <w:jc w:val="center"/>
        <w:rPr>
          <w:rFonts w:ascii="Arial" w:hAnsi="Arial" w:cs="Arial"/>
          <w:sz w:val="4"/>
          <w:szCs w:val="24"/>
        </w:rPr>
      </w:pPr>
    </w:p>
    <w:p w14:paraId="50BD8BF1" w14:textId="77777777" w:rsidR="007875B8" w:rsidRPr="00EE4752" w:rsidRDefault="007875B8" w:rsidP="002417AF">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875B8" w:rsidRPr="00EE4752" w14:paraId="65745B30" w14:textId="77777777" w:rsidTr="00E85652">
        <w:tc>
          <w:tcPr>
            <w:tcW w:w="3256" w:type="dxa"/>
          </w:tcPr>
          <w:p w14:paraId="12AE7C0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Constitución Federal</w:t>
            </w:r>
          </w:p>
        </w:tc>
        <w:tc>
          <w:tcPr>
            <w:tcW w:w="5571" w:type="dxa"/>
          </w:tcPr>
          <w:p w14:paraId="4AD8424D"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 los Estados Unidos Mexicanos.</w:t>
            </w:r>
          </w:p>
        </w:tc>
      </w:tr>
      <w:tr w:rsidR="007875B8" w:rsidRPr="00EE4752" w14:paraId="59BE9991" w14:textId="77777777" w:rsidTr="00E85652">
        <w:tc>
          <w:tcPr>
            <w:tcW w:w="3256" w:type="dxa"/>
          </w:tcPr>
          <w:p w14:paraId="3BDB2AC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62044B03"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del Estado Libre y Soberano de Oaxaca.</w:t>
            </w:r>
          </w:p>
        </w:tc>
      </w:tr>
      <w:tr w:rsidR="007875B8" w:rsidRPr="00EE4752" w14:paraId="49A2EC27" w14:textId="77777777" w:rsidTr="00E85652">
        <w:tc>
          <w:tcPr>
            <w:tcW w:w="3256" w:type="dxa"/>
          </w:tcPr>
          <w:p w14:paraId="0016239A"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992690">
              <w:rPr>
                <w:rFonts w:ascii="Arial" w:hAnsi="Arial" w:cs="Arial"/>
                <w:b/>
                <w:i/>
                <w:sz w:val="24"/>
                <w:szCs w:val="24"/>
              </w:rPr>
              <w:lastRenderedPageBreak/>
              <w:t>Ley de Procedimiento</w:t>
            </w:r>
            <w:r w:rsidRPr="00EE4752">
              <w:rPr>
                <w:rFonts w:ascii="Arial" w:hAnsi="Arial" w:cs="Arial"/>
                <w:b/>
                <w:i/>
                <w:sz w:val="24"/>
                <w:szCs w:val="24"/>
              </w:rPr>
              <w:t>:</w:t>
            </w:r>
          </w:p>
        </w:tc>
        <w:tc>
          <w:tcPr>
            <w:tcW w:w="5571" w:type="dxa"/>
          </w:tcPr>
          <w:p w14:paraId="6C6068D7"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de Procedimiento y Justicia Administrativa para el Estado de Oaxaca.</w:t>
            </w:r>
          </w:p>
        </w:tc>
      </w:tr>
      <w:tr w:rsidR="007875B8" w:rsidRPr="00EE4752" w14:paraId="5F22CA7B" w14:textId="77777777" w:rsidTr="00E85652">
        <w:tc>
          <w:tcPr>
            <w:tcW w:w="3256" w:type="dxa"/>
          </w:tcPr>
          <w:p w14:paraId="0A4A78F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Ley Orgánica:</w:t>
            </w:r>
          </w:p>
        </w:tc>
        <w:tc>
          <w:tcPr>
            <w:tcW w:w="5571" w:type="dxa"/>
          </w:tcPr>
          <w:p w14:paraId="660EC184"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Orgánica del Tribunal de Justicia Administrativa del Estado de Oaxaca</w:t>
            </w:r>
          </w:p>
        </w:tc>
      </w:tr>
      <w:tr w:rsidR="000F39BF" w:rsidRPr="00EE4752" w14:paraId="6F1090E3" w14:textId="77777777" w:rsidTr="00E85652">
        <w:tc>
          <w:tcPr>
            <w:tcW w:w="3256" w:type="dxa"/>
          </w:tcPr>
          <w:p w14:paraId="6B7B8DA8" w14:textId="0D3B2D5B" w:rsidR="000F39BF" w:rsidRPr="000F39BF" w:rsidRDefault="000F39BF" w:rsidP="002417AF">
            <w:pPr>
              <w:tabs>
                <w:tab w:val="center" w:pos="4418"/>
                <w:tab w:val="left" w:pos="6330"/>
              </w:tabs>
              <w:spacing w:line="360" w:lineRule="auto"/>
              <w:jc w:val="center"/>
              <w:rPr>
                <w:rFonts w:ascii="Arial" w:hAnsi="Arial" w:cs="Arial"/>
                <w:b/>
                <w:i/>
                <w:sz w:val="24"/>
                <w:szCs w:val="24"/>
              </w:rPr>
            </w:pPr>
            <w:r w:rsidRPr="000F39BF">
              <w:rPr>
                <w:rFonts w:ascii="Arial" w:hAnsi="Arial" w:cs="Arial"/>
                <w:b/>
                <w:i/>
                <w:sz w:val="24"/>
                <w:szCs w:val="24"/>
              </w:rPr>
              <w:t>Acuerdo General</w:t>
            </w:r>
          </w:p>
        </w:tc>
        <w:tc>
          <w:tcPr>
            <w:tcW w:w="5571" w:type="dxa"/>
          </w:tcPr>
          <w:p w14:paraId="7DF65B11" w14:textId="21315F88" w:rsidR="000F39BF" w:rsidRPr="000F39BF" w:rsidRDefault="000F39BF" w:rsidP="00FC2222">
            <w:pPr>
              <w:tabs>
                <w:tab w:val="center" w:pos="4418"/>
                <w:tab w:val="left" w:pos="6330"/>
              </w:tabs>
              <w:spacing w:line="276" w:lineRule="auto"/>
              <w:jc w:val="both"/>
              <w:rPr>
                <w:rFonts w:ascii="Arial" w:hAnsi="Arial" w:cs="Arial"/>
                <w:i/>
                <w:sz w:val="24"/>
                <w:szCs w:val="24"/>
              </w:rPr>
            </w:pPr>
            <w:r w:rsidRPr="000F39BF">
              <w:rPr>
                <w:rFonts w:ascii="Arial" w:hAnsi="Arial" w:cs="Arial"/>
                <w:i/>
                <w:snapToGrid w:val="0"/>
                <w:sz w:val="26"/>
                <w:szCs w:val="26"/>
              </w:rPr>
              <w:t>Acuerdo General AG/TJAO/1</w:t>
            </w:r>
            <w:r w:rsidR="00FC2222">
              <w:rPr>
                <w:rFonts w:ascii="Arial" w:hAnsi="Arial" w:cs="Arial"/>
                <w:i/>
                <w:snapToGrid w:val="0"/>
                <w:sz w:val="26"/>
                <w:szCs w:val="26"/>
              </w:rPr>
              <w:t>2/2021</w:t>
            </w:r>
            <w:r w:rsidRPr="000F39BF">
              <w:rPr>
                <w:rFonts w:ascii="Arial" w:hAnsi="Arial" w:cs="Arial"/>
                <w:i/>
                <w:snapToGrid w:val="0"/>
                <w:sz w:val="26"/>
                <w:szCs w:val="26"/>
              </w:rPr>
              <w:t xml:space="preserve"> del Pleno del Tribunal de Justicia Administrativa del Estado de Oaxaca, mediante el cual se establece el calendario oficial, corresp</w:t>
            </w:r>
            <w:r w:rsidR="00FC2222">
              <w:rPr>
                <w:rFonts w:ascii="Arial" w:hAnsi="Arial" w:cs="Arial"/>
                <w:i/>
                <w:snapToGrid w:val="0"/>
                <w:sz w:val="26"/>
                <w:szCs w:val="26"/>
              </w:rPr>
              <w:t>ondiente a año dos mil veintidó</w:t>
            </w:r>
            <w:r w:rsidRPr="000F39BF">
              <w:rPr>
                <w:rFonts w:ascii="Arial" w:hAnsi="Arial" w:cs="Arial"/>
                <w:i/>
                <w:snapToGrid w:val="0"/>
                <w:sz w:val="26"/>
                <w:szCs w:val="26"/>
              </w:rPr>
              <w:t>s, para este Órgano Jurisdiccional</w:t>
            </w:r>
          </w:p>
        </w:tc>
      </w:tr>
    </w:tbl>
    <w:p w14:paraId="54BEAF3E" w14:textId="504E3F68" w:rsidR="007875B8" w:rsidRPr="007875B8" w:rsidRDefault="007324F0" w:rsidP="002417AF">
      <w:pPr>
        <w:spacing w:line="360" w:lineRule="auto"/>
        <w:jc w:val="both"/>
        <w:rPr>
          <w:rFonts w:ascii="Arial" w:hAnsi="Arial" w:cs="Arial"/>
          <w:b/>
          <w:sz w:val="12"/>
          <w:szCs w:val="26"/>
        </w:rPr>
      </w:pPr>
      <w:bookmarkStart w:id="2" w:name="_GoBack"/>
      <w:r>
        <w:rPr>
          <w:rFonts w:ascii="Times New Roman" w:eastAsia="Times New Roman" w:hAnsi="Times New Roman" w:cs="Times New Roman"/>
          <w:noProof/>
          <w:color w:val="000000"/>
          <w:sz w:val="24"/>
          <w:szCs w:val="24"/>
        </w:rPr>
        <w:drawing>
          <wp:anchor distT="0" distB="0" distL="114300" distR="114300" simplePos="0" relativeHeight="251687936" behindDoc="1" locked="0" layoutInCell="1" allowOverlap="1" wp14:anchorId="51F9FCD2" wp14:editId="7B5F7E58">
            <wp:simplePos x="0" y="0"/>
            <wp:positionH relativeFrom="leftMargin">
              <wp:posOffset>6398260</wp:posOffset>
            </wp:positionH>
            <wp:positionV relativeFrom="paragraph">
              <wp:posOffset>-2148840</wp:posOffset>
            </wp:positionV>
            <wp:extent cx="1024255" cy="1261745"/>
            <wp:effectExtent l="0" t="0" r="4445" b="0"/>
            <wp:wrapNone/>
            <wp:docPr id="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bookmarkEnd w:id="2"/>
    </w:p>
    <w:p w14:paraId="3255C035" w14:textId="665A9902" w:rsidR="007875B8" w:rsidRPr="00CB6405" w:rsidRDefault="007875B8" w:rsidP="002417AF">
      <w:pPr>
        <w:spacing w:line="360" w:lineRule="auto"/>
        <w:jc w:val="center"/>
        <w:rPr>
          <w:rFonts w:ascii="Arial" w:hAnsi="Arial" w:cs="Arial"/>
          <w:b/>
          <w:bCs/>
          <w:sz w:val="26"/>
          <w:szCs w:val="26"/>
        </w:rPr>
      </w:pPr>
      <w:bookmarkStart w:id="3" w:name="_Hlk145889992"/>
      <w:r>
        <w:rPr>
          <w:rFonts w:ascii="Arial" w:hAnsi="Arial" w:cs="Arial"/>
          <w:b/>
          <w:bCs/>
          <w:sz w:val="26"/>
          <w:szCs w:val="26"/>
        </w:rPr>
        <w:t xml:space="preserve">1. </w:t>
      </w:r>
      <w:r w:rsidRPr="00CB6405">
        <w:rPr>
          <w:rFonts w:ascii="Arial" w:hAnsi="Arial" w:cs="Arial"/>
          <w:b/>
          <w:bCs/>
          <w:sz w:val="26"/>
          <w:szCs w:val="26"/>
        </w:rPr>
        <w:t>R E S U L T A N D O</w:t>
      </w:r>
    </w:p>
    <w:p w14:paraId="5EC95681" w14:textId="38551795" w:rsidR="00643C79" w:rsidRPr="00EE4752" w:rsidRDefault="00D82372" w:rsidP="00763651">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7F5DE605" w:rsidR="008D7563" w:rsidRPr="007726AA" w:rsidRDefault="002417AF" w:rsidP="007726AA">
      <w:pPr>
        <w:spacing w:line="360" w:lineRule="auto"/>
        <w:ind w:firstLine="567"/>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 xml:space="preserve">2. </w:t>
      </w:r>
      <w:r w:rsidR="00596348" w:rsidRPr="000D730C">
        <w:rPr>
          <w:rFonts w:ascii="Arial" w:eastAsia="Times New Roman" w:hAnsi="Arial" w:cs="Arial"/>
          <w:sz w:val="26"/>
          <w:szCs w:val="26"/>
          <w:lang w:val="es-ES_tradnl" w:eastAsia="es-ES"/>
        </w:rPr>
        <w:t xml:space="preserve">Por escrito presentado el </w:t>
      </w:r>
      <w:r w:rsidR="007726AA">
        <w:rPr>
          <w:rFonts w:ascii="Arial" w:eastAsia="Times New Roman" w:hAnsi="Arial" w:cs="Arial"/>
          <w:sz w:val="26"/>
          <w:szCs w:val="26"/>
          <w:lang w:val="es-ES_tradnl" w:eastAsia="es-ES"/>
        </w:rPr>
        <w:t xml:space="preserve">doce de abril </w:t>
      </w:r>
      <w:r w:rsidR="00E26C96">
        <w:rPr>
          <w:rFonts w:ascii="Arial" w:eastAsia="Times New Roman" w:hAnsi="Arial" w:cs="Arial"/>
          <w:sz w:val="26"/>
          <w:szCs w:val="26"/>
          <w:lang w:val="es-ES_tradnl" w:eastAsia="es-ES"/>
        </w:rPr>
        <w:t>de</w:t>
      </w:r>
      <w:r w:rsidR="00A85CC1">
        <w:rPr>
          <w:rFonts w:ascii="Arial" w:eastAsia="Times New Roman" w:hAnsi="Arial" w:cs="Arial"/>
          <w:sz w:val="26"/>
          <w:szCs w:val="26"/>
          <w:lang w:val="es-ES_tradnl" w:eastAsia="es-ES"/>
        </w:rPr>
        <w:t xml:space="preserve"> dos mil veinti</w:t>
      </w:r>
      <w:r w:rsidR="007D57E9">
        <w:rPr>
          <w:rFonts w:ascii="Arial" w:eastAsia="Times New Roman" w:hAnsi="Arial" w:cs="Arial"/>
          <w:sz w:val="26"/>
          <w:szCs w:val="26"/>
          <w:lang w:val="es-ES_tradnl" w:eastAsia="es-ES"/>
        </w:rPr>
        <w:t>trés</w:t>
      </w:r>
      <w:r w:rsidR="00596348" w:rsidRPr="000D730C">
        <w:rPr>
          <w:rFonts w:ascii="Arial" w:eastAsia="Times New Roman" w:hAnsi="Arial" w:cs="Arial"/>
          <w:sz w:val="26"/>
          <w:szCs w:val="26"/>
          <w:lang w:val="es-ES_tradnl" w:eastAsia="es-ES"/>
        </w:rPr>
        <w:t xml:space="preserve">, en la Oficialía de Partes Común de este Tribunal, con residencia en esta ciudad, </w:t>
      </w:r>
      <w:r w:rsidR="00AA234A">
        <w:rPr>
          <w:rFonts w:ascii="Arial" w:eastAsia="Times New Roman" w:hAnsi="Arial" w:cs="Arial"/>
          <w:b/>
          <w:sz w:val="26"/>
          <w:szCs w:val="26"/>
          <w:lang w:val="es-ES_tradnl" w:eastAsia="es-ES"/>
        </w:rPr>
        <w:t>***********</w:t>
      </w:r>
      <w:proofErr w:type="gramStart"/>
      <w:r w:rsidR="00AA234A">
        <w:rPr>
          <w:rFonts w:ascii="Arial" w:eastAsia="Times New Roman" w:hAnsi="Arial" w:cs="Arial"/>
          <w:b/>
          <w:sz w:val="26"/>
          <w:szCs w:val="26"/>
          <w:lang w:val="es-ES_tradnl" w:eastAsia="es-ES"/>
        </w:rPr>
        <w:t xml:space="preserve">* </w:t>
      </w:r>
      <w:r w:rsidR="007726AA" w:rsidRPr="007726AA">
        <w:rPr>
          <w:rFonts w:ascii="Arial" w:eastAsia="Times New Roman" w:hAnsi="Arial" w:cs="Arial"/>
          <w:b/>
          <w:sz w:val="26"/>
          <w:szCs w:val="26"/>
          <w:lang w:val="es-ES_tradnl" w:eastAsia="es-ES"/>
        </w:rPr>
        <w:t>,</w:t>
      </w:r>
      <w:proofErr w:type="gramEnd"/>
      <w:r w:rsidR="007726AA">
        <w:rPr>
          <w:rFonts w:ascii="Arial" w:eastAsia="Times New Roman" w:hAnsi="Arial" w:cs="Arial"/>
          <w:sz w:val="26"/>
          <w:szCs w:val="26"/>
          <w:lang w:val="es-ES_tradnl" w:eastAsia="es-ES"/>
        </w:rPr>
        <w:t xml:space="preserve"> </w:t>
      </w:r>
      <w:r w:rsidR="00596348" w:rsidRPr="000D730C">
        <w:rPr>
          <w:rFonts w:ascii="Arial" w:eastAsia="Times New Roman" w:hAnsi="Arial" w:cs="Arial"/>
          <w:sz w:val="26"/>
          <w:szCs w:val="26"/>
          <w:lang w:val="es-ES_tradnl" w:eastAsia="es-ES"/>
        </w:rPr>
        <w:t xml:space="preserve">por </w:t>
      </w:r>
      <w:r w:rsidR="007D57E9">
        <w:rPr>
          <w:rFonts w:ascii="Arial" w:eastAsia="Times New Roman" w:hAnsi="Arial" w:cs="Arial"/>
          <w:sz w:val="26"/>
          <w:szCs w:val="26"/>
          <w:lang w:val="es-ES_tradnl" w:eastAsia="es-ES"/>
        </w:rPr>
        <w:t xml:space="preserve">su </w:t>
      </w:r>
      <w:r w:rsidR="00596348" w:rsidRPr="000D730C">
        <w:rPr>
          <w:rFonts w:ascii="Arial" w:eastAsia="Times New Roman" w:hAnsi="Arial" w:cs="Arial"/>
          <w:sz w:val="26"/>
          <w:szCs w:val="26"/>
          <w:lang w:val="es-ES_tradnl" w:eastAsia="es-ES"/>
        </w:rPr>
        <w:t xml:space="preserve">propio derecho, </w:t>
      </w:r>
      <w:r w:rsidR="00235538" w:rsidRPr="000D730C">
        <w:rPr>
          <w:rFonts w:ascii="Arial" w:eastAsia="Times New Roman" w:hAnsi="Arial" w:cs="Arial"/>
          <w:sz w:val="26"/>
          <w:szCs w:val="26"/>
          <w:lang w:val="es-ES_tradnl" w:eastAsia="es-ES"/>
        </w:rPr>
        <w:t>promovi</w:t>
      </w:r>
      <w:r w:rsidR="007726AA">
        <w:rPr>
          <w:rFonts w:ascii="Arial" w:eastAsia="Times New Roman" w:hAnsi="Arial" w:cs="Arial"/>
          <w:sz w:val="26"/>
          <w:szCs w:val="26"/>
          <w:lang w:val="es-ES_tradnl" w:eastAsia="es-ES"/>
        </w:rPr>
        <w:t>ó</w:t>
      </w:r>
      <w:r w:rsidR="00235538" w:rsidRPr="000D730C">
        <w:rPr>
          <w:rFonts w:ascii="Arial" w:eastAsia="Times New Roman" w:hAnsi="Arial" w:cs="Arial"/>
          <w:sz w:val="26"/>
          <w:szCs w:val="26"/>
          <w:lang w:val="es-ES_tradnl" w:eastAsia="es-ES"/>
        </w:rPr>
        <w:t xml:space="preserve"> r</w:t>
      </w:r>
      <w:r w:rsidR="007726AA">
        <w:rPr>
          <w:rFonts w:ascii="Arial" w:eastAsia="Times New Roman" w:hAnsi="Arial" w:cs="Arial"/>
          <w:sz w:val="26"/>
          <w:szCs w:val="26"/>
          <w:lang w:val="es-ES_tradnl" w:eastAsia="es-ES"/>
        </w:rPr>
        <w:t xml:space="preserve">ecurso de revisión en contra de la </w:t>
      </w:r>
      <w:r w:rsidR="007726AA" w:rsidRPr="002647FE">
        <w:rPr>
          <w:rFonts w:ascii="Arial" w:hAnsi="Arial" w:cs="Arial"/>
          <w:sz w:val="26"/>
          <w:szCs w:val="26"/>
        </w:rPr>
        <w:t>sentencia de trece de marzo de dos mil veintitrés</w:t>
      </w:r>
      <w:r w:rsidR="007726AA">
        <w:rPr>
          <w:rFonts w:ascii="Arial" w:hAnsi="Arial" w:cs="Arial"/>
          <w:sz w:val="26"/>
          <w:szCs w:val="26"/>
        </w:rPr>
        <w:t xml:space="preserve">, </w:t>
      </w:r>
      <w:r w:rsidR="007726AA">
        <w:rPr>
          <w:rFonts w:ascii="Arial" w:eastAsia="Times New Roman" w:hAnsi="Arial" w:cs="Arial"/>
          <w:sz w:val="26"/>
          <w:szCs w:val="26"/>
          <w:lang w:val="es-ES_tradnl" w:eastAsia="es-ES"/>
        </w:rPr>
        <w:t>dictada</w:t>
      </w:r>
      <w:r w:rsidR="0069057A" w:rsidRPr="000D730C">
        <w:rPr>
          <w:rFonts w:ascii="Arial" w:eastAsia="Times New Roman" w:hAnsi="Arial" w:cs="Arial"/>
          <w:sz w:val="26"/>
          <w:szCs w:val="26"/>
          <w:lang w:val="es-ES_tradnl" w:eastAsia="es-ES"/>
        </w:rPr>
        <w:t xml:space="preserve"> por la</w:t>
      </w:r>
      <w:r w:rsidR="009D62FC" w:rsidRPr="000D730C">
        <w:rPr>
          <w:rFonts w:ascii="Arial" w:eastAsia="Times New Roman" w:hAnsi="Arial" w:cs="Arial"/>
          <w:sz w:val="26"/>
          <w:szCs w:val="26"/>
          <w:lang w:val="es-ES_tradnl" w:eastAsia="es-ES"/>
        </w:rPr>
        <w:t xml:space="preserve"> </w:t>
      </w:r>
      <w:r w:rsidR="007726AA">
        <w:rPr>
          <w:rFonts w:ascii="Arial" w:eastAsia="Times New Roman" w:hAnsi="Arial" w:cs="Arial"/>
          <w:sz w:val="26"/>
          <w:szCs w:val="26"/>
          <w:lang w:val="es-ES_tradnl" w:eastAsia="es-ES"/>
        </w:rPr>
        <w:t>Primera</w:t>
      </w:r>
      <w:r w:rsidR="0069057A" w:rsidRPr="000D730C">
        <w:rPr>
          <w:rFonts w:ascii="Arial" w:eastAsia="Times New Roman" w:hAnsi="Arial" w:cs="Arial"/>
          <w:bCs/>
          <w:sz w:val="26"/>
          <w:szCs w:val="26"/>
          <w:lang w:val="es-ES_tradnl" w:eastAsia="es-ES"/>
        </w:rPr>
        <w:t xml:space="preserve"> Sala Unitaria </w:t>
      </w:r>
      <w:r w:rsidR="003F065E" w:rsidRPr="000D730C">
        <w:rPr>
          <w:rFonts w:ascii="Arial" w:eastAsia="Times New Roman" w:hAnsi="Arial" w:cs="Arial"/>
          <w:bCs/>
          <w:sz w:val="26"/>
          <w:szCs w:val="26"/>
          <w:lang w:val="es-ES_tradnl" w:eastAsia="es-ES"/>
        </w:rPr>
        <w:t xml:space="preserve">de </w:t>
      </w:r>
      <w:r w:rsidR="003F065E" w:rsidRPr="00254021">
        <w:rPr>
          <w:rFonts w:ascii="Arial" w:hAnsi="Arial" w:cs="Arial"/>
          <w:bCs/>
          <w:sz w:val="26"/>
          <w:szCs w:val="26"/>
        </w:rPr>
        <w:t>este Tribunal</w:t>
      </w:r>
      <w:r w:rsidR="007D57E9">
        <w:rPr>
          <w:rFonts w:ascii="Arial" w:hAnsi="Arial" w:cs="Arial"/>
          <w:bCs/>
          <w:sz w:val="26"/>
          <w:szCs w:val="26"/>
        </w:rPr>
        <w:t xml:space="preserve"> en aquel tiempo</w:t>
      </w:r>
      <w:r w:rsidR="003F065E" w:rsidRPr="00254021">
        <w:rPr>
          <w:rFonts w:ascii="Arial" w:hAnsi="Arial" w:cs="Arial"/>
          <w:bCs/>
          <w:sz w:val="26"/>
          <w:szCs w:val="26"/>
        </w:rPr>
        <w:t>.</w:t>
      </w:r>
    </w:p>
    <w:p w14:paraId="645A417E" w14:textId="3A2F8ED9" w:rsidR="00596348" w:rsidRPr="00254021" w:rsidRDefault="0069057A" w:rsidP="00763651">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7726AA">
        <w:rPr>
          <w:rFonts w:ascii="Arial" w:hAnsi="Arial" w:cs="Arial"/>
          <w:b/>
          <w:bCs/>
          <w:sz w:val="26"/>
          <w:szCs w:val="26"/>
        </w:rPr>
        <w:t>SENTENCIA RECURRIDA</w:t>
      </w:r>
      <w:r w:rsidR="00596348" w:rsidRPr="00254021">
        <w:rPr>
          <w:rFonts w:ascii="Arial" w:hAnsi="Arial" w:cs="Arial"/>
          <w:b/>
          <w:bCs/>
          <w:sz w:val="26"/>
          <w:szCs w:val="26"/>
        </w:rPr>
        <w:t>.</w:t>
      </w:r>
    </w:p>
    <w:p w14:paraId="253E59FF" w14:textId="7EB43E58" w:rsidR="00B0089F" w:rsidRDefault="002417AF" w:rsidP="002417AF">
      <w:pPr>
        <w:spacing w:line="360" w:lineRule="auto"/>
        <w:ind w:right="48" w:firstLine="567"/>
        <w:jc w:val="both"/>
        <w:rPr>
          <w:rFonts w:ascii="Arial" w:hAnsi="Arial" w:cs="Arial"/>
          <w:bCs/>
          <w:spacing w:val="-3"/>
          <w:sz w:val="26"/>
          <w:szCs w:val="26"/>
          <w:lang w:val="es-ES_tradnl"/>
        </w:rPr>
      </w:pPr>
      <w:r>
        <w:rPr>
          <w:rFonts w:ascii="Arial" w:hAnsi="Arial" w:cs="Arial"/>
          <w:bCs/>
          <w:spacing w:val="-3"/>
          <w:sz w:val="26"/>
          <w:szCs w:val="26"/>
          <w:lang w:val="es-ES_tradnl"/>
        </w:rPr>
        <w:t>3.</w:t>
      </w:r>
      <w:r w:rsidR="007726AA">
        <w:rPr>
          <w:rFonts w:ascii="Arial" w:hAnsi="Arial" w:cs="Arial"/>
          <w:bCs/>
          <w:spacing w:val="-3"/>
          <w:sz w:val="26"/>
          <w:szCs w:val="26"/>
          <w:lang w:val="es-ES_tradnl"/>
        </w:rPr>
        <w:t xml:space="preserve"> En la </w:t>
      </w:r>
      <w:r w:rsidR="007726AA" w:rsidRPr="002647FE">
        <w:rPr>
          <w:rFonts w:ascii="Arial" w:hAnsi="Arial" w:cs="Arial"/>
          <w:sz w:val="26"/>
          <w:szCs w:val="26"/>
        </w:rPr>
        <w:t>sentencia de trece de marzo de dos mil veintitrés</w:t>
      </w:r>
      <w:r w:rsidR="007D57E9">
        <w:rPr>
          <w:rFonts w:ascii="Arial" w:hAnsi="Arial" w:cs="Arial"/>
          <w:sz w:val="26"/>
          <w:szCs w:val="26"/>
        </w:rPr>
        <w:t xml:space="preserve">, </w:t>
      </w:r>
      <w:r w:rsidR="007726AA">
        <w:rPr>
          <w:rFonts w:ascii="Arial" w:hAnsi="Arial" w:cs="Arial"/>
          <w:bCs/>
          <w:spacing w:val="-3"/>
          <w:sz w:val="26"/>
          <w:szCs w:val="26"/>
          <w:lang w:val="es-ES_tradnl"/>
        </w:rPr>
        <w:t>dictada</w:t>
      </w:r>
      <w:r w:rsidR="00254021">
        <w:rPr>
          <w:rFonts w:ascii="Arial" w:hAnsi="Arial" w:cs="Arial"/>
          <w:bCs/>
          <w:spacing w:val="-3"/>
          <w:sz w:val="26"/>
          <w:szCs w:val="26"/>
          <w:lang w:val="es-ES_tradnl"/>
        </w:rPr>
        <w:t xml:space="preserve"> </w:t>
      </w:r>
      <w:r w:rsidR="007D57E9">
        <w:rPr>
          <w:rFonts w:ascii="Arial" w:hAnsi="Arial" w:cs="Arial"/>
          <w:bCs/>
          <w:spacing w:val="-3"/>
          <w:sz w:val="26"/>
          <w:szCs w:val="26"/>
          <w:lang w:val="es-ES_tradnl"/>
        </w:rPr>
        <w:t xml:space="preserve">en </w:t>
      </w:r>
      <w:r w:rsidR="00254021">
        <w:rPr>
          <w:rFonts w:ascii="Arial" w:hAnsi="Arial" w:cs="Arial"/>
          <w:bCs/>
          <w:spacing w:val="-3"/>
          <w:sz w:val="26"/>
          <w:szCs w:val="26"/>
          <w:lang w:val="es-ES_tradnl"/>
        </w:rPr>
        <w:t xml:space="preserve">el juicio de nulidad </w:t>
      </w:r>
      <w:r w:rsidR="00254021" w:rsidRPr="007D57E9">
        <w:rPr>
          <w:rFonts w:ascii="Arial" w:hAnsi="Arial" w:cs="Arial"/>
          <w:b/>
          <w:spacing w:val="-3"/>
          <w:sz w:val="26"/>
          <w:szCs w:val="26"/>
          <w:lang w:val="es-ES_tradnl"/>
        </w:rPr>
        <w:t>0</w:t>
      </w:r>
      <w:r w:rsidR="007726AA">
        <w:rPr>
          <w:rFonts w:ascii="Arial" w:hAnsi="Arial" w:cs="Arial"/>
          <w:b/>
          <w:spacing w:val="-3"/>
          <w:sz w:val="26"/>
          <w:szCs w:val="26"/>
          <w:lang w:val="es-ES_tradnl"/>
        </w:rPr>
        <w:t>040</w:t>
      </w:r>
      <w:r w:rsidR="00254021" w:rsidRPr="007D57E9">
        <w:rPr>
          <w:rFonts w:ascii="Arial" w:hAnsi="Arial" w:cs="Arial"/>
          <w:b/>
          <w:spacing w:val="-3"/>
          <w:sz w:val="26"/>
          <w:szCs w:val="26"/>
          <w:lang w:val="es-ES_tradnl"/>
        </w:rPr>
        <w:t>/202</w:t>
      </w:r>
      <w:r w:rsidR="00E26C96" w:rsidRPr="007D57E9">
        <w:rPr>
          <w:rFonts w:ascii="Arial" w:hAnsi="Arial" w:cs="Arial"/>
          <w:b/>
          <w:spacing w:val="-3"/>
          <w:sz w:val="26"/>
          <w:szCs w:val="26"/>
          <w:lang w:val="es-ES_tradnl"/>
        </w:rPr>
        <w:t>2</w:t>
      </w:r>
      <w:r w:rsidR="00254021">
        <w:rPr>
          <w:rFonts w:ascii="Arial" w:hAnsi="Arial" w:cs="Arial"/>
          <w:bCs/>
          <w:spacing w:val="-3"/>
          <w:sz w:val="26"/>
          <w:szCs w:val="26"/>
          <w:lang w:val="es-ES_tradnl"/>
        </w:rPr>
        <w:t xml:space="preserve">, </w:t>
      </w:r>
      <w:r w:rsidR="00B0089F" w:rsidRPr="002417AF">
        <w:rPr>
          <w:rFonts w:ascii="Arial" w:hAnsi="Arial" w:cs="Arial"/>
          <w:bCs/>
          <w:spacing w:val="-3"/>
          <w:sz w:val="26"/>
          <w:szCs w:val="26"/>
          <w:lang w:val="es-ES_tradnl"/>
        </w:rPr>
        <w:t xml:space="preserve">la </w:t>
      </w:r>
      <w:r w:rsidR="007726AA">
        <w:rPr>
          <w:rFonts w:ascii="Arial" w:hAnsi="Arial" w:cs="Arial"/>
          <w:bCs/>
          <w:spacing w:val="-3"/>
          <w:sz w:val="26"/>
          <w:szCs w:val="26"/>
          <w:lang w:val="es-ES_tradnl"/>
        </w:rPr>
        <w:t xml:space="preserve">Primera </w:t>
      </w:r>
      <w:r w:rsidR="003F065E" w:rsidRPr="002417AF">
        <w:rPr>
          <w:rFonts w:ascii="Arial" w:hAnsi="Arial" w:cs="Arial"/>
          <w:bCs/>
          <w:spacing w:val="-3"/>
          <w:sz w:val="26"/>
          <w:szCs w:val="26"/>
          <w:lang w:val="es-ES_tradnl"/>
        </w:rPr>
        <w:t xml:space="preserve">Sala Unitaria </w:t>
      </w:r>
      <w:r w:rsidR="00254021">
        <w:rPr>
          <w:rFonts w:ascii="Arial" w:hAnsi="Arial" w:cs="Arial"/>
          <w:bCs/>
          <w:spacing w:val="-3"/>
          <w:sz w:val="26"/>
          <w:szCs w:val="26"/>
          <w:lang w:val="es-ES_tradnl"/>
        </w:rPr>
        <w:t>de Primera Instancia</w:t>
      </w:r>
      <w:r w:rsidR="007726AA" w:rsidRPr="007726AA">
        <w:t xml:space="preserve"> </w:t>
      </w:r>
      <w:r w:rsidR="007726AA" w:rsidRPr="007726AA">
        <w:rPr>
          <w:rFonts w:ascii="Arial" w:hAnsi="Arial" w:cs="Arial"/>
          <w:bCs/>
          <w:spacing w:val="-3"/>
          <w:sz w:val="26"/>
          <w:szCs w:val="26"/>
          <w:lang w:val="es-ES_tradnl"/>
        </w:rPr>
        <w:t>se resolvió lo siguiente:</w:t>
      </w:r>
      <w:r w:rsidR="00254021">
        <w:rPr>
          <w:rFonts w:ascii="Arial" w:hAnsi="Arial" w:cs="Arial"/>
          <w:bCs/>
          <w:spacing w:val="-3"/>
          <w:sz w:val="26"/>
          <w:szCs w:val="26"/>
          <w:lang w:val="es-ES_tradnl"/>
        </w:rPr>
        <w:t xml:space="preserve"> </w:t>
      </w:r>
    </w:p>
    <w:p w14:paraId="3E094AC6" w14:textId="77777777" w:rsidR="007726AA" w:rsidRDefault="007726AA" w:rsidP="007726AA">
      <w:pPr>
        <w:spacing w:after="0" w:line="360" w:lineRule="auto"/>
        <w:ind w:left="567" w:right="616"/>
        <w:jc w:val="both"/>
        <w:rPr>
          <w:rFonts w:ascii="Arial" w:eastAsia="Times New Roman" w:hAnsi="Arial" w:cs="Arial"/>
          <w:bCs/>
          <w:i/>
          <w:iCs/>
          <w:lang w:eastAsia="es-ES"/>
        </w:rPr>
      </w:pPr>
      <w:r w:rsidRPr="007726AA">
        <w:rPr>
          <w:rFonts w:ascii="Arial" w:eastAsia="Times New Roman" w:hAnsi="Arial" w:cs="Arial"/>
          <w:bCs/>
          <w:i/>
          <w:iCs/>
          <w:lang w:eastAsia="es-ES"/>
        </w:rPr>
        <w:t>“</w:t>
      </w:r>
      <w:r w:rsidRPr="007726AA">
        <w:rPr>
          <w:rFonts w:ascii="Arial" w:eastAsia="Times New Roman" w:hAnsi="Arial" w:cs="Arial"/>
          <w:b/>
          <w:bCs/>
          <w:i/>
          <w:iCs/>
          <w:lang w:eastAsia="es-ES"/>
        </w:rPr>
        <w:t xml:space="preserve">PRIMERO. - </w:t>
      </w:r>
      <w:r w:rsidRPr="007726AA">
        <w:rPr>
          <w:rFonts w:ascii="Arial" w:eastAsia="Times New Roman" w:hAnsi="Arial" w:cs="Arial"/>
          <w:bCs/>
          <w:i/>
          <w:iCs/>
          <w:lang w:eastAsia="es-ES"/>
        </w:rPr>
        <w:t xml:space="preserve">Esta Primera Sala Unitaria fue competente para conocer y resolver del presente asunto. </w:t>
      </w:r>
    </w:p>
    <w:p w14:paraId="658CA382" w14:textId="77777777" w:rsidR="007726AA" w:rsidRPr="007726AA" w:rsidRDefault="007726AA" w:rsidP="007726AA">
      <w:pPr>
        <w:spacing w:after="0" w:line="360" w:lineRule="auto"/>
        <w:ind w:left="567" w:right="616"/>
        <w:jc w:val="both"/>
        <w:rPr>
          <w:rFonts w:ascii="Arial" w:eastAsia="Times New Roman" w:hAnsi="Arial" w:cs="Arial"/>
          <w:bCs/>
          <w:i/>
          <w:iCs/>
          <w:lang w:eastAsia="es-ES"/>
        </w:rPr>
      </w:pPr>
    </w:p>
    <w:p w14:paraId="058672F0" w14:textId="77777777" w:rsidR="007726AA" w:rsidRDefault="007726AA" w:rsidP="007726AA">
      <w:pPr>
        <w:spacing w:after="0" w:line="360" w:lineRule="auto"/>
        <w:ind w:right="616" w:firstLine="567"/>
        <w:jc w:val="both"/>
        <w:rPr>
          <w:rFonts w:ascii="Arial" w:eastAsia="Times New Roman" w:hAnsi="Arial" w:cs="Arial"/>
          <w:bCs/>
          <w:i/>
          <w:iCs/>
          <w:lang w:eastAsia="es-ES"/>
        </w:rPr>
      </w:pPr>
      <w:r w:rsidRPr="007726AA">
        <w:rPr>
          <w:rFonts w:ascii="Arial" w:eastAsia="Times New Roman" w:hAnsi="Arial" w:cs="Arial"/>
          <w:b/>
          <w:bCs/>
          <w:i/>
          <w:iCs/>
          <w:lang w:eastAsia="es-ES"/>
        </w:rPr>
        <w:t xml:space="preserve">SEGUNDO. - </w:t>
      </w:r>
      <w:r w:rsidRPr="007726AA">
        <w:rPr>
          <w:rFonts w:ascii="Arial" w:eastAsia="Times New Roman" w:hAnsi="Arial" w:cs="Arial"/>
          <w:bCs/>
          <w:i/>
          <w:iCs/>
          <w:lang w:eastAsia="es-ES"/>
        </w:rPr>
        <w:t xml:space="preserve">La personería de las partes quedó acreditada. </w:t>
      </w:r>
    </w:p>
    <w:p w14:paraId="5F69A371" w14:textId="77777777" w:rsidR="007726AA" w:rsidRPr="007726AA" w:rsidRDefault="007726AA" w:rsidP="007726AA">
      <w:pPr>
        <w:spacing w:after="0" w:line="360" w:lineRule="auto"/>
        <w:ind w:right="616" w:firstLine="567"/>
        <w:jc w:val="both"/>
        <w:rPr>
          <w:rFonts w:ascii="Arial" w:eastAsia="Times New Roman" w:hAnsi="Arial" w:cs="Arial"/>
          <w:bCs/>
          <w:i/>
          <w:iCs/>
          <w:lang w:eastAsia="es-ES"/>
        </w:rPr>
      </w:pPr>
    </w:p>
    <w:p w14:paraId="11F40EF9" w14:textId="77777777" w:rsidR="007726AA" w:rsidRDefault="007726AA" w:rsidP="007726AA">
      <w:pPr>
        <w:spacing w:after="0" w:line="360" w:lineRule="auto"/>
        <w:ind w:left="567" w:right="616"/>
        <w:jc w:val="both"/>
        <w:rPr>
          <w:rFonts w:ascii="Arial" w:eastAsia="Times New Roman" w:hAnsi="Arial" w:cs="Arial"/>
          <w:bCs/>
          <w:i/>
          <w:iCs/>
          <w:lang w:eastAsia="es-ES"/>
        </w:rPr>
      </w:pPr>
      <w:r w:rsidRPr="007726AA">
        <w:rPr>
          <w:rFonts w:ascii="Arial" w:eastAsia="Times New Roman" w:hAnsi="Arial" w:cs="Arial"/>
          <w:b/>
          <w:bCs/>
          <w:i/>
          <w:iCs/>
          <w:lang w:eastAsia="es-ES"/>
        </w:rPr>
        <w:t>TERCERO. –</w:t>
      </w:r>
      <w:r w:rsidRPr="007726AA">
        <w:rPr>
          <w:rFonts w:ascii="Arial" w:eastAsia="Times New Roman" w:hAnsi="Arial" w:cs="Arial"/>
          <w:bCs/>
          <w:i/>
          <w:iCs/>
          <w:lang w:eastAsia="es-ES"/>
        </w:rPr>
        <w:t xml:space="preserve"> Se declara la VALIDEZ de la determinación de fecha dos de mayo de dos mil veintidós por virtud del cual le niegan el trámite de subdivisión del predio ubicado en la calle Libertad de Santa María el Tule. </w:t>
      </w:r>
    </w:p>
    <w:p w14:paraId="72B0117F" w14:textId="77777777" w:rsidR="007726AA" w:rsidRPr="007726AA" w:rsidRDefault="007726AA" w:rsidP="007726AA">
      <w:pPr>
        <w:spacing w:after="0" w:line="360" w:lineRule="auto"/>
        <w:ind w:left="567" w:right="616"/>
        <w:jc w:val="both"/>
        <w:rPr>
          <w:rFonts w:ascii="Arial" w:eastAsia="Times New Roman" w:hAnsi="Arial" w:cs="Arial"/>
          <w:bCs/>
          <w:i/>
          <w:iCs/>
          <w:lang w:eastAsia="es-ES"/>
        </w:rPr>
      </w:pPr>
    </w:p>
    <w:p w14:paraId="5AEF1942" w14:textId="77777777" w:rsidR="007726AA" w:rsidRDefault="007726AA" w:rsidP="007726AA">
      <w:pPr>
        <w:spacing w:after="0" w:line="360" w:lineRule="auto"/>
        <w:ind w:left="567" w:right="616"/>
        <w:jc w:val="both"/>
        <w:rPr>
          <w:rFonts w:ascii="Arial" w:eastAsia="Times New Roman" w:hAnsi="Arial" w:cs="Arial"/>
          <w:bCs/>
          <w:i/>
          <w:iCs/>
          <w:lang w:eastAsia="es-ES"/>
        </w:rPr>
      </w:pPr>
      <w:r w:rsidRPr="007726AA">
        <w:rPr>
          <w:rFonts w:ascii="Arial" w:eastAsia="Times New Roman" w:hAnsi="Arial" w:cs="Arial"/>
          <w:b/>
          <w:bCs/>
          <w:i/>
          <w:iCs/>
          <w:lang w:eastAsia="es-ES"/>
        </w:rPr>
        <w:t>CUARTO. – Notifíquese personalmente a la parte actora y por oficio a la autoridad demandada</w:t>
      </w:r>
      <w:r w:rsidRPr="007726AA">
        <w:rPr>
          <w:rFonts w:ascii="Arial" w:eastAsia="Times New Roman" w:hAnsi="Arial" w:cs="Arial"/>
          <w:bCs/>
          <w:i/>
          <w:iCs/>
          <w:lang w:eastAsia="es-ES"/>
        </w:rPr>
        <w:t xml:space="preserve">, con fundamento en los artículos 172, fracción I y 173 fracciones I y II, de la Ley de Procedimiento y Justicia Administrativa para el Estado de Oaxaca, </w:t>
      </w:r>
      <w:r w:rsidRPr="007726AA">
        <w:rPr>
          <w:rFonts w:ascii="Arial" w:eastAsia="Times New Roman" w:hAnsi="Arial" w:cs="Arial"/>
          <w:b/>
          <w:bCs/>
          <w:i/>
          <w:iCs/>
          <w:lang w:eastAsia="es-ES"/>
        </w:rPr>
        <w:t>- CÚMPLASE.</w:t>
      </w:r>
      <w:r w:rsidRPr="007726AA">
        <w:rPr>
          <w:rFonts w:ascii="Arial" w:eastAsia="Times New Roman" w:hAnsi="Arial" w:cs="Arial"/>
          <w:bCs/>
          <w:i/>
          <w:iCs/>
          <w:lang w:eastAsia="es-ES"/>
        </w:rPr>
        <w:t xml:space="preserve">  </w:t>
      </w:r>
    </w:p>
    <w:p w14:paraId="679C211B" w14:textId="77777777" w:rsidR="007726AA" w:rsidRPr="007726AA" w:rsidRDefault="007726AA" w:rsidP="007726AA">
      <w:pPr>
        <w:spacing w:after="0" w:line="360" w:lineRule="auto"/>
        <w:ind w:left="567" w:right="616"/>
        <w:jc w:val="both"/>
        <w:rPr>
          <w:rFonts w:ascii="Arial" w:eastAsia="Times New Roman" w:hAnsi="Arial" w:cs="Arial"/>
          <w:bCs/>
          <w:i/>
          <w:iCs/>
          <w:lang w:eastAsia="es-ES"/>
        </w:rPr>
      </w:pPr>
    </w:p>
    <w:p w14:paraId="21A8D8AA" w14:textId="77777777" w:rsidR="007726AA" w:rsidRPr="007726AA" w:rsidRDefault="007726AA" w:rsidP="007726AA">
      <w:pPr>
        <w:spacing w:after="0" w:line="360" w:lineRule="auto"/>
        <w:ind w:left="567" w:right="616"/>
        <w:jc w:val="both"/>
        <w:rPr>
          <w:rFonts w:ascii="Arial" w:eastAsia="Times New Roman" w:hAnsi="Arial" w:cs="Arial"/>
          <w:bCs/>
          <w:i/>
          <w:iCs/>
          <w:lang w:eastAsia="es-ES"/>
        </w:rPr>
      </w:pPr>
      <w:r w:rsidRPr="007726AA">
        <w:rPr>
          <w:rFonts w:ascii="Arial" w:eastAsia="Times New Roman" w:hAnsi="Arial" w:cs="Arial"/>
          <w:bCs/>
          <w:i/>
          <w:iCs/>
          <w:lang w:eastAsia="es-ES"/>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7726AA">
        <w:rPr>
          <w:rFonts w:ascii="Arial" w:eastAsia="Times New Roman" w:hAnsi="Arial" w:cs="Arial"/>
          <w:bCs/>
          <w:i/>
          <w:iCs/>
          <w:lang w:eastAsia="es-ES"/>
        </w:rPr>
        <w:t>Morales</w:t>
      </w:r>
      <w:proofErr w:type="spellEnd"/>
      <w:r w:rsidRPr="007726AA">
        <w:rPr>
          <w:rFonts w:ascii="Arial" w:eastAsia="Times New Roman" w:hAnsi="Arial" w:cs="Arial"/>
          <w:bCs/>
          <w:i/>
          <w:iCs/>
          <w:lang w:eastAsia="es-ES"/>
        </w:rPr>
        <w:t>, Secretario de Acuerdos, quien autoriza y da fe.”</w:t>
      </w:r>
    </w:p>
    <w:p w14:paraId="5B08C677" w14:textId="77777777" w:rsidR="007726AA" w:rsidRPr="007726AA" w:rsidRDefault="007726AA" w:rsidP="002417AF">
      <w:pPr>
        <w:spacing w:line="360" w:lineRule="auto"/>
        <w:ind w:right="48" w:firstLine="567"/>
        <w:jc w:val="both"/>
        <w:rPr>
          <w:rFonts w:ascii="Arial" w:hAnsi="Arial" w:cs="Arial"/>
          <w:b/>
          <w:bCs/>
          <w:spacing w:val="-3"/>
          <w:sz w:val="26"/>
          <w:szCs w:val="26"/>
        </w:rPr>
      </w:pPr>
    </w:p>
    <w:p w14:paraId="6BAEFF45" w14:textId="77777777" w:rsidR="007726AA" w:rsidRDefault="007726AA" w:rsidP="002417AF">
      <w:pPr>
        <w:spacing w:line="360" w:lineRule="auto"/>
        <w:jc w:val="center"/>
        <w:rPr>
          <w:rFonts w:ascii="Arial" w:hAnsi="Arial" w:cs="Arial"/>
          <w:b/>
          <w:spacing w:val="-3"/>
          <w:sz w:val="26"/>
          <w:szCs w:val="26"/>
        </w:rPr>
      </w:pPr>
    </w:p>
    <w:p w14:paraId="258CE6C0" w14:textId="1C36E12F" w:rsidR="00102315" w:rsidRPr="00EE4752" w:rsidRDefault="007324F0" w:rsidP="002417AF">
      <w:pPr>
        <w:spacing w:line="360" w:lineRule="auto"/>
        <w:jc w:val="center"/>
        <w:rPr>
          <w:rFonts w:ascii="Arial" w:hAnsi="Arial" w:cs="Arial"/>
          <w:b/>
          <w:spacing w:val="-3"/>
          <w:sz w:val="26"/>
          <w:szCs w:val="26"/>
          <w:lang w:val="es-ES_tradnl"/>
        </w:rPr>
      </w:pPr>
      <w:r>
        <w:rPr>
          <w:rFonts w:ascii="Times New Roman" w:eastAsia="Times New Roman" w:hAnsi="Times New Roman" w:cs="Times New Roman"/>
          <w:noProof/>
          <w:color w:val="000000"/>
          <w:sz w:val="24"/>
          <w:szCs w:val="24"/>
        </w:rPr>
        <w:lastRenderedPageBreak/>
        <w:drawing>
          <wp:anchor distT="0" distB="0" distL="114300" distR="114300" simplePos="0" relativeHeight="251685888" behindDoc="1" locked="0" layoutInCell="1" allowOverlap="1" wp14:anchorId="3DF4709B" wp14:editId="4426BCBD">
            <wp:simplePos x="0" y="0"/>
            <wp:positionH relativeFrom="leftMargin">
              <wp:posOffset>439420</wp:posOffset>
            </wp:positionH>
            <wp:positionV relativeFrom="paragraph">
              <wp:posOffset>260350</wp:posOffset>
            </wp:positionV>
            <wp:extent cx="1024255" cy="1261745"/>
            <wp:effectExtent l="0" t="0" r="4445" b="0"/>
            <wp:wrapNone/>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B979B6">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4EC959C1" w14:textId="43FB5CE0" w:rsidR="002C2EE5" w:rsidRDefault="00102315" w:rsidP="00763651">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JURISDICCIÓN</w:t>
      </w:r>
      <w:r w:rsidR="00DC765E" w:rsidRPr="00EE4752">
        <w:rPr>
          <w:rFonts w:ascii="Arial" w:hAnsi="Arial" w:cs="Arial"/>
          <w:b/>
          <w:sz w:val="26"/>
          <w:szCs w:val="26"/>
        </w:rPr>
        <w:t>.</w:t>
      </w:r>
      <w:r w:rsidR="002C2EE5" w:rsidRPr="002C2EE5">
        <w:rPr>
          <w:rFonts w:ascii="Arial" w:hAnsi="Arial" w:cs="Arial"/>
          <w:b/>
          <w:sz w:val="26"/>
          <w:szCs w:val="26"/>
        </w:rPr>
        <w:t xml:space="preserve"> </w:t>
      </w:r>
    </w:p>
    <w:p w14:paraId="4ED35C60" w14:textId="559DA7B0" w:rsidR="002417AF" w:rsidRPr="000F39BF" w:rsidRDefault="002417AF" w:rsidP="000F39BF">
      <w:pPr>
        <w:spacing w:line="360" w:lineRule="auto"/>
        <w:ind w:firstLine="567"/>
        <w:jc w:val="both"/>
        <w:rPr>
          <w:rFonts w:ascii="Arial" w:hAnsi="Arial" w:cs="Arial"/>
          <w:sz w:val="26"/>
          <w:szCs w:val="26"/>
        </w:rPr>
      </w:pPr>
      <w:r>
        <w:rPr>
          <w:rFonts w:ascii="Arial" w:hAnsi="Arial" w:cs="Arial"/>
          <w:sz w:val="26"/>
          <w:szCs w:val="26"/>
        </w:rPr>
        <w:t xml:space="preserve">4. </w:t>
      </w:r>
      <w:r w:rsidRPr="002417AF">
        <w:rPr>
          <w:rFonts w:ascii="Arial" w:hAnsi="Arial" w:cs="Arial"/>
          <w:sz w:val="26"/>
          <w:szCs w:val="26"/>
        </w:rPr>
        <w:t xml:space="preserve">Esta Sala Superior del Tribunal de Justicia Administrativa y Combate a la Corrupción del Estado de Oaxaca ejerce jurisdicción y es competente para conocer del presente asunto, conforme a lo dispuesto por los </w:t>
      </w:r>
      <w:r w:rsidRPr="00403CFB">
        <w:rPr>
          <w:rFonts w:ascii="Arial" w:hAnsi="Arial" w:cs="Arial"/>
          <w:bCs/>
          <w:iCs/>
          <w:sz w:val="26"/>
          <w:szCs w:val="26"/>
        </w:rPr>
        <w:t xml:space="preserve">artículos 114 QUÁTER de la </w:t>
      </w:r>
      <w:r w:rsidRPr="00451BAD">
        <w:rPr>
          <w:rFonts w:ascii="Arial" w:hAnsi="Arial" w:cs="Arial"/>
          <w:bCs/>
          <w:i/>
          <w:iCs/>
          <w:sz w:val="26"/>
          <w:szCs w:val="26"/>
        </w:rPr>
        <w:t>Constitución Local</w:t>
      </w:r>
      <w:r w:rsidRPr="00403CFB">
        <w:rPr>
          <w:rFonts w:ascii="Arial" w:hAnsi="Arial" w:cs="Arial"/>
          <w:bCs/>
          <w:iCs/>
          <w:sz w:val="26"/>
          <w:szCs w:val="26"/>
        </w:rPr>
        <w:t>;</w:t>
      </w:r>
      <w:r>
        <w:rPr>
          <w:rFonts w:ascii="Arial" w:hAnsi="Arial" w:cs="Arial"/>
          <w:bCs/>
          <w:iCs/>
          <w:sz w:val="26"/>
          <w:szCs w:val="26"/>
        </w:rPr>
        <w:t xml:space="preserve"> </w:t>
      </w:r>
      <w:r w:rsidR="00C803E7">
        <w:rPr>
          <w:rFonts w:ascii="Arial" w:hAnsi="Arial" w:cs="Arial"/>
          <w:bCs/>
          <w:iCs/>
          <w:sz w:val="26"/>
          <w:szCs w:val="26"/>
        </w:rPr>
        <w:t xml:space="preserve">2 párrafos primero, segundo, cuarto y quinto, 4 fracciones III, V y VI, 7 fracción I inciso c), 23 fracción I de la </w:t>
      </w:r>
      <w:r w:rsidR="00C803E7" w:rsidRPr="00A05DE5">
        <w:rPr>
          <w:rFonts w:ascii="Arial" w:hAnsi="Arial" w:cs="Arial"/>
          <w:bCs/>
          <w:i/>
          <w:iCs/>
          <w:sz w:val="26"/>
          <w:szCs w:val="26"/>
        </w:rPr>
        <w:t>Ley Orgánica;</w:t>
      </w:r>
      <w:r w:rsidR="00C803E7">
        <w:rPr>
          <w:rFonts w:ascii="Arial" w:hAnsi="Arial" w:cs="Arial"/>
          <w:bCs/>
          <w:i/>
          <w:iCs/>
          <w:sz w:val="26"/>
          <w:szCs w:val="26"/>
        </w:rPr>
        <w:t xml:space="preserve"> </w:t>
      </w:r>
      <w:r w:rsidR="00C803E7" w:rsidRPr="00C803E7">
        <w:rPr>
          <w:rFonts w:ascii="Arial" w:hAnsi="Arial" w:cs="Arial"/>
          <w:bCs/>
          <w:iCs/>
          <w:sz w:val="26"/>
          <w:szCs w:val="26"/>
        </w:rPr>
        <w:t>1</w:t>
      </w:r>
      <w:r w:rsidRPr="00C803E7">
        <w:rPr>
          <w:rFonts w:ascii="Arial" w:hAnsi="Arial" w:cs="Arial"/>
          <w:bCs/>
          <w:iCs/>
          <w:sz w:val="26"/>
          <w:szCs w:val="26"/>
        </w:rPr>
        <w:t>20</w:t>
      </w:r>
      <w:r w:rsidRPr="00C803E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00C803E7">
        <w:rPr>
          <w:rFonts w:ascii="Arial" w:hAnsi="Arial" w:cs="Arial"/>
          <w:bCs/>
          <w:iCs/>
          <w:sz w:val="26"/>
          <w:szCs w:val="26"/>
          <w:lang w:eastAsia="es-ES"/>
        </w:rPr>
        <w:t xml:space="preserve"> </w:t>
      </w:r>
      <w:r w:rsidRPr="00624207">
        <w:rPr>
          <w:rFonts w:ascii="Arial" w:hAnsi="Arial" w:cs="Arial"/>
          <w:bCs/>
          <w:iCs/>
          <w:sz w:val="26"/>
          <w:szCs w:val="26"/>
          <w:lang w:eastAsia="es-ES"/>
        </w:rPr>
        <w:t>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w:t>
      </w:r>
      <w:r w:rsidRPr="005177E8">
        <w:rPr>
          <w:rFonts w:ascii="Arial" w:hAnsi="Arial" w:cs="Arial"/>
          <w:bCs/>
          <w:i/>
          <w:iCs/>
          <w:sz w:val="26"/>
          <w:szCs w:val="26"/>
        </w:rPr>
        <w:t>la Ley de Procedimiento</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w:t>
      </w:r>
      <w:r w:rsidR="00AF0376">
        <w:rPr>
          <w:rFonts w:ascii="Arial" w:hAnsi="Arial" w:cs="Arial"/>
          <w:bCs/>
          <w:iCs/>
          <w:sz w:val="26"/>
          <w:szCs w:val="26"/>
        </w:rPr>
        <w:t xml:space="preserve"> contra de</w:t>
      </w:r>
      <w:r w:rsidR="007726AA">
        <w:rPr>
          <w:rFonts w:ascii="Arial" w:hAnsi="Arial" w:cs="Arial"/>
          <w:bCs/>
          <w:iCs/>
          <w:sz w:val="26"/>
          <w:szCs w:val="26"/>
        </w:rPr>
        <w:t xml:space="preserve"> </w:t>
      </w:r>
      <w:r w:rsidR="007726AA">
        <w:rPr>
          <w:rFonts w:ascii="Arial" w:hAnsi="Arial" w:cs="Arial"/>
          <w:bCs/>
          <w:spacing w:val="-3"/>
          <w:sz w:val="26"/>
          <w:szCs w:val="26"/>
          <w:lang w:val="es-ES_tradnl"/>
        </w:rPr>
        <w:t xml:space="preserve">la </w:t>
      </w:r>
      <w:r w:rsidR="007726AA" w:rsidRPr="002647FE">
        <w:rPr>
          <w:rFonts w:ascii="Arial" w:hAnsi="Arial" w:cs="Arial"/>
          <w:sz w:val="26"/>
          <w:szCs w:val="26"/>
        </w:rPr>
        <w:t>sentencia de trece de marzo de dos mil veintitrés</w:t>
      </w:r>
      <w:r w:rsidR="00AF0376">
        <w:rPr>
          <w:rFonts w:ascii="Arial" w:hAnsi="Arial" w:cs="Arial"/>
          <w:bCs/>
          <w:iCs/>
          <w:sz w:val="26"/>
          <w:szCs w:val="26"/>
        </w:rPr>
        <w:t>,</w:t>
      </w:r>
      <w:r w:rsidR="00254021" w:rsidRPr="002417AF">
        <w:rPr>
          <w:rFonts w:ascii="Arial" w:hAnsi="Arial" w:cs="Arial"/>
          <w:bCs/>
          <w:spacing w:val="-3"/>
          <w:sz w:val="26"/>
          <w:szCs w:val="26"/>
          <w:lang w:val="es-ES_tradnl"/>
        </w:rPr>
        <w:t xml:space="preserve"> </w:t>
      </w:r>
      <w:r w:rsidR="007726AA">
        <w:rPr>
          <w:rFonts w:ascii="Arial" w:hAnsi="Arial" w:cs="Arial"/>
          <w:bCs/>
          <w:spacing w:val="-3"/>
          <w:sz w:val="26"/>
          <w:szCs w:val="26"/>
          <w:lang w:val="es-ES_tradnl"/>
        </w:rPr>
        <w:t>dictado en</w:t>
      </w:r>
      <w:r w:rsidR="00E26C96">
        <w:rPr>
          <w:rFonts w:ascii="Arial" w:hAnsi="Arial" w:cs="Arial"/>
          <w:bCs/>
          <w:spacing w:val="-3"/>
          <w:sz w:val="26"/>
          <w:szCs w:val="26"/>
          <w:lang w:val="es-ES_tradnl"/>
        </w:rPr>
        <w:t xml:space="preserve"> el juicio de nulidad </w:t>
      </w:r>
      <w:r w:rsidR="00E26C96" w:rsidRPr="00582A31">
        <w:rPr>
          <w:rFonts w:ascii="Arial" w:hAnsi="Arial" w:cs="Arial"/>
          <w:b/>
          <w:spacing w:val="-3"/>
          <w:sz w:val="26"/>
          <w:szCs w:val="26"/>
          <w:lang w:val="es-ES_tradnl"/>
        </w:rPr>
        <w:t>0</w:t>
      </w:r>
      <w:r w:rsidR="00EA192C">
        <w:rPr>
          <w:rFonts w:ascii="Arial" w:hAnsi="Arial" w:cs="Arial"/>
          <w:b/>
          <w:spacing w:val="-3"/>
          <w:sz w:val="26"/>
          <w:szCs w:val="26"/>
          <w:lang w:val="es-ES_tradnl"/>
        </w:rPr>
        <w:t>040</w:t>
      </w:r>
      <w:r w:rsidR="00E26C96" w:rsidRPr="00582A31">
        <w:rPr>
          <w:rFonts w:ascii="Arial" w:hAnsi="Arial" w:cs="Arial"/>
          <w:b/>
          <w:spacing w:val="-3"/>
          <w:sz w:val="26"/>
          <w:szCs w:val="26"/>
          <w:lang w:val="es-ES_tradnl"/>
        </w:rPr>
        <w:t>/2022</w:t>
      </w:r>
      <w:r w:rsidR="00254021" w:rsidRPr="00582A31">
        <w:rPr>
          <w:rFonts w:ascii="Arial" w:hAnsi="Arial" w:cs="Arial"/>
          <w:b/>
          <w:spacing w:val="-3"/>
          <w:sz w:val="26"/>
          <w:szCs w:val="26"/>
          <w:lang w:val="es-ES_tradnl"/>
        </w:rPr>
        <w:t>,</w:t>
      </w:r>
      <w:r w:rsidR="00254021">
        <w:rPr>
          <w:rFonts w:ascii="Arial" w:hAnsi="Arial" w:cs="Arial"/>
          <w:bCs/>
          <w:spacing w:val="-3"/>
          <w:sz w:val="26"/>
          <w:szCs w:val="26"/>
          <w:lang w:val="es-ES_tradnl"/>
        </w:rPr>
        <w:t xml:space="preserve"> de </w:t>
      </w:r>
      <w:r w:rsidR="00254021" w:rsidRPr="002417AF">
        <w:rPr>
          <w:rFonts w:ascii="Arial" w:hAnsi="Arial" w:cs="Arial"/>
          <w:bCs/>
          <w:spacing w:val="-3"/>
          <w:sz w:val="26"/>
          <w:szCs w:val="26"/>
          <w:lang w:val="es-ES_tradnl"/>
        </w:rPr>
        <w:t xml:space="preserve">la </w:t>
      </w:r>
      <w:r w:rsidR="00EA192C">
        <w:rPr>
          <w:rFonts w:ascii="Arial" w:hAnsi="Arial" w:cs="Arial"/>
          <w:bCs/>
          <w:spacing w:val="-3"/>
          <w:sz w:val="26"/>
          <w:szCs w:val="26"/>
          <w:lang w:val="es-ES_tradnl"/>
        </w:rPr>
        <w:t xml:space="preserve">Primera </w:t>
      </w:r>
      <w:r w:rsidR="00254021" w:rsidRPr="002417AF">
        <w:rPr>
          <w:rFonts w:ascii="Arial" w:hAnsi="Arial" w:cs="Arial"/>
          <w:bCs/>
          <w:spacing w:val="-3"/>
          <w:sz w:val="26"/>
          <w:szCs w:val="26"/>
          <w:lang w:val="es-ES_tradnl"/>
        </w:rPr>
        <w:t xml:space="preserve">Sala Unitaria </w:t>
      </w:r>
      <w:r w:rsidR="00254021">
        <w:rPr>
          <w:rFonts w:ascii="Arial" w:hAnsi="Arial" w:cs="Arial"/>
          <w:bCs/>
          <w:spacing w:val="-3"/>
          <w:sz w:val="26"/>
          <w:szCs w:val="26"/>
          <w:lang w:val="es-ES_tradnl"/>
        </w:rPr>
        <w:t>de Primera Instancia</w:t>
      </w:r>
      <w:r w:rsidR="00EA192C">
        <w:rPr>
          <w:rFonts w:ascii="Arial" w:hAnsi="Arial" w:cs="Arial"/>
          <w:bCs/>
          <w:spacing w:val="-3"/>
          <w:sz w:val="26"/>
          <w:szCs w:val="26"/>
          <w:lang w:val="es-ES_tradnl"/>
        </w:rPr>
        <w:t xml:space="preserve"> de este Tribunal.</w:t>
      </w:r>
    </w:p>
    <w:p w14:paraId="37EE72C6" w14:textId="024C245F" w:rsidR="00012FB2" w:rsidRPr="00EE4752" w:rsidRDefault="00FE3F41" w:rsidP="007C426D">
      <w:pPr>
        <w:spacing w:line="360" w:lineRule="auto"/>
        <w:ind w:firstLine="709"/>
        <w:jc w:val="both"/>
        <w:rPr>
          <w:rFonts w:ascii="Arial" w:hAnsi="Arial" w:cs="Arial"/>
          <w:b/>
          <w:snapToGrid w:val="0"/>
          <w:sz w:val="26"/>
          <w:szCs w:val="26"/>
        </w:rPr>
      </w:pPr>
      <w:r w:rsidRPr="00FE3F41">
        <w:rPr>
          <w:rFonts w:ascii="Arial" w:hAnsi="Arial" w:cs="Arial"/>
          <w:b/>
          <w:sz w:val="26"/>
          <w:szCs w:val="26"/>
        </w:rPr>
        <w:t xml:space="preserve">SEGUNDO. </w:t>
      </w:r>
      <w:r w:rsidR="00012FB2">
        <w:rPr>
          <w:rFonts w:ascii="Arial" w:hAnsi="Arial" w:cs="Arial"/>
          <w:b/>
          <w:snapToGrid w:val="0"/>
          <w:sz w:val="26"/>
          <w:szCs w:val="26"/>
        </w:rPr>
        <w:t>AGRAVIOS</w:t>
      </w:r>
      <w:r w:rsidR="00012FB2" w:rsidRPr="00EE4752">
        <w:rPr>
          <w:rFonts w:ascii="Arial" w:hAnsi="Arial" w:cs="Arial"/>
          <w:b/>
          <w:snapToGrid w:val="0"/>
          <w:sz w:val="26"/>
          <w:szCs w:val="26"/>
        </w:rPr>
        <w:t>.</w:t>
      </w:r>
    </w:p>
    <w:p w14:paraId="5787EAC8" w14:textId="1F66CE19" w:rsidR="009E1ACE" w:rsidRPr="007C426D" w:rsidRDefault="007C426D" w:rsidP="002417AF">
      <w:pPr>
        <w:spacing w:line="360" w:lineRule="auto"/>
        <w:ind w:firstLine="708"/>
        <w:jc w:val="both"/>
        <w:rPr>
          <w:rFonts w:ascii="Arial" w:hAnsi="Arial" w:cs="Arial"/>
          <w:snapToGrid w:val="0"/>
          <w:sz w:val="26"/>
          <w:szCs w:val="26"/>
        </w:rPr>
      </w:pPr>
      <w:r>
        <w:rPr>
          <w:rFonts w:ascii="Arial" w:hAnsi="Arial" w:cs="Arial"/>
          <w:snapToGrid w:val="0"/>
          <w:sz w:val="26"/>
          <w:szCs w:val="26"/>
        </w:rPr>
        <w:t>5</w:t>
      </w:r>
      <w:r w:rsidR="006E7ABD" w:rsidRPr="009D7256">
        <w:rPr>
          <w:rFonts w:ascii="Arial" w:hAnsi="Arial" w:cs="Arial"/>
          <w:snapToGrid w:val="0"/>
          <w:sz w:val="26"/>
          <w:szCs w:val="26"/>
        </w:rPr>
        <w:t>.</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7C426D">
        <w:rPr>
          <w:rFonts w:ascii="Arial" w:hAnsi="Arial" w:cs="Arial"/>
          <w:b/>
          <w:bCs/>
          <w:i/>
          <w:color w:val="000000"/>
          <w:sz w:val="26"/>
          <w:szCs w:val="26"/>
        </w:rPr>
        <w:t>“CONCEPTOS DE VIOLACIÓN. NO ES OBLIGATORIO TRANSCRIBIRLOS EN LA SENTENCIA</w:t>
      </w:r>
      <w:r w:rsidR="000C7EB2" w:rsidRPr="007C426D">
        <w:rPr>
          <w:rStyle w:val="Refdenotaalpie"/>
          <w:rFonts w:ascii="Arial" w:hAnsi="Arial" w:cs="Arial"/>
          <w:b/>
          <w:bCs/>
          <w:i/>
          <w:color w:val="000000"/>
          <w:sz w:val="26"/>
          <w:szCs w:val="26"/>
        </w:rPr>
        <w:footnoteReference w:id="1"/>
      </w:r>
      <w:r w:rsidR="004A06DD" w:rsidRPr="007C426D">
        <w:rPr>
          <w:rFonts w:ascii="Arial" w:hAnsi="Arial" w:cs="Arial"/>
          <w:b/>
          <w:bCs/>
          <w:i/>
          <w:color w:val="000000"/>
          <w:sz w:val="26"/>
          <w:szCs w:val="26"/>
        </w:rPr>
        <w:t xml:space="preserve">”. - - - - - - - - - -  - - - - - - - - - - - - - </w:t>
      </w:r>
    </w:p>
    <w:p w14:paraId="6F34522E" w14:textId="6CDCCBF1" w:rsidR="00902D9A" w:rsidRP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r>
        <w:rPr>
          <w:rFonts w:ascii="Arial" w:hAnsi="Arial" w:cs="Arial"/>
          <w:snapToGrid w:val="0"/>
          <w:sz w:val="26"/>
          <w:szCs w:val="26"/>
        </w:rPr>
        <w:tab/>
      </w:r>
      <w:r w:rsidR="007C426D">
        <w:rPr>
          <w:rFonts w:ascii="Arial" w:hAnsi="Arial" w:cs="Arial"/>
          <w:snapToGrid w:val="0"/>
          <w:sz w:val="26"/>
          <w:szCs w:val="26"/>
        </w:rPr>
        <w:t>6</w:t>
      </w:r>
      <w:r w:rsidR="004037F2">
        <w:rPr>
          <w:rFonts w:ascii="Arial" w:hAnsi="Arial" w:cs="Arial"/>
          <w:snapToGrid w:val="0"/>
          <w:sz w:val="26"/>
          <w:szCs w:val="26"/>
        </w:rPr>
        <w:t>.</w:t>
      </w:r>
      <w:r w:rsidR="006E7ABD" w:rsidRPr="00764542">
        <w:rPr>
          <w:rFonts w:ascii="Arial" w:hAnsi="Arial" w:cs="Arial"/>
          <w:snapToGrid w:val="0"/>
          <w:sz w:val="26"/>
          <w:szCs w:val="26"/>
        </w:rPr>
        <w:t xml:space="preserve"> </w:t>
      </w:r>
      <w:r w:rsidRPr="00902D9A">
        <w:rPr>
          <w:rFonts w:ascii="Arial" w:eastAsia="Calibri" w:hAnsi="Arial" w:cs="Arial"/>
          <w:bCs/>
          <w:sz w:val="26"/>
          <w:szCs w:val="26"/>
          <w:lang w:eastAsia="es-MX"/>
        </w:rPr>
        <w:t xml:space="preserve">Esta Sala Superior procede a pronunciarse sobre los agravios en un orden diverso al que fueron planteados, sin que esto vulnere en perjuicio de la recurrente los </w:t>
      </w:r>
      <w:r w:rsidRPr="00902D9A">
        <w:rPr>
          <w:rFonts w:ascii="Arial" w:eastAsia="Calibri" w:hAnsi="Arial" w:cs="Arial"/>
          <w:bCs/>
          <w:i/>
          <w:sz w:val="26"/>
          <w:szCs w:val="26"/>
          <w:lang w:eastAsia="es-MX"/>
        </w:rPr>
        <w:t>principios de exhaustividad y de congruencia</w:t>
      </w:r>
      <w:r w:rsidRPr="00902D9A">
        <w:rPr>
          <w:rFonts w:ascii="Arial" w:eastAsia="Calibri" w:hAnsi="Arial" w:cs="Arial"/>
          <w:bCs/>
          <w:sz w:val="26"/>
          <w:szCs w:val="26"/>
          <w:lang w:eastAsia="es-MX"/>
        </w:rPr>
        <w:t xml:space="preserve"> previstos en los numerales 207, 208 y 209 de la Ley de Procedimiento y Justicia Administrativa para el Estado de Oaxaca. </w:t>
      </w:r>
    </w:p>
    <w:p w14:paraId="4541A2DA" w14:textId="6D88D94E" w:rsidR="00902D9A" w:rsidRP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r w:rsidRPr="00902D9A">
        <w:rPr>
          <w:rFonts w:ascii="Arial" w:eastAsia="Calibri" w:hAnsi="Arial" w:cs="Arial"/>
          <w:bCs/>
          <w:sz w:val="26"/>
          <w:szCs w:val="26"/>
          <w:lang w:eastAsia="es-MX"/>
        </w:rPr>
        <w:tab/>
      </w:r>
      <w:r>
        <w:rPr>
          <w:rFonts w:ascii="Arial" w:eastAsia="Calibri" w:hAnsi="Arial" w:cs="Arial"/>
          <w:bCs/>
          <w:sz w:val="26"/>
          <w:szCs w:val="26"/>
          <w:lang w:eastAsia="es-MX"/>
        </w:rPr>
        <w:t xml:space="preserve">7. </w:t>
      </w:r>
      <w:r w:rsidRPr="00902D9A">
        <w:rPr>
          <w:rFonts w:ascii="Arial" w:eastAsia="Calibri" w:hAnsi="Arial" w:cs="Arial"/>
          <w:bCs/>
          <w:sz w:val="26"/>
          <w:szCs w:val="26"/>
          <w:lang w:eastAsia="es-MX"/>
        </w:rPr>
        <w:t xml:space="preserve">En su </w:t>
      </w:r>
      <w:r w:rsidRPr="00902D9A">
        <w:rPr>
          <w:rFonts w:ascii="Arial" w:eastAsia="Calibri" w:hAnsi="Arial" w:cs="Arial"/>
          <w:b/>
          <w:bCs/>
          <w:sz w:val="26"/>
          <w:szCs w:val="26"/>
          <w:lang w:eastAsia="es-MX"/>
        </w:rPr>
        <w:t>segundo agravio</w:t>
      </w:r>
      <w:r w:rsidRPr="00902D9A">
        <w:rPr>
          <w:rFonts w:ascii="Arial" w:eastAsia="Calibri" w:hAnsi="Arial" w:cs="Arial"/>
          <w:bCs/>
          <w:sz w:val="26"/>
          <w:szCs w:val="26"/>
          <w:lang w:eastAsia="es-MX"/>
        </w:rPr>
        <w:t xml:space="preserve">, señala la inconforme que la sala dice que la legalidad de todo acto administrativo existe mientras no se demuestre lo contrario y que le correspondía demostrar la ilegalidad de la negativa de darle el permiso solicitado y que sus argumentos no demostraron esa ilegalidad.  </w:t>
      </w:r>
    </w:p>
    <w:p w14:paraId="02114DA8" w14:textId="364B0846" w:rsidR="00902D9A" w:rsidRPr="00902D9A" w:rsidRDefault="007324F0" w:rsidP="00902D9A">
      <w:pPr>
        <w:widowControl w:val="0"/>
        <w:tabs>
          <w:tab w:val="left" w:pos="0"/>
        </w:tabs>
        <w:spacing w:before="240" w:after="0" w:line="360" w:lineRule="auto"/>
        <w:ind w:right="18"/>
        <w:jc w:val="both"/>
        <w:rPr>
          <w:rFonts w:ascii="Arial" w:eastAsia="Calibri" w:hAnsi="Arial" w:cs="Arial"/>
          <w:bCs/>
          <w:sz w:val="26"/>
          <w:szCs w:val="26"/>
          <w:lang w:eastAsia="es-MX"/>
        </w:rPr>
      </w:pPr>
      <w:r>
        <w:rPr>
          <w:rFonts w:ascii="Times New Roman" w:eastAsia="Times New Roman" w:hAnsi="Times New Roman" w:cs="Times New Roman"/>
          <w:noProof/>
          <w:color w:val="000000"/>
          <w:sz w:val="24"/>
          <w:szCs w:val="24"/>
        </w:rPr>
        <w:lastRenderedPageBreak/>
        <w:drawing>
          <wp:anchor distT="0" distB="0" distL="114300" distR="114300" simplePos="0" relativeHeight="251683840" behindDoc="1" locked="0" layoutInCell="1" allowOverlap="1" wp14:anchorId="41BC652A" wp14:editId="3A011C4B">
            <wp:simplePos x="0" y="0"/>
            <wp:positionH relativeFrom="leftMargin">
              <wp:posOffset>6379210</wp:posOffset>
            </wp:positionH>
            <wp:positionV relativeFrom="paragraph">
              <wp:posOffset>131445</wp:posOffset>
            </wp:positionV>
            <wp:extent cx="1024255" cy="1261745"/>
            <wp:effectExtent l="0" t="0" r="4445" b="0"/>
            <wp:wrapNone/>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902D9A" w:rsidRPr="00902D9A">
        <w:rPr>
          <w:rFonts w:ascii="Arial" w:eastAsia="Calibri" w:hAnsi="Arial" w:cs="Arial"/>
          <w:bCs/>
          <w:sz w:val="26"/>
          <w:szCs w:val="26"/>
          <w:lang w:eastAsia="es-MX"/>
        </w:rPr>
        <w:tab/>
      </w:r>
      <w:r w:rsidR="00902D9A">
        <w:rPr>
          <w:rFonts w:ascii="Arial" w:eastAsia="Calibri" w:hAnsi="Arial" w:cs="Arial"/>
          <w:bCs/>
          <w:sz w:val="26"/>
          <w:szCs w:val="26"/>
          <w:lang w:eastAsia="es-MX"/>
        </w:rPr>
        <w:t xml:space="preserve">8. </w:t>
      </w:r>
      <w:r w:rsidR="00902D9A" w:rsidRPr="00902D9A">
        <w:rPr>
          <w:rFonts w:ascii="Arial" w:eastAsia="Calibri" w:hAnsi="Arial" w:cs="Arial"/>
          <w:bCs/>
          <w:sz w:val="26"/>
          <w:szCs w:val="26"/>
          <w:lang w:eastAsia="es-MX"/>
        </w:rPr>
        <w:t xml:space="preserve">Refiere que el razonamiento de la Sala es incorrecto, porque como la propia Sala antes citada lo admite, ella manifestó como argumento que la demandada no puede analizar su escritura privada como si fuera una escritura pública y pedir que se cumplan los requisitos del artículo 63 de la Ley del Notariado porque no es una escritura pública y la sala incurre en el mismo error que la demandada, es decir, analiza su escritura como si fuera pública y por ello determina que el acto impugnado de la demandada es correcto, criterio que es erróneo como ya lo manifestó en el primer agravio.  </w:t>
      </w:r>
    </w:p>
    <w:p w14:paraId="05003D14" w14:textId="7B02F01A" w:rsidR="007C426D" w:rsidRPr="007C426D" w:rsidRDefault="007C426D" w:rsidP="00461D48">
      <w:pPr>
        <w:widowControl w:val="0"/>
        <w:tabs>
          <w:tab w:val="left" w:pos="0"/>
        </w:tabs>
        <w:spacing w:before="240" w:after="0" w:line="360" w:lineRule="auto"/>
        <w:ind w:right="18"/>
        <w:jc w:val="both"/>
        <w:rPr>
          <w:rFonts w:ascii="Arial" w:eastAsia="Calibri" w:hAnsi="Arial" w:cs="Arial"/>
          <w:b/>
          <w:bCs/>
          <w:sz w:val="26"/>
          <w:szCs w:val="26"/>
        </w:rPr>
      </w:pPr>
      <w:r w:rsidRPr="007C426D">
        <w:rPr>
          <w:rFonts w:ascii="Arial" w:eastAsia="Calibri" w:hAnsi="Arial" w:cs="Arial"/>
          <w:b/>
          <w:bCs/>
          <w:sz w:val="26"/>
          <w:szCs w:val="26"/>
        </w:rPr>
        <w:t>TERCERO.- ESTUDIO DE LOS AGRAVIOS.</w:t>
      </w:r>
    </w:p>
    <w:p w14:paraId="0C0B6AD2" w14:textId="0C20C65A" w:rsidR="00C75F25" w:rsidRDefault="00902D9A" w:rsidP="00C75F25">
      <w:pPr>
        <w:spacing w:before="240" w:line="360" w:lineRule="auto"/>
        <w:ind w:firstLine="708"/>
        <w:jc w:val="both"/>
        <w:rPr>
          <w:rFonts w:ascii="Arial" w:eastAsia="Calibri" w:hAnsi="Arial" w:cs="Arial"/>
          <w:sz w:val="26"/>
          <w:szCs w:val="26"/>
          <w:lang w:eastAsia="es-MX"/>
        </w:rPr>
      </w:pPr>
      <w:r>
        <w:rPr>
          <w:rFonts w:ascii="Arial" w:eastAsia="Calibri" w:hAnsi="Arial" w:cs="Arial"/>
          <w:sz w:val="26"/>
          <w:szCs w:val="26"/>
          <w:lang w:eastAsia="es-MX"/>
        </w:rPr>
        <w:t>9.</w:t>
      </w:r>
      <w:r w:rsidR="00411671">
        <w:rPr>
          <w:rFonts w:ascii="Arial" w:eastAsia="Calibri" w:hAnsi="Arial" w:cs="Arial"/>
          <w:sz w:val="26"/>
          <w:szCs w:val="26"/>
          <w:lang w:eastAsia="es-MX"/>
        </w:rPr>
        <w:t xml:space="preserve"> </w:t>
      </w:r>
      <w:r w:rsidR="00C75F25" w:rsidRPr="00C75F25">
        <w:rPr>
          <w:rFonts w:ascii="Arial" w:eastAsia="Calibri" w:hAnsi="Arial" w:cs="Arial"/>
          <w:sz w:val="26"/>
          <w:szCs w:val="26"/>
          <w:lang w:eastAsia="es-MX"/>
        </w:rPr>
        <w:t xml:space="preserve">Esta Sala Superior advierte que son </w:t>
      </w:r>
      <w:r w:rsidR="008C357D" w:rsidRPr="008C357D">
        <w:rPr>
          <w:rFonts w:ascii="Arial" w:eastAsia="Calibri" w:hAnsi="Arial" w:cs="Arial"/>
          <w:b/>
          <w:sz w:val="26"/>
          <w:szCs w:val="26"/>
          <w:lang w:eastAsia="es-MX"/>
        </w:rPr>
        <w:t>sustancialmente</w:t>
      </w:r>
      <w:r w:rsidR="008C357D">
        <w:rPr>
          <w:rFonts w:ascii="Arial" w:eastAsia="Calibri" w:hAnsi="Arial" w:cs="Arial"/>
          <w:sz w:val="26"/>
          <w:szCs w:val="26"/>
          <w:lang w:eastAsia="es-MX"/>
        </w:rPr>
        <w:t xml:space="preserve"> </w:t>
      </w:r>
      <w:r w:rsidR="00C75F25" w:rsidRPr="00C75F25">
        <w:rPr>
          <w:rFonts w:ascii="Arial" w:eastAsia="Calibri" w:hAnsi="Arial" w:cs="Arial"/>
          <w:b/>
          <w:sz w:val="26"/>
          <w:szCs w:val="26"/>
          <w:lang w:eastAsia="es-MX"/>
        </w:rPr>
        <w:t>fundados</w:t>
      </w:r>
      <w:r w:rsidR="00C75F25" w:rsidRPr="00C75F25">
        <w:rPr>
          <w:rFonts w:ascii="Arial" w:eastAsia="Calibri" w:hAnsi="Arial" w:cs="Arial"/>
          <w:sz w:val="26"/>
          <w:szCs w:val="26"/>
          <w:lang w:eastAsia="es-MX"/>
        </w:rPr>
        <w:t xml:space="preserve"> los agravios de los recurrentes.</w:t>
      </w:r>
    </w:p>
    <w:p w14:paraId="4C7B3FD3" w14:textId="2A898F50" w:rsidR="00902D9A" w:rsidRPr="00902D9A" w:rsidRDefault="00902D9A" w:rsidP="00902D9A">
      <w:pPr>
        <w:widowControl w:val="0"/>
        <w:tabs>
          <w:tab w:val="left" w:pos="0"/>
        </w:tabs>
        <w:spacing w:before="240" w:after="0" w:line="360" w:lineRule="auto"/>
        <w:ind w:right="18"/>
        <w:jc w:val="both"/>
        <w:rPr>
          <w:rFonts w:ascii="Arial" w:eastAsiaTheme="minorEastAsia" w:hAnsi="Arial" w:cs="Arial"/>
          <w:color w:val="000000"/>
          <w:sz w:val="26"/>
          <w:szCs w:val="26"/>
          <w:lang w:eastAsia="es-MX"/>
        </w:rPr>
      </w:pPr>
      <w:r>
        <w:rPr>
          <w:rFonts w:ascii="Arial" w:eastAsia="Calibri" w:hAnsi="Arial" w:cs="Arial"/>
          <w:bCs/>
          <w:sz w:val="26"/>
          <w:szCs w:val="26"/>
          <w:lang w:eastAsia="es-MX"/>
        </w:rPr>
        <w:tab/>
        <w:t xml:space="preserve">10. </w:t>
      </w:r>
      <w:r w:rsidRPr="00902D9A">
        <w:rPr>
          <w:rFonts w:ascii="Arial" w:eastAsia="Calibri" w:hAnsi="Arial" w:cs="Arial"/>
          <w:bCs/>
          <w:sz w:val="26"/>
          <w:szCs w:val="26"/>
          <w:lang w:eastAsia="es-MX"/>
        </w:rPr>
        <w:t>P</w:t>
      </w:r>
      <w:r w:rsidRPr="00902D9A">
        <w:rPr>
          <w:rFonts w:ascii="Arial" w:eastAsiaTheme="minorEastAsia" w:hAnsi="Arial" w:cs="Arial"/>
          <w:bCs/>
          <w:iCs/>
          <w:sz w:val="26"/>
          <w:szCs w:val="26"/>
          <w:lang w:eastAsia="es-MX"/>
        </w:rPr>
        <w:t xml:space="preserve">ara empezar, de las constancias procesales que integran el </w:t>
      </w:r>
      <w:r w:rsidRPr="00902D9A">
        <w:rPr>
          <w:rFonts w:ascii="Arial" w:eastAsiaTheme="minorEastAsia" w:hAnsi="Arial" w:cs="Arial"/>
          <w:color w:val="000000"/>
          <w:sz w:val="26"/>
          <w:szCs w:val="26"/>
          <w:lang w:eastAsia="es-MX"/>
        </w:rPr>
        <w:t>expediente de Primera Instancia, remitido a esta Sala Superior para la tramitación del presente recurso de revisión, al cual se le confiere valor probatorio pleno en términos del artículo 203 fracción I</w:t>
      </w:r>
      <w:r w:rsidRPr="00902D9A">
        <w:rPr>
          <w:rFonts w:ascii="Arial" w:eastAsiaTheme="minorEastAsia" w:hAnsi="Arial" w:cs="Arial"/>
          <w:color w:val="000000"/>
          <w:sz w:val="26"/>
          <w:szCs w:val="26"/>
          <w:vertAlign w:val="superscript"/>
          <w:lang w:eastAsia="es-MX"/>
        </w:rPr>
        <w:footnoteReference w:id="2"/>
      </w:r>
      <w:r w:rsidRPr="00902D9A">
        <w:rPr>
          <w:rFonts w:ascii="Arial" w:eastAsiaTheme="minorEastAsia" w:hAnsi="Arial" w:cs="Arial"/>
          <w:color w:val="000000"/>
          <w:sz w:val="26"/>
          <w:szCs w:val="26"/>
          <w:lang w:eastAsia="es-MX"/>
        </w:rPr>
        <w:t xml:space="preserve"> de la Ley de Procedimiento y Justicia Administrativa para el Estado de Oaxaca, al tratarse de actuaciones judiciales, se observa que en el acuerdo de veintisiete de mayo de dos mil veintidós</w:t>
      </w:r>
      <w:r w:rsidRPr="00902D9A">
        <w:rPr>
          <w:rFonts w:ascii="Arial" w:eastAsiaTheme="minorEastAsia" w:hAnsi="Arial" w:cs="Arial"/>
          <w:color w:val="000000"/>
          <w:sz w:val="26"/>
          <w:szCs w:val="26"/>
          <w:vertAlign w:val="superscript"/>
          <w:lang w:eastAsia="es-MX"/>
        </w:rPr>
        <w:footnoteReference w:id="3"/>
      </w:r>
      <w:r w:rsidRPr="00902D9A">
        <w:rPr>
          <w:rFonts w:ascii="Arial" w:eastAsiaTheme="minorEastAsia" w:hAnsi="Arial" w:cs="Arial"/>
          <w:color w:val="000000"/>
          <w:sz w:val="26"/>
          <w:szCs w:val="26"/>
          <w:lang w:eastAsia="es-MX"/>
        </w:rPr>
        <w:t xml:space="preserve">, se admitió a trámite la demanda de </w:t>
      </w:r>
      <w:r w:rsidR="00FE39B3">
        <w:rPr>
          <w:rFonts w:ascii="Arial" w:eastAsiaTheme="minorEastAsia" w:hAnsi="Arial" w:cs="Arial"/>
          <w:b/>
          <w:color w:val="000000"/>
          <w:sz w:val="26"/>
          <w:szCs w:val="26"/>
          <w:lang w:eastAsia="es-MX"/>
        </w:rPr>
        <w:t>***********</w:t>
      </w:r>
      <w:r w:rsidRPr="00902D9A">
        <w:rPr>
          <w:rFonts w:ascii="Arial" w:eastAsiaTheme="minorEastAsia" w:hAnsi="Arial" w:cs="Arial"/>
          <w:color w:val="000000"/>
          <w:sz w:val="26"/>
          <w:szCs w:val="26"/>
          <w:lang w:eastAsia="es-MX"/>
        </w:rPr>
        <w:t>, promovida en contra del oficio de dos de mayo de dos mil veintidós</w:t>
      </w:r>
      <w:r w:rsidRPr="00902D9A">
        <w:rPr>
          <w:rFonts w:ascii="Arial" w:eastAsiaTheme="minorEastAsia" w:hAnsi="Arial" w:cs="Arial"/>
          <w:color w:val="000000"/>
          <w:sz w:val="26"/>
          <w:szCs w:val="26"/>
          <w:vertAlign w:val="superscript"/>
          <w:lang w:eastAsia="es-MX"/>
        </w:rPr>
        <w:footnoteReference w:id="4"/>
      </w:r>
      <w:r w:rsidRPr="00902D9A">
        <w:rPr>
          <w:rFonts w:ascii="Arial" w:eastAsiaTheme="minorEastAsia" w:hAnsi="Arial" w:cs="Arial"/>
          <w:color w:val="000000"/>
          <w:sz w:val="26"/>
          <w:szCs w:val="26"/>
          <w:lang w:eastAsia="es-MX"/>
        </w:rPr>
        <w:t>, emitido por el Presidente Municipal de Santa María el Tule, Oaxaca, en el que le dijo a la actora que es improcedente su petición para autorizar la subdivisión de un predio de su propiedad.</w:t>
      </w:r>
    </w:p>
    <w:p w14:paraId="2F4C6156" w14:textId="65E64C48" w:rsidR="00902D9A" w:rsidRPr="00902D9A" w:rsidRDefault="00902D9A" w:rsidP="00902D9A">
      <w:pPr>
        <w:widowControl w:val="0"/>
        <w:tabs>
          <w:tab w:val="left" w:pos="0"/>
        </w:tabs>
        <w:spacing w:before="240" w:after="0" w:line="360" w:lineRule="auto"/>
        <w:ind w:right="18"/>
        <w:jc w:val="both"/>
        <w:rPr>
          <w:rFonts w:ascii="Arial" w:eastAsiaTheme="minorEastAsia" w:hAnsi="Arial" w:cs="Arial"/>
          <w:color w:val="000000"/>
          <w:sz w:val="26"/>
          <w:szCs w:val="26"/>
          <w:lang w:eastAsia="es-MX"/>
        </w:rPr>
      </w:pPr>
      <w:r w:rsidRPr="00902D9A">
        <w:rPr>
          <w:rFonts w:ascii="Arial" w:eastAsiaTheme="minorEastAsia" w:hAnsi="Arial" w:cs="Arial"/>
          <w:color w:val="000000"/>
          <w:sz w:val="26"/>
          <w:szCs w:val="26"/>
          <w:lang w:eastAsia="es-MX"/>
        </w:rPr>
        <w:tab/>
      </w:r>
      <w:r>
        <w:rPr>
          <w:rFonts w:ascii="Arial" w:eastAsiaTheme="minorEastAsia" w:hAnsi="Arial" w:cs="Arial"/>
          <w:color w:val="000000"/>
          <w:sz w:val="26"/>
          <w:szCs w:val="26"/>
          <w:lang w:eastAsia="es-MX"/>
        </w:rPr>
        <w:t xml:space="preserve">11. </w:t>
      </w:r>
      <w:r w:rsidRPr="00902D9A">
        <w:rPr>
          <w:rFonts w:ascii="Arial" w:eastAsiaTheme="minorEastAsia" w:hAnsi="Arial" w:cs="Arial"/>
          <w:color w:val="000000"/>
          <w:sz w:val="26"/>
          <w:szCs w:val="26"/>
          <w:lang w:eastAsia="es-MX"/>
        </w:rPr>
        <w:t>En la sentencia de trece de marzo de dos mil veintitrés</w:t>
      </w:r>
      <w:r w:rsidRPr="00902D9A">
        <w:rPr>
          <w:rFonts w:ascii="Arial" w:eastAsiaTheme="minorEastAsia" w:hAnsi="Arial" w:cs="Arial"/>
          <w:color w:val="000000"/>
          <w:sz w:val="26"/>
          <w:szCs w:val="26"/>
          <w:vertAlign w:val="superscript"/>
          <w:lang w:eastAsia="es-MX"/>
        </w:rPr>
        <w:footnoteReference w:id="5"/>
      </w:r>
      <w:r w:rsidRPr="00902D9A">
        <w:rPr>
          <w:rFonts w:ascii="Arial" w:eastAsiaTheme="minorEastAsia" w:hAnsi="Arial" w:cs="Arial"/>
          <w:color w:val="000000"/>
          <w:sz w:val="26"/>
          <w:szCs w:val="26"/>
          <w:lang w:eastAsia="es-MX"/>
        </w:rPr>
        <w:t xml:space="preserve">, la Primera Sala Unitaria de Primera Instancia se determinó lo siguiente: </w:t>
      </w:r>
    </w:p>
    <w:p w14:paraId="203EF85C"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b/>
          <w:i/>
          <w:lang w:val="es-ES_tradnl" w:eastAsia="es-ES"/>
        </w:rPr>
        <w:t>“SÉPTIMO. - Estudio del Fondo del Asunto.</w:t>
      </w:r>
      <w:r w:rsidRPr="00902D9A">
        <w:rPr>
          <w:rFonts w:ascii="Arial" w:eastAsia="Times New Roman" w:hAnsi="Arial" w:cs="Arial"/>
          <w:i/>
          <w:lang w:val="es-ES_tradnl" w:eastAsia="es-ES"/>
        </w:rPr>
        <w:t xml:space="preserve"> Resulta oportuno pronunciarse respecto a la finalidad de la parte actora al pretender la nulidad del acto controvertido y que consiste en que se le permita realizar la subdivisión sobre el predio que manifiesta es de su propiedad. </w:t>
      </w:r>
    </w:p>
    <w:p w14:paraId="2ACAAC47" w14:textId="04E80CCC"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De la lectura del acto impugnado, se advierte que la principal razón por la que el trámite de la parte actora fue negado, se debe a que el documento con el que pretendía acreditar la propiedad del predio en cuestión, no cumplía con los requisitos de legalidad a que hace referencia el artículo 63 de la Ley del </w:t>
      </w:r>
      <w:r w:rsidR="00FE39B3">
        <w:rPr>
          <w:rFonts w:ascii="Times New Roman" w:eastAsia="Times New Roman" w:hAnsi="Times New Roman" w:cs="Times New Roman"/>
          <w:noProof/>
          <w:color w:val="000000"/>
          <w:sz w:val="24"/>
          <w:szCs w:val="24"/>
        </w:rPr>
        <w:lastRenderedPageBreak/>
        <w:drawing>
          <wp:anchor distT="0" distB="0" distL="114300" distR="114300" simplePos="0" relativeHeight="251659264" behindDoc="1" locked="0" layoutInCell="1" allowOverlap="1" wp14:anchorId="2956A0EA" wp14:editId="7CCEA1D1">
            <wp:simplePos x="0" y="0"/>
            <wp:positionH relativeFrom="leftMargin">
              <wp:posOffset>458470</wp:posOffset>
            </wp:positionH>
            <wp:positionV relativeFrom="paragraph">
              <wp:posOffset>113030</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902D9A">
        <w:rPr>
          <w:rFonts w:ascii="Arial" w:eastAsia="Times New Roman" w:hAnsi="Arial" w:cs="Arial"/>
          <w:i/>
          <w:lang w:val="es-ES_tradnl" w:eastAsia="es-ES"/>
        </w:rPr>
        <w:t xml:space="preserve">notariado y por lo tanto no serviría para acreditar la propiedad del predio que pretende subdividir.  </w:t>
      </w:r>
    </w:p>
    <w:p w14:paraId="3C3FE4E1" w14:textId="74E80A82"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A juicio de esta Sala se considera que el pronunciamiento de la autoridad demandada es correcto por las siguientes consideraciones de mérito.</w:t>
      </w:r>
      <w:r w:rsidR="00FE39B3" w:rsidRPr="00FE39B3">
        <w:rPr>
          <w:rFonts w:ascii="Times New Roman" w:eastAsia="Times New Roman" w:hAnsi="Times New Roman" w:cs="Times New Roman"/>
          <w:noProof/>
          <w:color w:val="000000"/>
          <w:sz w:val="24"/>
          <w:szCs w:val="24"/>
        </w:rPr>
        <w:t xml:space="preserve"> </w:t>
      </w:r>
    </w:p>
    <w:p w14:paraId="7A3C5158"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Primeramente, es oportuno mencionar que el acto administrativo según el principio de legalidad, conlleva una presunción de que es válido, en tanto su ilegalidad no sea demostrada por parte de los justiciables afectados en su esfera jurídica tal y como se aprecia en la Tesis IV.2º.A.51 K (10ª), publicada en la Gaceta del Semanario Judicial de la Federación Libro 3, Febrero de 2014, Tomo III, página 2239, Decima Época de rubro siguiente: PRINCIPIO DE LEGALIDAD. CARACTERÍSTICAS DE SU DOBLE FUNCIONALIDAD TRATÁNDOSE DEL ACTO ADMINISTRATIVO Y SU RELACIÓN CON EL DIVERSO DE INTERDICCIÓN DE LA ARBITRARIEDAD Y EL CONTROL JURISDICCIONAL. (…)</w:t>
      </w:r>
    </w:p>
    <w:p w14:paraId="7709935A"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Lo que se traduce como que, el principio de legalidad establece que, en tanto un acto administrativo sea emitido por una autoridad en amplio cumplimiento de sus atribuciones, corresponde a los administrados demostrar su ilegalidad a través de los medios de defensa establecidos en la legislación aplicable. </w:t>
      </w:r>
    </w:p>
    <w:p w14:paraId="4566E399"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El anterior principio traducido al asunto que nos ocupa implica que la legalidad del acto administrativo de fecha dos de mayo de dos mil veintidós expedido por el Presidente Municipal de Santa María del Tule, debe ser desvirtuada por el actor, a través de argumentos lógicos jurídicos apegados a los principios legales ya establecidos.  </w:t>
      </w:r>
    </w:p>
    <w:p w14:paraId="173640D2"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De tal suerte que la actora basa su argumentación en los siguientes conceptos: </w:t>
      </w:r>
    </w:p>
    <w:p w14:paraId="176182C5" w14:textId="77777777" w:rsidR="00902D9A" w:rsidRPr="00902D9A" w:rsidRDefault="00902D9A" w:rsidP="00902D9A">
      <w:pPr>
        <w:numPr>
          <w:ilvl w:val="0"/>
          <w:numId w:val="24"/>
        </w:numPr>
        <w:spacing w:before="240" w:line="360" w:lineRule="auto"/>
        <w:ind w:right="616"/>
        <w:contextualSpacing/>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Que la autoridad demandada no justificó porque decía que no estaba acreditando la propiedad. </w:t>
      </w:r>
    </w:p>
    <w:p w14:paraId="12E2882D" w14:textId="77777777" w:rsidR="00902D9A" w:rsidRPr="00902D9A" w:rsidRDefault="00902D9A" w:rsidP="00902D9A">
      <w:pPr>
        <w:numPr>
          <w:ilvl w:val="0"/>
          <w:numId w:val="24"/>
        </w:numPr>
        <w:spacing w:before="240" w:line="360" w:lineRule="auto"/>
        <w:ind w:right="616"/>
        <w:contextualSpacing/>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Que su documento no es una escritura pública sino privada por lo que no está obligada a cumplir los requisitos de la Ley del Notariado.  </w:t>
      </w:r>
    </w:p>
    <w:p w14:paraId="178EDA33" w14:textId="77777777" w:rsidR="00902D9A" w:rsidRPr="00902D9A" w:rsidRDefault="00902D9A" w:rsidP="00902D9A">
      <w:pPr>
        <w:numPr>
          <w:ilvl w:val="0"/>
          <w:numId w:val="24"/>
        </w:numPr>
        <w:spacing w:before="240" w:line="360" w:lineRule="auto"/>
        <w:ind w:right="616"/>
        <w:contextualSpacing/>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Que el inmueble no se encuentra en litigio por lo que no era procedente que se le negara el trámite.  </w:t>
      </w:r>
    </w:p>
    <w:p w14:paraId="5E55A4AD"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Los anteriores argumentos no resultan procedentes pues de una lectura al artículo 2190 del Código Civil para el Estado de Oaxaca se establece que los requisitos para la legalidad de una compraventa es que se realice mediante escritura pública.  </w:t>
      </w:r>
    </w:p>
    <w:p w14:paraId="169B6BFF"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Artículo 2191.- La venta de inmuebles se hará en escritura pública con excepción hecha de aquellas que celebren los organismos públicos federales o estatales, tendientes a regularizar la tenencia de la tierra, y de las previstas en el artículo 2192 de este Código, las que requieran para su validez, solamente las firmas de las partes y de los testigos, sin necesidad de que dichas operaciones se eleven a escritura pública. </w:t>
      </w:r>
    </w:p>
    <w:p w14:paraId="638AE5BC" w14:textId="0F2D84FB" w:rsidR="00902D9A" w:rsidRPr="00902D9A" w:rsidRDefault="00FE39B3" w:rsidP="00902D9A">
      <w:pPr>
        <w:spacing w:before="240" w:line="360" w:lineRule="auto"/>
        <w:ind w:left="567" w:right="616"/>
        <w:jc w:val="both"/>
        <w:rPr>
          <w:rFonts w:ascii="Arial" w:eastAsia="Times New Roman" w:hAnsi="Arial" w:cs="Arial"/>
          <w:i/>
          <w:lang w:val="es-ES_tradnl" w:eastAsia="es-ES"/>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1312" behindDoc="1" locked="0" layoutInCell="1" allowOverlap="1" wp14:anchorId="3B3D6AD3" wp14:editId="67522745">
            <wp:simplePos x="0" y="0"/>
            <wp:positionH relativeFrom="leftMargin">
              <wp:posOffset>6188710</wp:posOffset>
            </wp:positionH>
            <wp:positionV relativeFrom="paragraph">
              <wp:posOffset>33655</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902D9A" w:rsidRPr="00902D9A">
        <w:rPr>
          <w:rFonts w:ascii="Arial" w:eastAsia="Times New Roman" w:hAnsi="Arial" w:cs="Arial"/>
          <w:i/>
          <w:lang w:val="es-ES_tradnl" w:eastAsia="es-ES"/>
        </w:rPr>
        <w:t>Es así que contrario a lo manifestado por la actora sí se necesita que su documento contenga los elementos de validez a que hace referencia el artículo 63 de la Ley del Notariado para el Estado de Oaxaca que a la letra dispone. (…)</w:t>
      </w:r>
    </w:p>
    <w:p w14:paraId="629C3DCD"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Requisitos que no se observan en el instrumento número 47, 345 (Cuarenta y siete mil trecientos cuarenta y cinco) Volumen 863 (Ochocientos sesenta y tres) de fecha veintisiete de abril de dos mil veintiuno.  </w:t>
      </w:r>
    </w:p>
    <w:p w14:paraId="1EFBDFE1"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De donde se sigue que el citado instrumento no es un documento suficiente para acreditar el traspaso de dominio respecto al inmueble ubicado en la calle Libertad de Santa María el Tule, pues se reitera, la técnica jurídica establece como requisito que para que una compraventa surta efectos ante terceros, es necesario que la misma se celebre mediante ESCRITURA PÚBLICA documentos que la propia actora manifiesta que no se trata del que anexo a la solicitud. </w:t>
      </w:r>
    </w:p>
    <w:p w14:paraId="3FC87EA0"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Aunado a lo anterior, de una revisión al caudal probatorio ofrecido por el tercero interesado, misma que tiene plena intervención en el presente juicio por tratarse de una persona con interés jurídico en el inmueble materia de la solicitud de división, se advierte que mediante resolución de adjudicación dictada en el expediente 486/1995 el día once de julio de dos mil dieciocho. </w:t>
      </w:r>
    </w:p>
    <w:p w14:paraId="09AE8955" w14:textId="77777777"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i/>
          <w:lang w:val="es-ES_tradnl" w:eastAsia="es-ES"/>
        </w:rPr>
        <w:t xml:space="preserve">Lo anterior resulta de especial relevancia, pues aun cuando la manifestación de la actora de que la compraventa fue anterior a la adjudicación de la masa hereditaria –circunstancia que no puede acreditarse jurídicamente pues la fecha de su instrumento es anterior a la de la sentencia dictada en el expediente 486/1995-, lo cierto es que por sí mismo tal argumento es irrelevante, pues al no haber sido perfeccionada la compraventa mediante escritura pública, ni inscrita en el Registro Público de la Propiedad, no puede surtir efectos ante terceros y por consiguiente la determinación de la autoridad demandada es la correcta. (…) </w:t>
      </w:r>
    </w:p>
    <w:p w14:paraId="07D7471E" w14:textId="4F095DBE" w:rsidR="00902D9A" w:rsidRP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r w:rsidRPr="00902D9A">
        <w:rPr>
          <w:rFonts w:ascii="Arial" w:eastAsia="Calibri" w:hAnsi="Arial" w:cs="Arial"/>
          <w:bCs/>
          <w:sz w:val="26"/>
          <w:szCs w:val="26"/>
          <w:lang w:eastAsia="es-MX"/>
        </w:rPr>
        <w:tab/>
      </w:r>
      <w:r>
        <w:rPr>
          <w:rFonts w:ascii="Arial" w:eastAsia="Calibri" w:hAnsi="Arial" w:cs="Arial"/>
          <w:bCs/>
          <w:sz w:val="26"/>
          <w:szCs w:val="26"/>
          <w:lang w:eastAsia="es-MX"/>
        </w:rPr>
        <w:t xml:space="preserve">12. </w:t>
      </w:r>
      <w:r w:rsidRPr="00902D9A">
        <w:rPr>
          <w:rFonts w:ascii="Arial" w:eastAsia="Calibri" w:hAnsi="Arial" w:cs="Arial"/>
          <w:bCs/>
          <w:sz w:val="26"/>
          <w:szCs w:val="26"/>
          <w:lang w:eastAsia="es-MX"/>
        </w:rPr>
        <w:t xml:space="preserve">De la transcripción anterior, esta instancia revisora advierte que la Primera Sala Unitaria de Primera Instancia determinó que la principal razón por lo que el trámite de la parte actora fue negado, se debe a que consideró que el documento con el que pretendía acreditar la propiedad del predio en cuestión, no cumple con los requisitos de legalidad previsto en el artículo 63 de la Ley del Notariado, asimismo, determinó que el instrumento notarial exhibido por la actora, no es un documento suficiente para acreditar el traspaso de dominio, pues la técnica jurídica establece que para que una compraventa surta efectos ante terceros, es necesario que la misma se celebre mediante escritura pública. </w:t>
      </w:r>
    </w:p>
    <w:p w14:paraId="68CFF714" w14:textId="4A56C377" w:rsid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r w:rsidRPr="00902D9A">
        <w:rPr>
          <w:rFonts w:ascii="Arial" w:eastAsia="Calibri" w:hAnsi="Arial" w:cs="Arial"/>
          <w:bCs/>
          <w:sz w:val="26"/>
          <w:szCs w:val="26"/>
          <w:lang w:eastAsia="es-MX"/>
        </w:rPr>
        <w:tab/>
      </w:r>
      <w:r w:rsidR="00E34714">
        <w:rPr>
          <w:rFonts w:ascii="Arial" w:eastAsia="Calibri" w:hAnsi="Arial" w:cs="Arial"/>
          <w:bCs/>
          <w:sz w:val="26"/>
          <w:szCs w:val="26"/>
          <w:lang w:eastAsia="es-MX"/>
        </w:rPr>
        <w:t xml:space="preserve">13. </w:t>
      </w:r>
      <w:r w:rsidRPr="00902D9A">
        <w:rPr>
          <w:rFonts w:ascii="Arial" w:eastAsia="Calibri" w:hAnsi="Arial" w:cs="Arial"/>
          <w:bCs/>
          <w:sz w:val="26"/>
          <w:szCs w:val="26"/>
          <w:lang w:eastAsia="es-MX"/>
        </w:rPr>
        <w:t xml:space="preserve">Pero también se advierte que la Primera Sala Unitaria de Primera Instancia omitió pronunciarse sobre el concepto de impugnación en el que la </w:t>
      </w:r>
      <w:r w:rsidR="00E2328E">
        <w:rPr>
          <w:rFonts w:ascii="Times New Roman" w:eastAsia="Times New Roman" w:hAnsi="Times New Roman" w:cs="Times New Roman"/>
          <w:noProof/>
          <w:color w:val="000000"/>
          <w:sz w:val="24"/>
          <w:szCs w:val="24"/>
        </w:rPr>
        <w:lastRenderedPageBreak/>
        <w:drawing>
          <wp:anchor distT="0" distB="0" distL="114300" distR="114300" simplePos="0" relativeHeight="251663360" behindDoc="1" locked="0" layoutInCell="1" allowOverlap="1" wp14:anchorId="5588A305" wp14:editId="017351E7">
            <wp:simplePos x="0" y="0"/>
            <wp:positionH relativeFrom="leftMargin">
              <wp:posOffset>245110</wp:posOffset>
            </wp:positionH>
            <wp:positionV relativeFrom="paragraph">
              <wp:posOffset>-259080</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902D9A">
        <w:rPr>
          <w:rFonts w:ascii="Arial" w:eastAsia="Calibri" w:hAnsi="Arial" w:cs="Arial"/>
          <w:bCs/>
          <w:sz w:val="26"/>
          <w:szCs w:val="26"/>
          <w:lang w:eastAsia="es-MX"/>
        </w:rPr>
        <w:t>actora alegó que el oficio impugnado</w:t>
      </w:r>
      <w:r w:rsidRPr="00902D9A">
        <w:rPr>
          <w:rFonts w:ascii="Arial" w:eastAsia="Calibri" w:hAnsi="Arial" w:cs="Arial"/>
          <w:bCs/>
          <w:sz w:val="26"/>
          <w:szCs w:val="26"/>
          <w:vertAlign w:val="superscript"/>
          <w:lang w:eastAsia="es-MX"/>
        </w:rPr>
        <w:footnoteReference w:id="6"/>
      </w:r>
      <w:r w:rsidRPr="00902D9A">
        <w:rPr>
          <w:rFonts w:ascii="Arial" w:eastAsia="Calibri" w:hAnsi="Arial" w:cs="Arial"/>
          <w:bCs/>
          <w:sz w:val="26"/>
          <w:szCs w:val="26"/>
          <w:lang w:eastAsia="es-MX"/>
        </w:rPr>
        <w:t xml:space="preserve"> no cumple con los requisitos de fundamentación y motivación previstos</w:t>
      </w:r>
      <w:r w:rsidR="009659BD">
        <w:rPr>
          <w:rFonts w:ascii="Arial" w:eastAsia="Calibri" w:hAnsi="Arial" w:cs="Arial"/>
          <w:bCs/>
          <w:sz w:val="26"/>
          <w:szCs w:val="26"/>
          <w:lang w:eastAsia="es-MX"/>
        </w:rPr>
        <w:t xml:space="preserve"> en la fracción I</w:t>
      </w:r>
      <w:r w:rsidRPr="00902D9A">
        <w:rPr>
          <w:rFonts w:ascii="Arial" w:eastAsia="Calibri" w:hAnsi="Arial" w:cs="Arial"/>
          <w:bCs/>
          <w:sz w:val="26"/>
          <w:szCs w:val="26"/>
          <w:lang w:eastAsia="es-MX"/>
        </w:rPr>
        <w:t xml:space="preserve"> del artículo 17 de la Ley de Procedimiento y Justicia Administrativa para el Estado de Oaxaca.</w:t>
      </w:r>
    </w:p>
    <w:p w14:paraId="34EE0DAE" w14:textId="7AB86F9F" w:rsidR="00E34714" w:rsidRDefault="00E34714" w:rsidP="00902D9A">
      <w:pPr>
        <w:spacing w:after="120" w:line="360" w:lineRule="auto"/>
        <w:ind w:firstLine="705"/>
        <w:jc w:val="both"/>
        <w:rPr>
          <w:rFonts w:ascii="Arial" w:eastAsiaTheme="minorEastAsia" w:hAnsi="Arial" w:cs="Arial"/>
          <w:color w:val="000000"/>
          <w:sz w:val="26"/>
          <w:szCs w:val="26"/>
          <w:bdr w:val="none" w:sz="0" w:space="0" w:color="auto" w:frame="1"/>
          <w:shd w:val="clear" w:color="auto" w:fill="FFFFFF"/>
          <w:lang w:eastAsia="es-MX"/>
        </w:rPr>
      </w:pPr>
      <w:r>
        <w:rPr>
          <w:rFonts w:ascii="Arial" w:eastAsiaTheme="minorEastAsia" w:hAnsi="Arial" w:cs="Arial"/>
          <w:color w:val="000000"/>
          <w:sz w:val="26"/>
          <w:szCs w:val="26"/>
          <w:bdr w:val="none" w:sz="0" w:space="0" w:color="auto" w:frame="1"/>
          <w:shd w:val="clear" w:color="auto" w:fill="FFFFFF"/>
          <w:lang w:eastAsia="es-MX"/>
        </w:rPr>
        <w:t xml:space="preserve">14. </w:t>
      </w:r>
      <w:r w:rsidR="00902D9A" w:rsidRPr="00902D9A">
        <w:rPr>
          <w:rFonts w:ascii="Arial" w:eastAsiaTheme="minorEastAsia" w:hAnsi="Arial" w:cs="Arial"/>
          <w:color w:val="000000"/>
          <w:sz w:val="26"/>
          <w:szCs w:val="26"/>
          <w:bdr w:val="none" w:sz="0" w:space="0" w:color="auto" w:frame="1"/>
          <w:shd w:val="clear" w:color="auto" w:fill="FFFFFF"/>
          <w:lang w:eastAsia="es-MX"/>
        </w:rPr>
        <w:t xml:space="preserve">Atendiendo a lo anterior, se afirma que el motivo por el cual se declaró la </w:t>
      </w:r>
      <w:r w:rsidR="00902D9A">
        <w:rPr>
          <w:rFonts w:ascii="Arial" w:eastAsiaTheme="minorEastAsia" w:hAnsi="Arial" w:cs="Arial"/>
          <w:color w:val="000000"/>
          <w:sz w:val="26"/>
          <w:szCs w:val="26"/>
          <w:bdr w:val="none" w:sz="0" w:space="0" w:color="auto" w:frame="1"/>
          <w:shd w:val="clear" w:color="auto" w:fill="FFFFFF"/>
          <w:lang w:eastAsia="es-MX"/>
        </w:rPr>
        <w:t>validez del oficio</w:t>
      </w:r>
      <w:r w:rsidR="00902D9A" w:rsidRPr="00902D9A">
        <w:rPr>
          <w:rFonts w:ascii="Arial" w:eastAsiaTheme="minorEastAsia" w:hAnsi="Arial" w:cs="Arial"/>
          <w:color w:val="000000"/>
          <w:sz w:val="26"/>
          <w:szCs w:val="26"/>
          <w:bdr w:val="none" w:sz="0" w:space="0" w:color="auto" w:frame="1"/>
          <w:shd w:val="clear" w:color="auto" w:fill="FFFFFF"/>
          <w:lang w:eastAsia="es-MX"/>
        </w:rPr>
        <w:t xml:space="preserve"> de dos de mayo de dos mil veintidós, por virtud del cual le niegan el trámite de subdivisión del predio ubicado en la calle</w:t>
      </w:r>
      <w:r w:rsidR="00E2328E">
        <w:rPr>
          <w:rFonts w:ascii="Arial" w:eastAsiaTheme="minorEastAsia" w:hAnsi="Arial" w:cs="Arial"/>
          <w:color w:val="000000"/>
          <w:sz w:val="26"/>
          <w:szCs w:val="26"/>
          <w:bdr w:val="none" w:sz="0" w:space="0" w:color="auto" w:frame="1"/>
          <w:shd w:val="clear" w:color="auto" w:fill="FFFFFF"/>
          <w:lang w:eastAsia="es-MX"/>
        </w:rPr>
        <w:t xml:space="preserve"> **********</w:t>
      </w:r>
      <w:r w:rsidR="00902D9A" w:rsidRPr="00902D9A">
        <w:rPr>
          <w:rFonts w:ascii="Arial" w:eastAsiaTheme="minorEastAsia" w:hAnsi="Arial" w:cs="Arial"/>
          <w:color w:val="000000"/>
          <w:sz w:val="26"/>
          <w:szCs w:val="26"/>
          <w:bdr w:val="none" w:sz="0" w:space="0" w:color="auto" w:frame="1"/>
          <w:shd w:val="clear" w:color="auto" w:fill="FFFFFF"/>
          <w:lang w:eastAsia="es-MX"/>
        </w:rPr>
        <w:t xml:space="preserve">, Oaxaca, queda sin sustento, y en consecuencia, se tiene que el Magistrado de Primera Instancia </w:t>
      </w:r>
      <w:r w:rsidR="00902D9A" w:rsidRPr="00902D9A">
        <w:rPr>
          <w:rFonts w:ascii="Arial" w:eastAsiaTheme="minorEastAsia" w:hAnsi="Arial" w:cs="Arial"/>
          <w:b/>
          <w:color w:val="000000"/>
          <w:sz w:val="26"/>
          <w:szCs w:val="26"/>
          <w:bdr w:val="none" w:sz="0" w:space="0" w:color="auto" w:frame="1"/>
          <w:shd w:val="clear" w:color="auto" w:fill="FFFFFF"/>
          <w:lang w:eastAsia="es-MX"/>
        </w:rPr>
        <w:t>no ha emitido efectivamente un fallo en cuanto al fondo de la cuestión planteada a su consideración</w:t>
      </w:r>
      <w:r w:rsidR="00902D9A" w:rsidRPr="00902D9A">
        <w:rPr>
          <w:rFonts w:ascii="Arial" w:eastAsiaTheme="minorEastAsia" w:hAnsi="Arial" w:cs="Arial"/>
          <w:color w:val="000000"/>
          <w:sz w:val="26"/>
          <w:szCs w:val="26"/>
          <w:bdr w:val="none" w:sz="0" w:space="0" w:color="auto" w:frame="1"/>
          <w:shd w:val="clear" w:color="auto" w:fill="FFFFFF"/>
          <w:lang w:eastAsia="es-MX"/>
        </w:rPr>
        <w:t xml:space="preserve">, por lo que es procedente </w:t>
      </w:r>
      <w:r w:rsidR="00902D9A" w:rsidRPr="00902D9A">
        <w:rPr>
          <w:rFonts w:ascii="Arial" w:eastAsiaTheme="minorEastAsia" w:hAnsi="Arial" w:cs="Arial"/>
          <w:b/>
          <w:color w:val="000000"/>
          <w:sz w:val="26"/>
          <w:szCs w:val="26"/>
          <w:bdr w:val="none" w:sz="0" w:space="0" w:color="auto" w:frame="1"/>
          <w:shd w:val="clear" w:color="auto" w:fill="FFFFFF"/>
          <w:lang w:eastAsia="es-MX"/>
        </w:rPr>
        <w:t xml:space="preserve">REVOCAR </w:t>
      </w:r>
      <w:r w:rsidR="00902D9A" w:rsidRPr="00902D9A">
        <w:rPr>
          <w:rFonts w:ascii="Arial" w:eastAsiaTheme="minorEastAsia" w:hAnsi="Arial" w:cs="Arial"/>
          <w:color w:val="000000"/>
          <w:sz w:val="26"/>
          <w:szCs w:val="26"/>
          <w:bdr w:val="none" w:sz="0" w:space="0" w:color="auto" w:frame="1"/>
          <w:shd w:val="clear" w:color="auto" w:fill="FFFFFF"/>
          <w:lang w:eastAsia="es-MX"/>
        </w:rPr>
        <w:t>la sentencia de trece</w:t>
      </w:r>
      <w:r>
        <w:rPr>
          <w:rFonts w:ascii="Arial" w:eastAsiaTheme="minorEastAsia" w:hAnsi="Arial" w:cs="Arial"/>
          <w:color w:val="000000"/>
          <w:sz w:val="26"/>
          <w:szCs w:val="26"/>
          <w:bdr w:val="none" w:sz="0" w:space="0" w:color="auto" w:frame="1"/>
          <w:shd w:val="clear" w:color="auto" w:fill="FFFFFF"/>
          <w:lang w:eastAsia="es-MX"/>
        </w:rPr>
        <w:t xml:space="preserve"> de marzo de dos mil veintitrés.</w:t>
      </w:r>
    </w:p>
    <w:p w14:paraId="0D46A86A" w14:textId="5C77C2F2" w:rsidR="00902D9A" w:rsidRPr="00902D9A" w:rsidRDefault="00E34714" w:rsidP="00902D9A">
      <w:pPr>
        <w:spacing w:after="120" w:line="360" w:lineRule="auto"/>
        <w:ind w:firstLine="705"/>
        <w:jc w:val="both"/>
        <w:rPr>
          <w:rFonts w:ascii="Arial" w:eastAsia="Times New Roman" w:hAnsi="Arial" w:cs="Arial"/>
          <w:bCs/>
          <w:sz w:val="26"/>
          <w:szCs w:val="26"/>
          <w:lang w:eastAsia="es-ES"/>
        </w:rPr>
      </w:pPr>
      <w:r>
        <w:rPr>
          <w:rFonts w:ascii="Arial" w:eastAsiaTheme="minorEastAsia" w:hAnsi="Arial" w:cs="Arial"/>
          <w:color w:val="000000"/>
          <w:sz w:val="26"/>
          <w:szCs w:val="26"/>
          <w:bdr w:val="none" w:sz="0" w:space="0" w:color="auto" w:frame="1"/>
          <w:shd w:val="clear" w:color="auto" w:fill="FFFFFF"/>
          <w:lang w:eastAsia="es-MX"/>
        </w:rPr>
        <w:t>15. En virtud de lo anterior</w:t>
      </w:r>
      <w:r w:rsidR="00902D9A" w:rsidRPr="00902D9A">
        <w:rPr>
          <w:rFonts w:ascii="Arial" w:eastAsiaTheme="minorEastAsia" w:hAnsi="Arial" w:cs="Arial"/>
          <w:color w:val="000000"/>
          <w:sz w:val="26"/>
          <w:szCs w:val="26"/>
          <w:bdr w:val="none" w:sz="0" w:space="0" w:color="auto" w:frame="1"/>
          <w:shd w:val="clear" w:color="auto" w:fill="FFFFFF"/>
          <w:lang w:eastAsia="es-MX"/>
        </w:rPr>
        <w:t xml:space="preserve">, </w:t>
      </w:r>
      <w:r w:rsidR="00902D9A" w:rsidRPr="00902D9A">
        <w:rPr>
          <w:rFonts w:ascii="Arial" w:eastAsia="Times New Roman" w:hAnsi="Arial" w:cs="Arial"/>
          <w:b/>
          <w:sz w:val="26"/>
          <w:szCs w:val="26"/>
          <w:lang w:eastAsia="es-ES"/>
        </w:rPr>
        <w:t>esta Sala Superior</w:t>
      </w:r>
      <w:r w:rsidR="00902D9A" w:rsidRPr="00902D9A">
        <w:rPr>
          <w:rFonts w:ascii="Arial" w:eastAsia="Times New Roman" w:hAnsi="Arial" w:cs="Arial"/>
          <w:bCs/>
          <w:sz w:val="26"/>
          <w:szCs w:val="26"/>
          <w:lang w:eastAsia="es-ES"/>
        </w:rPr>
        <w:t xml:space="preserve"> </w:t>
      </w:r>
      <w:r w:rsidR="00902D9A" w:rsidRPr="00902D9A">
        <w:rPr>
          <w:rFonts w:ascii="Arial" w:eastAsia="Times New Roman" w:hAnsi="Arial" w:cs="Arial"/>
          <w:b/>
          <w:bCs/>
          <w:sz w:val="26"/>
          <w:szCs w:val="26"/>
          <w:lang w:eastAsia="es-ES"/>
        </w:rPr>
        <w:t>REASUME JURISDICCIÓN</w:t>
      </w:r>
      <w:r w:rsidR="00902D9A" w:rsidRPr="00902D9A">
        <w:rPr>
          <w:rFonts w:ascii="Arial" w:eastAsia="Times New Roman" w:hAnsi="Arial" w:cs="Arial"/>
          <w:bCs/>
          <w:sz w:val="26"/>
          <w:szCs w:val="26"/>
          <w:lang w:eastAsia="es-ES"/>
        </w:rPr>
        <w:t xml:space="preserve"> a efecto de que se analice el acto sometido al conocimiento de la Primera Instancia. Estas consideraciones se respaldan, por identidad en el tema, en la jurisprudencia</w:t>
      </w:r>
      <w:r w:rsidR="00902D9A" w:rsidRPr="00902D9A">
        <w:rPr>
          <w:rFonts w:ascii="Arial" w:eastAsiaTheme="minorEastAsia" w:hAnsi="Arial" w:cs="Arial"/>
          <w:sz w:val="26"/>
          <w:szCs w:val="26"/>
          <w:lang w:eastAsia="es-MX"/>
        </w:rPr>
        <w:t xml:space="preserve"> XI.2o. J/29 emitida por el Segundo Tribunal Colegiado del Décimo Primer Circuito, en la Novena Época, publicada en el Semanario Judicial de la Federación y su Gaceta, Tomo XXII, de octubre de 2005, consultable a página 2075, bajo el rubro y texto del tenor literal siguiente: </w:t>
      </w:r>
    </w:p>
    <w:p w14:paraId="6AB79E6E" w14:textId="77777777" w:rsidR="00902D9A" w:rsidRPr="00902D9A" w:rsidRDefault="00902D9A" w:rsidP="00902D9A">
      <w:pPr>
        <w:spacing w:before="100" w:beforeAutospacing="1" w:after="0" w:line="360" w:lineRule="auto"/>
        <w:ind w:left="851" w:right="900"/>
        <w:jc w:val="both"/>
        <w:rPr>
          <w:rFonts w:ascii="Arial" w:eastAsiaTheme="minorEastAsia" w:hAnsi="Arial" w:cs="Arial"/>
          <w:i/>
          <w:lang w:eastAsia="es-MX"/>
        </w:rPr>
      </w:pPr>
      <w:r w:rsidRPr="00902D9A">
        <w:rPr>
          <w:rFonts w:ascii="Arial" w:eastAsiaTheme="minorEastAsia" w:hAnsi="Arial" w:cs="Arial"/>
          <w:b/>
          <w:i/>
          <w:lang w:eastAsia="es-MX"/>
        </w:rPr>
        <w:t>“AGRAVIOS EN LA APELACIÓN. AL NO EXISTIR REENVÍO EL AD QUEM DEBE REASUMIR JURISDICCIÓN Y ABORDAR OFICIOSAMENTE SU ANÁLISIS, SIN QUE ELLO IMPLIQUE SUPLENCIA DE AQUÉLLOS.</w:t>
      </w:r>
      <w:r w:rsidRPr="00902D9A">
        <w:rPr>
          <w:rFonts w:ascii="Arial" w:eastAsiaTheme="minorEastAsia" w:hAnsi="Arial" w:cs="Arial"/>
          <w:i/>
          <w:lang w:eastAsia="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902D9A">
        <w:rPr>
          <w:rFonts w:ascii="Arial" w:eastAsiaTheme="minorEastAsia" w:hAnsi="Arial" w:cs="Arial"/>
          <w:i/>
          <w:lang w:eastAsia="es-MX"/>
        </w:rPr>
        <w:t>quem</w:t>
      </w:r>
      <w:proofErr w:type="spellEnd"/>
      <w:r w:rsidRPr="00902D9A">
        <w:rPr>
          <w:rFonts w:ascii="Arial" w:eastAsiaTheme="minorEastAsia" w:hAnsi="Arial" w:cs="Arial"/>
          <w:i/>
          <w:lang w:eastAsia="es-MX"/>
        </w:rPr>
        <w:t xml:space="preserve"> debe reasumir jurisdicción y abordar oficiosamente el análisis correspondiente, sin que ello implique suplencia de los agravios.” - - - - - - - - - - - - - - - - - - - - - - </w:t>
      </w:r>
    </w:p>
    <w:p w14:paraId="2145DD72" w14:textId="3B8CD44A" w:rsidR="00902D9A" w:rsidRPr="00902D9A" w:rsidRDefault="00070480" w:rsidP="00902D9A">
      <w:pPr>
        <w:spacing w:before="240" w:after="240" w:line="360" w:lineRule="auto"/>
        <w:ind w:right="51" w:firstLine="709"/>
        <w:jc w:val="both"/>
        <w:rPr>
          <w:rFonts w:ascii="Arial" w:eastAsia="Calibri" w:hAnsi="Arial" w:cs="Arial"/>
          <w:bCs/>
          <w:sz w:val="26"/>
          <w:szCs w:val="26"/>
          <w:lang w:eastAsia="es-MX"/>
        </w:rPr>
      </w:pPr>
      <w:r>
        <w:rPr>
          <w:rFonts w:ascii="Arial" w:eastAsia="Calibri" w:hAnsi="Arial" w:cs="Arial"/>
          <w:bCs/>
          <w:sz w:val="26"/>
          <w:szCs w:val="26"/>
          <w:lang w:eastAsia="es-MX"/>
        </w:rPr>
        <w:t xml:space="preserve">16. </w:t>
      </w:r>
      <w:r w:rsidR="00902D9A" w:rsidRPr="00902D9A">
        <w:rPr>
          <w:rFonts w:ascii="Arial" w:eastAsia="Calibri" w:hAnsi="Arial" w:cs="Arial"/>
          <w:bCs/>
          <w:sz w:val="26"/>
          <w:szCs w:val="26"/>
          <w:lang w:eastAsia="es-MX"/>
        </w:rPr>
        <w:t>Por lo anterior, esta juzgadora procede a pronunciarse sobre el concepto de impugnación señalado como cuarto por la parte actora, en el que expresó</w:t>
      </w:r>
      <w:r w:rsidR="00902D9A" w:rsidRPr="00902D9A">
        <w:rPr>
          <w:rFonts w:ascii="Arial" w:eastAsia="Calibri" w:hAnsi="Arial" w:cs="Arial"/>
          <w:bCs/>
          <w:i/>
          <w:sz w:val="26"/>
          <w:szCs w:val="26"/>
          <w:lang w:eastAsia="es-MX"/>
        </w:rPr>
        <w:t xml:space="preserve">: “solicito a ese Honorable Tribunal … al que recurro declare la </w:t>
      </w:r>
      <w:r w:rsidR="00902D9A" w:rsidRPr="00902D9A">
        <w:rPr>
          <w:rFonts w:ascii="Arial" w:eastAsia="Calibri" w:hAnsi="Arial" w:cs="Arial"/>
          <w:bCs/>
          <w:i/>
          <w:sz w:val="26"/>
          <w:szCs w:val="26"/>
          <w:lang w:eastAsia="es-MX"/>
        </w:rPr>
        <w:lastRenderedPageBreak/>
        <w:t xml:space="preserve">nulidad lisa y llana del acto combatido, al carecer el mismo de los requisitos mínimos para su validez, como lo es la fundamentación de la competencia territorial de la autoridad que lo signa y la falta de debida motivación del </w:t>
      </w:r>
      <w:r w:rsidR="00E2328E">
        <w:rPr>
          <w:rFonts w:ascii="Times New Roman" w:eastAsia="Times New Roman" w:hAnsi="Times New Roman" w:cs="Times New Roman"/>
          <w:noProof/>
          <w:color w:val="000000"/>
          <w:sz w:val="24"/>
          <w:szCs w:val="24"/>
        </w:rPr>
        <w:drawing>
          <wp:anchor distT="0" distB="0" distL="114300" distR="114300" simplePos="0" relativeHeight="251665408" behindDoc="1" locked="0" layoutInCell="1" allowOverlap="1" wp14:anchorId="32289503" wp14:editId="60557F99">
            <wp:simplePos x="0" y="0"/>
            <wp:positionH relativeFrom="leftMargin">
              <wp:posOffset>6449695</wp:posOffset>
            </wp:positionH>
            <wp:positionV relativeFrom="paragraph">
              <wp:posOffset>1150620</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902D9A" w:rsidRPr="00902D9A">
        <w:rPr>
          <w:rFonts w:ascii="Arial" w:eastAsia="Calibri" w:hAnsi="Arial" w:cs="Arial"/>
          <w:bCs/>
          <w:i/>
          <w:sz w:val="26"/>
          <w:szCs w:val="26"/>
          <w:lang w:eastAsia="es-MX"/>
        </w:rPr>
        <w:t xml:space="preserve">mismo” , </w:t>
      </w:r>
      <w:r w:rsidR="00902D9A" w:rsidRPr="00902D9A">
        <w:rPr>
          <w:rFonts w:ascii="Arial" w:eastAsia="Calibri" w:hAnsi="Arial" w:cs="Arial"/>
          <w:bCs/>
          <w:sz w:val="26"/>
          <w:szCs w:val="26"/>
          <w:lang w:eastAsia="es-MX"/>
        </w:rPr>
        <w:t>en alusión al oficio de d</w:t>
      </w:r>
      <w:r w:rsidR="00AB5FD3">
        <w:rPr>
          <w:rFonts w:ascii="Arial" w:eastAsia="Calibri" w:hAnsi="Arial" w:cs="Arial"/>
          <w:bCs/>
          <w:sz w:val="26"/>
          <w:szCs w:val="26"/>
          <w:lang w:eastAsia="es-MX"/>
        </w:rPr>
        <w:t>os de mayo de dos mil veintidós</w:t>
      </w:r>
      <w:r w:rsidR="00902D9A" w:rsidRPr="00902D9A">
        <w:rPr>
          <w:rFonts w:ascii="Arial" w:eastAsia="Calibri" w:hAnsi="Arial" w:cs="Arial"/>
          <w:bCs/>
          <w:sz w:val="26"/>
          <w:szCs w:val="26"/>
          <w:lang w:eastAsia="es-MX"/>
        </w:rPr>
        <w:t>, emitido por el Presidente Municipal de Santa María el Tule, Oaxaca.</w:t>
      </w:r>
    </w:p>
    <w:p w14:paraId="4C9415EA" w14:textId="77777777" w:rsidR="00070480" w:rsidRDefault="00070480" w:rsidP="00902D9A">
      <w:pPr>
        <w:spacing w:before="240" w:after="240" w:line="360" w:lineRule="auto"/>
        <w:ind w:right="51" w:firstLine="709"/>
        <w:jc w:val="both"/>
        <w:rPr>
          <w:rFonts w:ascii="Arial" w:hAnsi="Arial" w:cs="Arial"/>
          <w:i/>
          <w:sz w:val="26"/>
          <w:szCs w:val="26"/>
          <w:lang w:eastAsia="es-MX"/>
        </w:rPr>
      </w:pPr>
      <w:r>
        <w:rPr>
          <w:rFonts w:ascii="Arial" w:eastAsia="Calibri" w:hAnsi="Arial" w:cs="Arial"/>
          <w:bCs/>
          <w:sz w:val="26"/>
          <w:szCs w:val="26"/>
          <w:lang w:eastAsia="es-MX"/>
        </w:rPr>
        <w:t xml:space="preserve">17. </w:t>
      </w:r>
      <w:r w:rsidR="00902D9A" w:rsidRPr="00902D9A">
        <w:rPr>
          <w:rFonts w:ascii="Arial" w:eastAsia="Calibri" w:hAnsi="Arial" w:cs="Arial"/>
          <w:bCs/>
          <w:sz w:val="26"/>
          <w:szCs w:val="26"/>
          <w:lang w:eastAsia="es-MX"/>
        </w:rPr>
        <w:t xml:space="preserve">Bajo esa consideración, es pertinente señalar que </w:t>
      </w:r>
      <w:r w:rsidR="00902D9A" w:rsidRPr="00902D9A">
        <w:rPr>
          <w:rFonts w:ascii="Arial" w:hAnsi="Arial" w:cs="Arial"/>
          <w:i/>
          <w:sz w:val="26"/>
          <w:szCs w:val="26"/>
          <w:lang w:eastAsia="es-MX"/>
        </w:rPr>
        <w:t>“todo acto de autoridad debe estar adecuada y suficientemente fundado y motivado”</w:t>
      </w:r>
      <w:r w:rsidR="00902D9A" w:rsidRPr="00902D9A">
        <w:rPr>
          <w:rFonts w:ascii="Arial" w:hAnsi="Arial" w:cs="Arial"/>
          <w:sz w:val="26"/>
          <w:szCs w:val="26"/>
          <w:vertAlign w:val="superscript"/>
          <w:lang w:eastAsia="es-MX"/>
        </w:rPr>
        <w:footnoteReference w:id="7"/>
      </w:r>
      <w:r w:rsidR="00902D9A" w:rsidRPr="00902D9A">
        <w:rPr>
          <w:rFonts w:ascii="Arial" w:hAnsi="Arial" w:cs="Arial"/>
          <w:sz w:val="26"/>
          <w:szCs w:val="26"/>
          <w:lang w:eastAsia="es-MX"/>
        </w:rPr>
        <w:t xml:space="preserve">, entendiéndose que la fundamentación implica </w:t>
      </w:r>
      <w:r w:rsidR="00902D9A" w:rsidRPr="00902D9A">
        <w:rPr>
          <w:rFonts w:ascii="Arial" w:hAnsi="Arial" w:cs="Arial"/>
          <w:i/>
          <w:sz w:val="26"/>
          <w:szCs w:val="26"/>
          <w:lang w:eastAsia="es-MX"/>
        </w:rPr>
        <w:t>“que ha de expresarse con precisión el precepto legal aplicable al caso”</w:t>
      </w:r>
      <w:r w:rsidR="00902D9A" w:rsidRPr="00902D9A">
        <w:rPr>
          <w:rFonts w:ascii="Arial" w:hAnsi="Arial" w:cs="Arial"/>
          <w:sz w:val="26"/>
          <w:szCs w:val="26"/>
          <w:lang w:eastAsia="es-MX"/>
        </w:rPr>
        <w:t xml:space="preserve"> y la motivación se refiere al señalamiento preciso </w:t>
      </w:r>
      <w:r w:rsidR="00902D9A" w:rsidRPr="00902D9A">
        <w:rPr>
          <w:rFonts w:ascii="Arial" w:hAnsi="Arial" w:cs="Arial"/>
          <w:i/>
          <w:sz w:val="26"/>
          <w:szCs w:val="26"/>
          <w:lang w:eastAsia="es-MX"/>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w:t>
      </w:r>
      <w:r>
        <w:rPr>
          <w:rFonts w:ascii="Arial" w:hAnsi="Arial" w:cs="Arial"/>
          <w:i/>
          <w:sz w:val="26"/>
          <w:szCs w:val="26"/>
          <w:lang w:eastAsia="es-MX"/>
        </w:rPr>
        <w:t>guren las hipótesis normativas”.</w:t>
      </w:r>
    </w:p>
    <w:p w14:paraId="104D1F15" w14:textId="2B6D861A" w:rsidR="00902D9A" w:rsidRPr="00902D9A" w:rsidRDefault="00070480" w:rsidP="00EA4045">
      <w:pPr>
        <w:spacing w:before="240" w:after="240" w:line="360" w:lineRule="auto"/>
        <w:ind w:right="51" w:firstLine="709"/>
        <w:jc w:val="both"/>
        <w:rPr>
          <w:rFonts w:ascii="Arial" w:eastAsia="Calibri" w:hAnsi="Arial" w:cs="Arial"/>
          <w:bCs/>
          <w:sz w:val="26"/>
          <w:szCs w:val="26"/>
          <w:lang w:eastAsia="es-MX"/>
        </w:rPr>
      </w:pPr>
      <w:r>
        <w:rPr>
          <w:rFonts w:ascii="Arial" w:eastAsia="Calibri" w:hAnsi="Arial" w:cs="Arial"/>
          <w:bCs/>
          <w:sz w:val="26"/>
          <w:szCs w:val="26"/>
          <w:lang w:eastAsia="es-MX"/>
        </w:rPr>
        <w:t>18. A</w:t>
      </w:r>
      <w:r w:rsidR="00902D9A" w:rsidRPr="00902D9A">
        <w:rPr>
          <w:rFonts w:ascii="Arial" w:eastAsia="Calibri" w:hAnsi="Arial" w:cs="Arial"/>
          <w:bCs/>
          <w:sz w:val="26"/>
          <w:szCs w:val="26"/>
          <w:lang w:eastAsia="es-MX"/>
        </w:rPr>
        <w:t xml:space="preserve"> efecto de analizar si el acto impugnado cumple con los requisitos </w:t>
      </w:r>
      <w:r w:rsidR="00EA4045">
        <w:rPr>
          <w:rFonts w:ascii="Arial" w:eastAsia="Calibri" w:hAnsi="Arial" w:cs="Arial"/>
          <w:bCs/>
          <w:sz w:val="26"/>
          <w:szCs w:val="26"/>
          <w:lang w:eastAsia="es-MX"/>
        </w:rPr>
        <w:t>exigidos por el art</w:t>
      </w:r>
      <w:r w:rsidR="009659BD">
        <w:rPr>
          <w:rFonts w:ascii="Arial" w:eastAsia="Calibri" w:hAnsi="Arial" w:cs="Arial"/>
          <w:bCs/>
          <w:sz w:val="26"/>
          <w:szCs w:val="26"/>
          <w:lang w:eastAsia="es-MX"/>
        </w:rPr>
        <w:t>ículo 17 fracción</w:t>
      </w:r>
      <w:r w:rsidR="00EA4045">
        <w:rPr>
          <w:rFonts w:ascii="Arial" w:eastAsia="Calibri" w:hAnsi="Arial" w:cs="Arial"/>
          <w:bCs/>
          <w:sz w:val="26"/>
          <w:szCs w:val="26"/>
          <w:lang w:eastAsia="es-MX"/>
        </w:rPr>
        <w:t xml:space="preserve"> I de </w:t>
      </w:r>
      <w:r w:rsidR="00EA4045" w:rsidRPr="00902D9A">
        <w:rPr>
          <w:rFonts w:ascii="Arial" w:eastAsia="Calibri" w:hAnsi="Arial" w:cs="Arial"/>
          <w:bCs/>
          <w:sz w:val="26"/>
          <w:szCs w:val="26"/>
          <w:lang w:eastAsia="es-MX"/>
        </w:rPr>
        <w:t>la Ley de Procedimiento y Justicia Administrativa para el Estado de Oaxaca,</w:t>
      </w:r>
      <w:r w:rsidR="00EA4045">
        <w:rPr>
          <w:rFonts w:ascii="Arial" w:eastAsia="Calibri" w:hAnsi="Arial" w:cs="Arial"/>
          <w:bCs/>
          <w:sz w:val="26"/>
          <w:szCs w:val="26"/>
          <w:lang w:eastAsia="es-MX"/>
        </w:rPr>
        <w:t xml:space="preserve"> consistentes en que haya sido dictado por autoridad competente, </w:t>
      </w:r>
      <w:r w:rsidR="00902D9A" w:rsidRPr="00902D9A">
        <w:rPr>
          <w:rFonts w:ascii="Arial" w:eastAsia="Calibri" w:hAnsi="Arial" w:cs="Arial"/>
          <w:bCs/>
          <w:sz w:val="26"/>
          <w:szCs w:val="26"/>
          <w:lang w:eastAsia="es-MX"/>
        </w:rPr>
        <w:t>es pertinente traer a la vista su contenido:</w:t>
      </w:r>
    </w:p>
    <w:p w14:paraId="79AE12BC" w14:textId="77777777" w:rsidR="00902D9A" w:rsidRPr="00902D9A" w:rsidRDefault="00902D9A" w:rsidP="00902D9A">
      <w:pPr>
        <w:spacing w:before="240" w:after="240" w:line="360" w:lineRule="auto"/>
        <w:ind w:left="3545" w:right="51"/>
        <w:jc w:val="both"/>
        <w:rPr>
          <w:rFonts w:ascii="Arial" w:eastAsia="Times New Roman" w:hAnsi="Arial" w:cs="Arial"/>
          <w:i/>
          <w:lang w:eastAsia="es-ES"/>
        </w:rPr>
      </w:pPr>
      <w:r w:rsidRPr="00902D9A">
        <w:rPr>
          <w:rFonts w:ascii="Arial" w:eastAsia="Times New Roman" w:hAnsi="Arial" w:cs="Arial"/>
          <w:b/>
          <w:i/>
          <w:lang w:val="es-ES_tradnl" w:eastAsia="es-ES"/>
        </w:rPr>
        <w:t xml:space="preserve"> “</w:t>
      </w:r>
      <w:r w:rsidRPr="00902D9A">
        <w:rPr>
          <w:rFonts w:ascii="Arial" w:eastAsia="Times New Roman" w:hAnsi="Arial" w:cs="Arial"/>
          <w:i/>
          <w:lang w:eastAsia="es-ES"/>
        </w:rPr>
        <w:t xml:space="preserve">DEPENDENCIA: MUNICIPIO DE SANTA </w:t>
      </w:r>
    </w:p>
    <w:p w14:paraId="2611B9A6" w14:textId="77777777" w:rsidR="00902D9A" w:rsidRPr="00902D9A" w:rsidRDefault="00902D9A" w:rsidP="00902D9A">
      <w:pPr>
        <w:spacing w:before="240" w:line="240" w:lineRule="auto"/>
        <w:ind w:left="567" w:right="616"/>
        <w:jc w:val="right"/>
        <w:rPr>
          <w:rFonts w:ascii="Arial" w:eastAsia="Times New Roman" w:hAnsi="Arial" w:cs="Arial"/>
          <w:i/>
          <w:lang w:eastAsia="es-ES"/>
        </w:rPr>
      </w:pPr>
      <w:r w:rsidRPr="00902D9A">
        <w:rPr>
          <w:rFonts w:ascii="Arial" w:eastAsia="Times New Roman" w:hAnsi="Arial" w:cs="Arial"/>
          <w:i/>
          <w:lang w:eastAsia="es-ES"/>
        </w:rPr>
        <w:t>MARIA DEL TULE, OAXACA.</w:t>
      </w:r>
    </w:p>
    <w:p w14:paraId="110BD8D1" w14:textId="77777777" w:rsidR="00902D9A" w:rsidRPr="00902D9A" w:rsidRDefault="00902D9A" w:rsidP="00902D9A">
      <w:pPr>
        <w:spacing w:before="240" w:line="240" w:lineRule="auto"/>
        <w:ind w:left="567" w:right="616"/>
        <w:jc w:val="right"/>
        <w:rPr>
          <w:rFonts w:ascii="Arial" w:eastAsia="Times New Roman" w:hAnsi="Arial" w:cs="Arial"/>
          <w:i/>
          <w:lang w:eastAsia="es-ES"/>
        </w:rPr>
      </w:pPr>
      <w:r w:rsidRPr="00902D9A">
        <w:rPr>
          <w:rFonts w:ascii="Arial" w:eastAsia="Times New Roman" w:hAnsi="Arial" w:cs="Arial"/>
          <w:b/>
          <w:i/>
          <w:lang w:eastAsia="es-ES"/>
        </w:rPr>
        <w:t>SECCIÓN</w:t>
      </w:r>
      <w:r w:rsidRPr="00902D9A">
        <w:rPr>
          <w:rFonts w:ascii="Arial" w:eastAsia="Times New Roman" w:hAnsi="Arial" w:cs="Arial"/>
          <w:i/>
          <w:lang w:eastAsia="es-ES"/>
        </w:rPr>
        <w:t>: PRESIDENCIA.</w:t>
      </w:r>
    </w:p>
    <w:p w14:paraId="0E8996A8" w14:textId="77777777" w:rsidR="00902D9A" w:rsidRPr="00902D9A" w:rsidRDefault="00902D9A" w:rsidP="00902D9A">
      <w:pPr>
        <w:spacing w:before="240" w:line="240" w:lineRule="auto"/>
        <w:ind w:left="567" w:right="616"/>
        <w:jc w:val="right"/>
        <w:rPr>
          <w:rFonts w:ascii="Arial" w:eastAsia="Times New Roman" w:hAnsi="Arial" w:cs="Arial"/>
          <w:i/>
          <w:lang w:eastAsia="es-ES"/>
        </w:rPr>
      </w:pPr>
      <w:r w:rsidRPr="00902D9A">
        <w:rPr>
          <w:rFonts w:ascii="Arial" w:eastAsia="Times New Roman" w:hAnsi="Arial" w:cs="Arial"/>
          <w:b/>
          <w:i/>
          <w:lang w:eastAsia="es-ES"/>
        </w:rPr>
        <w:t>ASUNTO:</w:t>
      </w:r>
      <w:r w:rsidRPr="00902D9A">
        <w:rPr>
          <w:rFonts w:ascii="Arial" w:eastAsia="Times New Roman" w:hAnsi="Arial" w:cs="Arial"/>
          <w:i/>
          <w:lang w:eastAsia="es-ES"/>
        </w:rPr>
        <w:t xml:space="preserve"> RESPUESTA A PETICION.</w:t>
      </w:r>
    </w:p>
    <w:p w14:paraId="4F655E82" w14:textId="77777777" w:rsidR="00902D9A" w:rsidRPr="00902D9A" w:rsidRDefault="00902D9A" w:rsidP="00902D9A">
      <w:pPr>
        <w:spacing w:before="240" w:line="360" w:lineRule="auto"/>
        <w:ind w:left="567" w:right="616"/>
        <w:jc w:val="right"/>
        <w:rPr>
          <w:rFonts w:ascii="Arial" w:eastAsia="Times New Roman" w:hAnsi="Arial" w:cs="Arial"/>
          <w:i/>
          <w:lang w:eastAsia="es-ES"/>
        </w:rPr>
      </w:pPr>
      <w:r w:rsidRPr="00902D9A">
        <w:rPr>
          <w:rFonts w:ascii="Arial" w:eastAsia="Times New Roman" w:hAnsi="Arial" w:cs="Arial"/>
          <w:i/>
          <w:lang w:eastAsia="es-ES"/>
        </w:rPr>
        <w:t>Santa María del Tule, Oaxaca, a 02 de mayo del año 2022.</w:t>
      </w:r>
    </w:p>
    <w:p w14:paraId="7EE772E5" w14:textId="22221E93" w:rsidR="00902D9A" w:rsidRPr="00902D9A" w:rsidRDefault="00902D9A" w:rsidP="00902D9A">
      <w:pPr>
        <w:spacing w:before="240" w:line="240" w:lineRule="auto"/>
        <w:ind w:left="567" w:right="616"/>
        <w:jc w:val="both"/>
        <w:rPr>
          <w:rFonts w:ascii="Arial" w:eastAsia="Times New Roman" w:hAnsi="Arial" w:cs="Arial"/>
          <w:b/>
          <w:i/>
          <w:lang w:eastAsia="es-ES"/>
        </w:rPr>
      </w:pPr>
      <w:r w:rsidRPr="00902D9A">
        <w:rPr>
          <w:rFonts w:ascii="Arial" w:eastAsia="Times New Roman" w:hAnsi="Arial" w:cs="Arial"/>
          <w:b/>
          <w:i/>
          <w:lang w:eastAsia="es-ES"/>
        </w:rPr>
        <w:t xml:space="preserve">C. </w:t>
      </w:r>
      <w:r w:rsidR="00E2328E">
        <w:rPr>
          <w:rFonts w:ascii="Arial" w:eastAsia="Times New Roman" w:hAnsi="Arial" w:cs="Arial"/>
          <w:b/>
          <w:i/>
          <w:lang w:eastAsia="es-ES"/>
        </w:rPr>
        <w:t>*********</w:t>
      </w:r>
    </w:p>
    <w:p w14:paraId="140692E1" w14:textId="0837BB45" w:rsidR="00E2328E" w:rsidRPr="00902D9A" w:rsidRDefault="00902D9A" w:rsidP="00E2328E">
      <w:pPr>
        <w:spacing w:before="240" w:line="240" w:lineRule="auto"/>
        <w:ind w:left="567" w:right="616"/>
        <w:jc w:val="both"/>
        <w:rPr>
          <w:rFonts w:ascii="Arial" w:eastAsia="Times New Roman" w:hAnsi="Arial" w:cs="Arial"/>
          <w:b/>
          <w:i/>
          <w:lang w:eastAsia="es-ES"/>
        </w:rPr>
      </w:pPr>
      <w:r w:rsidRPr="00902D9A">
        <w:rPr>
          <w:rFonts w:ascii="Arial" w:eastAsia="Times New Roman" w:hAnsi="Arial" w:cs="Arial"/>
          <w:b/>
          <w:i/>
          <w:lang w:eastAsia="es-ES"/>
        </w:rPr>
        <w:t>DOMICILIO:</w:t>
      </w:r>
      <w:r w:rsidR="00E2328E">
        <w:rPr>
          <w:rFonts w:ascii="Arial" w:eastAsia="Times New Roman" w:hAnsi="Arial" w:cs="Arial"/>
          <w:b/>
          <w:i/>
          <w:lang w:eastAsia="es-ES"/>
        </w:rPr>
        <w:t xml:space="preserve"> ***********</w:t>
      </w:r>
    </w:p>
    <w:p w14:paraId="1223A438" w14:textId="344F49E1" w:rsidR="00902D9A" w:rsidRPr="00902D9A" w:rsidRDefault="00902D9A" w:rsidP="00902D9A">
      <w:pPr>
        <w:spacing w:before="240" w:line="240" w:lineRule="auto"/>
        <w:ind w:left="567" w:right="616"/>
        <w:jc w:val="both"/>
        <w:rPr>
          <w:rFonts w:ascii="Arial" w:eastAsia="Times New Roman" w:hAnsi="Arial" w:cs="Arial"/>
          <w:b/>
          <w:i/>
          <w:lang w:eastAsia="es-ES"/>
        </w:rPr>
      </w:pPr>
      <w:r w:rsidRPr="00902D9A">
        <w:rPr>
          <w:rFonts w:ascii="Arial" w:eastAsia="Times New Roman" w:hAnsi="Arial" w:cs="Arial"/>
          <w:b/>
          <w:i/>
          <w:lang w:eastAsia="es-ES"/>
        </w:rPr>
        <w:t>.</w:t>
      </w:r>
    </w:p>
    <w:p w14:paraId="7C5FA4B3" w14:textId="77777777" w:rsidR="00902D9A" w:rsidRPr="00902D9A" w:rsidRDefault="00902D9A" w:rsidP="00902D9A">
      <w:pPr>
        <w:spacing w:before="240" w:line="240" w:lineRule="auto"/>
        <w:ind w:left="567" w:right="616"/>
        <w:jc w:val="both"/>
        <w:rPr>
          <w:rFonts w:ascii="Arial" w:eastAsia="Times New Roman" w:hAnsi="Arial" w:cs="Arial"/>
          <w:b/>
          <w:i/>
          <w:lang w:eastAsia="es-ES"/>
        </w:rPr>
      </w:pPr>
      <w:r w:rsidRPr="00902D9A">
        <w:rPr>
          <w:rFonts w:ascii="Arial" w:eastAsia="Times New Roman" w:hAnsi="Arial" w:cs="Arial"/>
          <w:b/>
          <w:i/>
          <w:lang w:eastAsia="es-ES"/>
        </w:rPr>
        <w:t>P R E S E N T E.</w:t>
      </w:r>
    </w:p>
    <w:p w14:paraId="7C3E553E" w14:textId="34433E50"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i/>
          <w:lang w:eastAsia="es-ES"/>
        </w:rPr>
        <w:t>Dada cuenta con el escrito de</w:t>
      </w:r>
      <w:r w:rsidR="00E2328E">
        <w:rPr>
          <w:rFonts w:ascii="Arial" w:eastAsia="Times New Roman" w:hAnsi="Arial" w:cs="Arial"/>
          <w:b/>
          <w:i/>
          <w:lang w:eastAsia="es-ES"/>
        </w:rPr>
        <w:t xml:space="preserve"> ***********</w:t>
      </w:r>
      <w:r w:rsidRPr="00902D9A">
        <w:rPr>
          <w:rFonts w:ascii="Arial" w:eastAsia="Times New Roman" w:hAnsi="Arial" w:cs="Arial"/>
          <w:i/>
          <w:lang w:eastAsia="es-ES"/>
        </w:rPr>
        <w:t>, de fecha veinte de abril del año en curso, en el cual solicita permiso de subdivisión respecto del predio ubicado en calle cinco de mayo esquina libertad, Santa María del Tule, Oaxaca</w:t>
      </w:r>
      <w:r w:rsidRPr="00902D9A">
        <w:rPr>
          <w:rFonts w:ascii="Arial" w:eastAsia="Times New Roman" w:hAnsi="Arial" w:cs="Arial"/>
          <w:b/>
          <w:i/>
          <w:u w:val="single"/>
          <w:lang w:eastAsia="es-ES"/>
        </w:rPr>
        <w:t>, dígasele a la promovente, que es improcedente su petición,</w:t>
      </w:r>
      <w:r w:rsidRPr="00902D9A">
        <w:rPr>
          <w:rFonts w:ascii="Arial" w:eastAsia="Times New Roman" w:hAnsi="Arial" w:cs="Arial"/>
          <w:i/>
          <w:lang w:eastAsia="es-ES"/>
        </w:rPr>
        <w:t xml:space="preserve"> en atención a lo siguiente:</w:t>
      </w:r>
    </w:p>
    <w:p w14:paraId="7E593337" w14:textId="62C8F9C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i/>
          <w:lang w:eastAsia="es-ES"/>
        </w:rPr>
        <w:t xml:space="preserve">La solicitante no acredita la propiedad del inmueble que pretende fraccionar, presentando copia certificada de protocolización de un contrato privado de </w:t>
      </w:r>
      <w:r w:rsidR="00E2328E">
        <w:rPr>
          <w:rFonts w:ascii="Times New Roman" w:eastAsia="Times New Roman" w:hAnsi="Times New Roman" w:cs="Times New Roman"/>
          <w:noProof/>
          <w:color w:val="000000"/>
          <w:sz w:val="24"/>
          <w:szCs w:val="24"/>
        </w:rPr>
        <w:lastRenderedPageBreak/>
        <w:drawing>
          <wp:anchor distT="0" distB="0" distL="114300" distR="114300" simplePos="0" relativeHeight="251667456" behindDoc="1" locked="0" layoutInCell="1" allowOverlap="1" wp14:anchorId="0AFF0128" wp14:editId="53E0FA9B">
            <wp:simplePos x="0" y="0"/>
            <wp:positionH relativeFrom="leftMargin">
              <wp:posOffset>540385</wp:posOffset>
            </wp:positionH>
            <wp:positionV relativeFrom="paragraph">
              <wp:posOffset>177165</wp:posOffset>
            </wp:positionV>
            <wp:extent cx="1024255" cy="1261745"/>
            <wp:effectExtent l="0" t="0" r="444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902D9A">
        <w:rPr>
          <w:rFonts w:ascii="Arial" w:eastAsia="Times New Roman" w:hAnsi="Arial" w:cs="Arial"/>
          <w:i/>
          <w:lang w:eastAsia="es-ES"/>
        </w:rPr>
        <w:t xml:space="preserve">compraventa de fecha cinco de diciembre de mil novecientos cincuenta y ocho, mediante Instrumento Notarial, </w:t>
      </w:r>
      <w:r w:rsidRPr="00902D9A">
        <w:rPr>
          <w:rFonts w:ascii="Arial" w:eastAsia="Times New Roman" w:hAnsi="Arial" w:cs="Arial"/>
          <w:b/>
          <w:i/>
          <w:lang w:eastAsia="es-ES"/>
        </w:rPr>
        <w:t>número 47, 345 (CUARENTA Y SIETE MIL TRESCIENTOS CUARENTA Y CINCO)</w:t>
      </w:r>
      <w:r w:rsidRPr="00902D9A">
        <w:rPr>
          <w:rFonts w:ascii="Arial" w:eastAsia="Times New Roman" w:hAnsi="Arial" w:cs="Arial"/>
          <w:i/>
          <w:lang w:eastAsia="es-ES"/>
        </w:rPr>
        <w:t xml:space="preserve">, </w:t>
      </w:r>
      <w:r w:rsidRPr="00902D9A">
        <w:rPr>
          <w:rFonts w:ascii="Arial" w:eastAsia="Times New Roman" w:hAnsi="Arial" w:cs="Arial"/>
          <w:b/>
          <w:i/>
          <w:lang w:eastAsia="es-ES"/>
        </w:rPr>
        <w:t>Volumen 863 (OCHOCIENTOS SESENTA Y TRES),</w:t>
      </w:r>
      <w:r w:rsidRPr="00902D9A">
        <w:rPr>
          <w:rFonts w:ascii="Arial" w:eastAsia="Times New Roman" w:hAnsi="Arial" w:cs="Arial"/>
          <w:i/>
          <w:lang w:eastAsia="es-ES"/>
        </w:rPr>
        <w:t xml:space="preserve"> pasada ante la fe del Licenciado Rodolfo Morales Moreno, Notario Público número 19 en el Estado, con el cual únicamente tal vez se acredite un derecho de posesión, pero no de propiedad, y por consiguiente al no contar con título suficiente que la acredite como propietaria del referido inmueble, no tiene derecho a subdividir.</w:t>
      </w:r>
    </w:p>
    <w:p w14:paraId="3F0EC363"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i/>
          <w:lang w:eastAsia="es-ES"/>
        </w:rPr>
        <w:t>Máxime que dicha protocolización no cumple con los requisitos de una escritura pública de compraventa, ya que incumple con el artículo, 63 de la Ley del notariado, en su (sic) fracciones II, III, IV, VII, IX, X, XI y XIII, A,B, C, D, E, F; señalan que, en las escrituras de compraventa debe contener los antecedentes de propiedad y certificar que los tuvo a la vista, además de relacionar los antecedentes de propiedad, el último de ellos, los rubricara y le pondrá su sello, citara los datos de inscripción en el Registro Público de la Propiedad, o en su defecto dirá que no tiene antecedente registral o incluso que carece de título de propiedad, también dirá ante la fe de que notario o juez receptor se constituyó el antecedente de propiedad. Determinará la renuncia de derechos, acciones o leyes que hagan válidamente los contratantes, la compulsa de documentos que sella e integra al apéndice, se certificación, acreditar la personalidad de los contratantes, sus generales hacer constar que conoce a los contratantes y tiene capacidad para celebrar el acto que les leyó la escritura y su alcance, la conformidad de los que firmaron.</w:t>
      </w:r>
    </w:p>
    <w:p w14:paraId="346A70ED"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i/>
          <w:lang w:eastAsia="es-ES"/>
        </w:rPr>
        <w:t>Asimismo, Cabe mencionar que la constancia de subdivisión de fecha siete de diciembre del año dos mil veintiuno, expedida por el Alcalde Único Constitucional de Santa María del Tule, Oaxaca, se advierte que ésta no reúne los requisitos de legalidad establecidos en el artículo 17, fracciones I y V, de la Ley de Procedimiento y Justicia Administrativa para el Estado de Oaxaca, al no estar fundada y motivada.</w:t>
      </w:r>
    </w:p>
    <w:p w14:paraId="727B0445"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i/>
          <w:lang w:eastAsia="es-ES"/>
        </w:rPr>
        <w:t xml:space="preserve">Se dice lo anterior, toda vez que la autoridad suscribiente no cito sustento legal para la autorización de la mencionada constancia de subdivisión, lo cual incide en su validez jurídica, pues al no haber fundamentado exhaustivamente su competencia con base a la ley, reglamento, decreto o acuerdo que le otorgue la atribución ejercida, para lo cual debe citar, o en su caso el apartado, fracción, inciso o sub inciso correspondiente y, si el ordenamiento no lo contiene y se trata de una norma compleja, habrá de transcribirse la parte correspondiente, con el propósito de otorgar certeza a la administrada, con apoyo en una norma jurídica que le faculta para obrar en ese sentido, </w:t>
      </w:r>
      <w:r w:rsidRPr="00902D9A">
        <w:rPr>
          <w:rFonts w:ascii="Arial" w:eastAsia="Times New Roman" w:hAnsi="Arial" w:cs="Arial"/>
          <w:b/>
          <w:i/>
          <w:u w:val="single"/>
          <w:lang w:eastAsia="es-ES"/>
        </w:rPr>
        <w:t>por lo que dicha constancia carece de validez jurídica, máxime que no fue expedida por autoridad competente tal y como lo estipula el artículo 8, fracción XIV de la Ley de Ordenamiento Territorial y Desarrollo Urbano para el Estado de Oaxaca.</w:t>
      </w:r>
    </w:p>
    <w:p w14:paraId="745FB28A" w14:textId="55AF766D"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i/>
          <w:lang w:eastAsia="es-ES"/>
        </w:rPr>
        <w:t xml:space="preserve">Y tomando en consideración que el inmueble que pretende subdividir se encuentra en litigio ya que dentro de los archivos de esta Presidencia Municipal, </w:t>
      </w:r>
      <w:r w:rsidRPr="00902D9A">
        <w:rPr>
          <w:rFonts w:ascii="Arial" w:eastAsia="Times New Roman" w:hAnsi="Arial" w:cs="Arial"/>
          <w:i/>
          <w:lang w:eastAsia="es-ES"/>
        </w:rPr>
        <w:lastRenderedPageBreak/>
        <w:t xml:space="preserve">se encuentra escrito de fecha veinticinco de febrero del año en curso, suscrito </w:t>
      </w:r>
      <w:r w:rsidR="007324F0">
        <w:rPr>
          <w:rFonts w:ascii="Times New Roman" w:eastAsia="Times New Roman" w:hAnsi="Times New Roman" w:cs="Times New Roman"/>
          <w:noProof/>
          <w:color w:val="000000"/>
          <w:sz w:val="24"/>
          <w:szCs w:val="24"/>
        </w:rPr>
        <w:drawing>
          <wp:anchor distT="0" distB="0" distL="114300" distR="114300" simplePos="0" relativeHeight="251669504" behindDoc="1" locked="0" layoutInCell="1" allowOverlap="1" wp14:anchorId="0C0E73EB" wp14:editId="0FC45F7D">
            <wp:simplePos x="0" y="0"/>
            <wp:positionH relativeFrom="leftMargin">
              <wp:posOffset>6142355</wp:posOffset>
            </wp:positionH>
            <wp:positionV relativeFrom="paragraph">
              <wp:posOffset>399415</wp:posOffset>
            </wp:positionV>
            <wp:extent cx="1024255" cy="1261745"/>
            <wp:effectExtent l="0" t="0" r="4445" b="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902D9A">
        <w:rPr>
          <w:rFonts w:ascii="Arial" w:eastAsia="Times New Roman" w:hAnsi="Arial" w:cs="Arial"/>
          <w:i/>
          <w:lang w:eastAsia="es-ES"/>
        </w:rPr>
        <w:t xml:space="preserve">por el </w:t>
      </w:r>
      <w:r w:rsidR="00E2328E">
        <w:rPr>
          <w:rFonts w:ascii="Arial" w:eastAsia="Times New Roman" w:hAnsi="Arial" w:cs="Arial"/>
          <w:b/>
          <w:i/>
          <w:lang w:eastAsia="es-ES"/>
        </w:rPr>
        <w:t>C. ****************</w:t>
      </w:r>
      <w:r w:rsidRPr="00902D9A">
        <w:rPr>
          <w:rFonts w:ascii="Arial" w:eastAsia="Times New Roman" w:hAnsi="Arial" w:cs="Arial"/>
          <w:i/>
          <w:lang w:eastAsia="es-ES"/>
        </w:rPr>
        <w:t xml:space="preserve">, quien promueve como albacea definitivo de la sucesión </w:t>
      </w:r>
      <w:proofErr w:type="spellStart"/>
      <w:r w:rsidRPr="00902D9A">
        <w:rPr>
          <w:rFonts w:ascii="Arial" w:eastAsia="Times New Roman" w:hAnsi="Arial" w:cs="Arial"/>
          <w:i/>
          <w:lang w:eastAsia="es-ES"/>
        </w:rPr>
        <w:t>intestamentaria</w:t>
      </w:r>
      <w:proofErr w:type="spellEnd"/>
      <w:r w:rsidRPr="00902D9A">
        <w:rPr>
          <w:rFonts w:ascii="Arial" w:eastAsia="Times New Roman" w:hAnsi="Arial" w:cs="Arial"/>
          <w:i/>
          <w:lang w:eastAsia="es-ES"/>
        </w:rPr>
        <w:t xml:space="preserve"> a nombre del </w:t>
      </w:r>
      <w:r w:rsidRPr="00902D9A">
        <w:rPr>
          <w:rFonts w:ascii="Arial" w:eastAsia="Times New Roman" w:hAnsi="Arial" w:cs="Arial"/>
          <w:b/>
          <w:i/>
          <w:lang w:eastAsia="es-ES"/>
        </w:rPr>
        <w:t>C.</w:t>
      </w:r>
      <w:r w:rsidR="00E2328E">
        <w:rPr>
          <w:rFonts w:ascii="Arial" w:eastAsia="Times New Roman" w:hAnsi="Arial" w:cs="Arial"/>
          <w:b/>
          <w:i/>
          <w:lang w:eastAsia="es-ES"/>
        </w:rPr>
        <w:t xml:space="preserve"> *********</w:t>
      </w:r>
      <w:r w:rsidRPr="00902D9A">
        <w:rPr>
          <w:rFonts w:ascii="Arial" w:eastAsia="Times New Roman" w:hAnsi="Arial" w:cs="Arial"/>
          <w:i/>
          <w:lang w:eastAsia="es-ES"/>
        </w:rPr>
        <w:t xml:space="preserve">, solicitando que se frene todo tipo de trámite que se llegara a tramitar respecto de los inmuebles </w:t>
      </w:r>
      <w:r w:rsidR="00E2328E">
        <w:rPr>
          <w:rFonts w:ascii="Arial" w:eastAsia="Times New Roman" w:hAnsi="Arial" w:cs="Arial"/>
          <w:b/>
          <w:i/>
          <w:lang w:eastAsia="es-ES"/>
        </w:rPr>
        <w:t xml:space="preserve">“***********”, </w:t>
      </w:r>
      <w:r w:rsidR="007324F0">
        <w:rPr>
          <w:rFonts w:ascii="Arial" w:eastAsia="Times New Roman" w:hAnsi="Arial" w:cs="Arial"/>
          <w:b/>
          <w:i/>
          <w:lang w:eastAsia="es-ES"/>
        </w:rPr>
        <w:t xml:space="preserve"> </w:t>
      </w:r>
      <w:r w:rsidR="00E2328E">
        <w:rPr>
          <w:rFonts w:ascii="Arial" w:eastAsia="Times New Roman" w:hAnsi="Arial" w:cs="Arial"/>
          <w:b/>
          <w:i/>
          <w:lang w:eastAsia="es-ES"/>
        </w:rPr>
        <w:t>“********</w:t>
      </w:r>
      <w:r w:rsidRPr="00902D9A">
        <w:rPr>
          <w:rFonts w:ascii="Arial" w:eastAsia="Times New Roman" w:hAnsi="Arial" w:cs="Arial"/>
          <w:b/>
          <w:i/>
          <w:lang w:eastAsia="es-ES"/>
        </w:rPr>
        <w:t>”, “</w:t>
      </w:r>
      <w:r w:rsidR="00E2328E">
        <w:rPr>
          <w:rFonts w:ascii="Arial" w:eastAsia="Times New Roman" w:hAnsi="Arial" w:cs="Arial"/>
          <w:b/>
          <w:i/>
          <w:lang w:eastAsia="es-ES"/>
        </w:rPr>
        <w:t>***********</w:t>
      </w:r>
      <w:r w:rsidRPr="00902D9A">
        <w:rPr>
          <w:rFonts w:ascii="Arial" w:eastAsia="Times New Roman" w:hAnsi="Arial" w:cs="Arial"/>
          <w:b/>
          <w:i/>
          <w:lang w:eastAsia="es-ES"/>
        </w:rPr>
        <w:t>”, “</w:t>
      </w:r>
      <w:r w:rsidR="00E2328E">
        <w:rPr>
          <w:rFonts w:ascii="Arial" w:eastAsia="Times New Roman" w:hAnsi="Arial" w:cs="Arial"/>
          <w:b/>
          <w:i/>
          <w:lang w:eastAsia="es-ES"/>
        </w:rPr>
        <w:t>***********</w:t>
      </w:r>
      <w:r w:rsidRPr="00902D9A">
        <w:rPr>
          <w:rFonts w:ascii="Arial" w:eastAsia="Times New Roman" w:hAnsi="Arial" w:cs="Arial"/>
          <w:b/>
          <w:i/>
          <w:lang w:eastAsia="es-ES"/>
        </w:rPr>
        <w:t>” y “</w:t>
      </w:r>
      <w:r w:rsidR="00E2328E">
        <w:rPr>
          <w:rFonts w:ascii="Arial" w:eastAsia="Times New Roman" w:hAnsi="Arial" w:cs="Arial"/>
          <w:b/>
          <w:i/>
          <w:lang w:eastAsia="es-ES"/>
        </w:rPr>
        <w:t>*************</w:t>
      </w:r>
      <w:r w:rsidRPr="00902D9A">
        <w:rPr>
          <w:rFonts w:ascii="Arial" w:eastAsia="Times New Roman" w:hAnsi="Arial" w:cs="Arial"/>
          <w:b/>
          <w:i/>
          <w:lang w:eastAsia="es-ES"/>
        </w:rPr>
        <w:t>”</w:t>
      </w:r>
      <w:r w:rsidRPr="00902D9A">
        <w:rPr>
          <w:rFonts w:ascii="Arial" w:eastAsia="Times New Roman" w:hAnsi="Arial" w:cs="Arial"/>
          <w:i/>
          <w:lang w:eastAsia="es-ES"/>
        </w:rPr>
        <w:t xml:space="preserve"> todos en jurisdicción de Santa María del Tule, Oaxaca, en virtud de que dichos inmuebles forman parte de la masa hereditaria del Juicio Sucesorio Testamentario número 486/1995, a bienes del extinto</w:t>
      </w:r>
      <w:r w:rsidR="00E2328E">
        <w:rPr>
          <w:rFonts w:ascii="Arial" w:eastAsia="Times New Roman" w:hAnsi="Arial" w:cs="Arial"/>
          <w:b/>
          <w:i/>
          <w:lang w:eastAsia="es-ES"/>
        </w:rPr>
        <w:t xml:space="preserve"> *************</w:t>
      </w:r>
      <w:r w:rsidRPr="00902D9A">
        <w:rPr>
          <w:rFonts w:ascii="Arial" w:eastAsia="Times New Roman" w:hAnsi="Arial" w:cs="Arial"/>
          <w:i/>
          <w:lang w:eastAsia="es-ES"/>
        </w:rPr>
        <w:t>, del índice del Juzgado Primero de lo Familiar del Distrito Judicial del Centro, denunciado por</w:t>
      </w:r>
      <w:r w:rsidR="00E2328E">
        <w:rPr>
          <w:rFonts w:ascii="Arial" w:eastAsia="Times New Roman" w:hAnsi="Arial" w:cs="Arial"/>
          <w:b/>
          <w:i/>
          <w:lang w:eastAsia="es-ES"/>
        </w:rPr>
        <w:t>*************</w:t>
      </w:r>
      <w:r w:rsidRPr="00902D9A">
        <w:rPr>
          <w:rFonts w:ascii="Arial" w:eastAsia="Times New Roman" w:hAnsi="Arial" w:cs="Arial"/>
          <w:b/>
          <w:i/>
          <w:lang w:eastAsia="es-ES"/>
        </w:rPr>
        <w:t xml:space="preserve">, </w:t>
      </w:r>
      <w:r w:rsidR="00E2328E">
        <w:rPr>
          <w:rFonts w:ascii="Arial" w:eastAsia="Times New Roman" w:hAnsi="Arial" w:cs="Arial"/>
          <w:b/>
          <w:i/>
          <w:lang w:eastAsia="es-ES"/>
        </w:rPr>
        <w:t>***************</w:t>
      </w:r>
      <w:r w:rsidRPr="00902D9A">
        <w:rPr>
          <w:rFonts w:ascii="Arial" w:eastAsia="Times New Roman" w:hAnsi="Arial" w:cs="Arial"/>
          <w:b/>
          <w:i/>
          <w:lang w:eastAsia="es-ES"/>
        </w:rPr>
        <w:t xml:space="preserve">, </w:t>
      </w:r>
      <w:r w:rsidR="00E2328E">
        <w:rPr>
          <w:rFonts w:ascii="Arial" w:eastAsia="Times New Roman" w:hAnsi="Arial" w:cs="Arial"/>
          <w:b/>
          <w:i/>
          <w:lang w:eastAsia="es-ES"/>
        </w:rPr>
        <w:t>**********</w:t>
      </w:r>
      <w:r w:rsidRPr="00902D9A">
        <w:rPr>
          <w:rFonts w:ascii="Arial" w:eastAsia="Times New Roman" w:hAnsi="Arial" w:cs="Arial"/>
          <w:b/>
          <w:i/>
          <w:lang w:eastAsia="es-ES"/>
        </w:rPr>
        <w:t xml:space="preserve">, </w:t>
      </w:r>
      <w:r w:rsidR="00E2328E">
        <w:rPr>
          <w:rFonts w:ascii="Arial" w:eastAsia="Times New Roman" w:hAnsi="Arial" w:cs="Arial"/>
          <w:b/>
          <w:i/>
          <w:lang w:eastAsia="es-ES"/>
        </w:rPr>
        <w:t xml:space="preserve">********** </w:t>
      </w:r>
      <w:r w:rsidRPr="00902D9A">
        <w:rPr>
          <w:rFonts w:ascii="Arial" w:eastAsia="Times New Roman" w:hAnsi="Arial" w:cs="Arial"/>
          <w:b/>
          <w:i/>
          <w:lang w:eastAsia="es-ES"/>
        </w:rPr>
        <w:t>Y</w:t>
      </w:r>
      <w:r w:rsidR="00E2328E">
        <w:rPr>
          <w:rFonts w:ascii="Arial" w:eastAsia="Times New Roman" w:hAnsi="Arial" w:cs="Arial"/>
          <w:b/>
          <w:i/>
          <w:lang w:eastAsia="es-ES"/>
        </w:rPr>
        <w:t>**********</w:t>
      </w:r>
      <w:r w:rsidRPr="00902D9A">
        <w:rPr>
          <w:rFonts w:ascii="Arial" w:eastAsia="Times New Roman" w:hAnsi="Arial" w:cs="Arial"/>
          <w:i/>
          <w:lang w:eastAsia="es-ES"/>
        </w:rPr>
        <w:t>, todos de apellidos</w:t>
      </w:r>
      <w:r w:rsidR="00E2328E">
        <w:rPr>
          <w:rFonts w:ascii="Arial" w:eastAsia="Times New Roman" w:hAnsi="Arial" w:cs="Arial"/>
          <w:b/>
          <w:i/>
          <w:lang w:eastAsia="es-ES"/>
        </w:rPr>
        <w:t xml:space="preserve"> **********</w:t>
      </w:r>
      <w:r w:rsidRPr="00902D9A">
        <w:rPr>
          <w:rFonts w:ascii="Arial" w:eastAsia="Times New Roman" w:hAnsi="Arial" w:cs="Arial"/>
          <w:b/>
          <w:i/>
          <w:lang w:eastAsia="es-ES"/>
        </w:rPr>
        <w:t>.</w:t>
      </w:r>
    </w:p>
    <w:p w14:paraId="1651527E" w14:textId="77777777" w:rsidR="00902D9A" w:rsidRPr="00902D9A" w:rsidRDefault="00902D9A" w:rsidP="00902D9A">
      <w:pPr>
        <w:spacing w:before="240" w:line="360" w:lineRule="auto"/>
        <w:ind w:left="567" w:right="616"/>
        <w:jc w:val="both"/>
        <w:rPr>
          <w:rFonts w:ascii="Arial" w:eastAsia="Times New Roman" w:hAnsi="Arial" w:cs="Arial"/>
          <w:b/>
          <w:i/>
          <w:u w:val="single"/>
          <w:lang w:eastAsia="es-ES"/>
        </w:rPr>
      </w:pPr>
      <w:r w:rsidRPr="00902D9A">
        <w:rPr>
          <w:rFonts w:ascii="Arial" w:eastAsia="Times New Roman" w:hAnsi="Arial" w:cs="Arial"/>
          <w:b/>
          <w:i/>
          <w:u w:val="single"/>
          <w:lang w:eastAsia="es-ES"/>
        </w:rPr>
        <w:t>Por todo lo anterior y derivado del acuerdo tomando en sesión de cabildo no es procedente autorizar la subdivisión del referido predio.</w:t>
      </w:r>
    </w:p>
    <w:p w14:paraId="48D67713"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i/>
          <w:lang w:eastAsia="es-ES"/>
        </w:rPr>
        <w:t>Lo que hago de su conocimiento para los efectos legales que haya lugar, y si dicha determinación le causa agravios, se le dejan a salvos sus derechos para que los haga valer en la instancia correspondiente.</w:t>
      </w:r>
    </w:p>
    <w:p w14:paraId="66A302CB" w14:textId="77777777" w:rsidR="00902D9A" w:rsidRPr="00902D9A" w:rsidRDefault="00902D9A" w:rsidP="00902D9A">
      <w:pPr>
        <w:spacing w:before="240" w:line="240" w:lineRule="auto"/>
        <w:ind w:left="567" w:right="616"/>
        <w:jc w:val="center"/>
        <w:rPr>
          <w:rFonts w:ascii="Arial" w:eastAsia="Times New Roman" w:hAnsi="Arial" w:cs="Arial"/>
          <w:b/>
          <w:i/>
          <w:lang w:eastAsia="es-ES"/>
        </w:rPr>
      </w:pPr>
      <w:r w:rsidRPr="00902D9A">
        <w:rPr>
          <w:rFonts w:ascii="Arial" w:eastAsia="Times New Roman" w:hAnsi="Arial" w:cs="Arial"/>
          <w:b/>
          <w:i/>
          <w:lang w:eastAsia="es-ES"/>
        </w:rPr>
        <w:t>ATENTAMENTE</w:t>
      </w:r>
    </w:p>
    <w:p w14:paraId="16AF1F5C" w14:textId="77777777" w:rsidR="00902D9A" w:rsidRPr="00902D9A" w:rsidRDefault="00902D9A" w:rsidP="00902D9A">
      <w:pPr>
        <w:spacing w:before="240" w:line="240" w:lineRule="auto"/>
        <w:ind w:left="567" w:right="616"/>
        <w:jc w:val="center"/>
        <w:rPr>
          <w:rFonts w:ascii="Arial" w:eastAsia="Times New Roman" w:hAnsi="Arial" w:cs="Arial"/>
          <w:b/>
          <w:i/>
          <w:lang w:eastAsia="es-ES"/>
        </w:rPr>
      </w:pPr>
      <w:r w:rsidRPr="00902D9A">
        <w:rPr>
          <w:rFonts w:ascii="Arial" w:eastAsia="Times New Roman" w:hAnsi="Arial" w:cs="Arial"/>
          <w:b/>
          <w:i/>
          <w:lang w:eastAsia="es-ES"/>
        </w:rPr>
        <w:t>SUFRAGIO EFECTIVO, NO REELECCIÓN.</w:t>
      </w:r>
    </w:p>
    <w:p w14:paraId="5752B854" w14:textId="77777777" w:rsidR="00902D9A" w:rsidRPr="00902D9A" w:rsidRDefault="00902D9A" w:rsidP="00902D9A">
      <w:pPr>
        <w:spacing w:before="240" w:line="240" w:lineRule="auto"/>
        <w:ind w:left="567" w:right="616"/>
        <w:jc w:val="center"/>
        <w:rPr>
          <w:rFonts w:ascii="Arial" w:eastAsia="Times New Roman" w:hAnsi="Arial" w:cs="Arial"/>
          <w:b/>
          <w:i/>
          <w:lang w:eastAsia="es-ES"/>
        </w:rPr>
      </w:pPr>
      <w:r w:rsidRPr="00902D9A">
        <w:rPr>
          <w:rFonts w:ascii="Arial" w:eastAsia="Times New Roman" w:hAnsi="Arial" w:cs="Arial"/>
          <w:b/>
          <w:i/>
          <w:lang w:eastAsia="es-ES"/>
        </w:rPr>
        <w:t>EL RESPETO AL DERECHO AJENO ES LA PAZ.</w:t>
      </w:r>
    </w:p>
    <w:p w14:paraId="1B76594A" w14:textId="77777777" w:rsidR="00902D9A" w:rsidRPr="00902D9A" w:rsidRDefault="00902D9A" w:rsidP="00902D9A">
      <w:pPr>
        <w:spacing w:before="240" w:line="240" w:lineRule="auto"/>
        <w:ind w:left="567" w:right="616"/>
        <w:jc w:val="center"/>
        <w:rPr>
          <w:rFonts w:ascii="Arial" w:eastAsia="Times New Roman" w:hAnsi="Arial" w:cs="Arial"/>
          <w:b/>
          <w:i/>
          <w:lang w:eastAsia="es-ES"/>
        </w:rPr>
      </w:pPr>
      <w:r w:rsidRPr="00902D9A">
        <w:rPr>
          <w:rFonts w:ascii="Arial" w:eastAsia="Times New Roman" w:hAnsi="Arial" w:cs="Arial"/>
          <w:b/>
          <w:i/>
          <w:lang w:eastAsia="es-ES"/>
        </w:rPr>
        <w:t>C. GREGORIO PERALTA VASQUEZ.</w:t>
      </w:r>
    </w:p>
    <w:p w14:paraId="264C3F81" w14:textId="77777777" w:rsidR="00902D9A" w:rsidRPr="00902D9A" w:rsidRDefault="00902D9A" w:rsidP="00902D9A">
      <w:pPr>
        <w:spacing w:before="240" w:line="240" w:lineRule="auto"/>
        <w:ind w:left="567" w:right="616"/>
        <w:jc w:val="center"/>
        <w:rPr>
          <w:rFonts w:ascii="Arial" w:eastAsia="Times New Roman" w:hAnsi="Arial" w:cs="Arial"/>
          <w:b/>
          <w:i/>
          <w:lang w:eastAsia="es-ES"/>
        </w:rPr>
      </w:pPr>
      <w:r w:rsidRPr="00902D9A">
        <w:rPr>
          <w:rFonts w:ascii="Arial" w:eastAsia="Times New Roman" w:hAnsi="Arial" w:cs="Arial"/>
          <w:b/>
          <w:i/>
          <w:lang w:eastAsia="es-ES"/>
        </w:rPr>
        <w:t>PRESIDENTE MUNICIPAL.”</w:t>
      </w:r>
    </w:p>
    <w:p w14:paraId="562D069D" w14:textId="77777777" w:rsidR="00902D9A" w:rsidRPr="00902D9A" w:rsidRDefault="00902D9A" w:rsidP="00902D9A">
      <w:pPr>
        <w:widowControl w:val="0"/>
        <w:tabs>
          <w:tab w:val="left" w:pos="0"/>
        </w:tabs>
        <w:spacing w:before="240" w:after="0" w:line="360" w:lineRule="auto"/>
        <w:ind w:right="18"/>
        <w:jc w:val="both"/>
        <w:rPr>
          <w:rFonts w:ascii="Arial" w:eastAsia="Calibri" w:hAnsi="Arial" w:cs="Arial"/>
          <w:b/>
          <w:bCs/>
          <w:sz w:val="26"/>
          <w:szCs w:val="26"/>
          <w:lang w:eastAsia="es-MX"/>
        </w:rPr>
      </w:pPr>
      <w:r w:rsidRPr="00902D9A">
        <w:rPr>
          <w:rFonts w:ascii="Arial" w:eastAsia="Calibri" w:hAnsi="Arial" w:cs="Arial"/>
          <w:b/>
          <w:bCs/>
          <w:sz w:val="26"/>
          <w:szCs w:val="26"/>
          <w:lang w:eastAsia="es-MX"/>
        </w:rPr>
        <w:tab/>
      </w:r>
    </w:p>
    <w:p w14:paraId="18638B35" w14:textId="4A87CE30" w:rsidR="00902D9A" w:rsidRP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r w:rsidRPr="00902D9A">
        <w:rPr>
          <w:rFonts w:ascii="Arial" w:eastAsia="Calibri" w:hAnsi="Arial" w:cs="Arial"/>
          <w:bCs/>
          <w:sz w:val="26"/>
          <w:szCs w:val="26"/>
          <w:lang w:eastAsia="es-MX"/>
        </w:rPr>
        <w:tab/>
      </w:r>
      <w:r w:rsidR="00070480">
        <w:rPr>
          <w:rFonts w:ascii="Arial" w:eastAsia="Calibri" w:hAnsi="Arial" w:cs="Arial"/>
          <w:bCs/>
          <w:sz w:val="26"/>
          <w:szCs w:val="26"/>
          <w:lang w:eastAsia="es-MX"/>
        </w:rPr>
        <w:t xml:space="preserve">19. </w:t>
      </w:r>
      <w:r w:rsidRPr="00902D9A">
        <w:rPr>
          <w:rFonts w:ascii="Arial" w:eastAsia="Calibri" w:hAnsi="Arial" w:cs="Arial"/>
          <w:bCs/>
          <w:sz w:val="26"/>
          <w:szCs w:val="26"/>
          <w:lang w:eastAsia="es-MX"/>
        </w:rPr>
        <w:t>Del texto del acto impugnado, se advierte que la autoridad demandada fundó su determinación en los artículos 63 fracción II, III, IV, VII, IX, X, XI y XIII, inciso A, B, C, D, y F de la Ley del Notariado para el Estado de Oaxaca, 17 fracciones I y V de la Ley de Procedimiento y Justicia Administrativa para el Estado de Oaxaca, y 8 fracción XIV de la Ley del Ordenamiento Territorial y Desarrollo Urbano para el Estado de Oaxaca, que se invocan a continuación:</w:t>
      </w:r>
    </w:p>
    <w:p w14:paraId="3DE01F62" w14:textId="77777777" w:rsidR="00902D9A" w:rsidRP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p>
    <w:p w14:paraId="5A20D61B" w14:textId="77777777" w:rsidR="00902D9A" w:rsidRPr="00902D9A" w:rsidRDefault="00902D9A" w:rsidP="00902D9A">
      <w:pPr>
        <w:spacing w:before="240" w:line="360" w:lineRule="auto"/>
        <w:ind w:left="567" w:right="616"/>
        <w:jc w:val="center"/>
        <w:rPr>
          <w:rFonts w:ascii="Arial" w:eastAsia="Times New Roman" w:hAnsi="Arial" w:cs="Arial"/>
          <w:b/>
          <w:i/>
          <w:lang w:val="es-ES_tradnl" w:eastAsia="es-ES"/>
        </w:rPr>
      </w:pPr>
      <w:r w:rsidRPr="00902D9A">
        <w:rPr>
          <w:rFonts w:ascii="Arial" w:eastAsia="Times New Roman" w:hAnsi="Arial" w:cs="Arial"/>
          <w:b/>
          <w:i/>
          <w:lang w:val="es-ES_tradnl" w:eastAsia="es-ES"/>
        </w:rPr>
        <w:t>“LEY DEL NOTARIADO PARA EL ESTADO DE OAXACA.</w:t>
      </w:r>
    </w:p>
    <w:p w14:paraId="38C2AC0A"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val="es-ES_tradnl" w:eastAsia="es-ES"/>
        </w:rPr>
        <w:t xml:space="preserve">Artículo 63. </w:t>
      </w:r>
      <w:r w:rsidRPr="00902D9A">
        <w:rPr>
          <w:rFonts w:ascii="Arial" w:eastAsia="Times New Roman" w:hAnsi="Arial" w:cs="Arial"/>
          <w:i/>
          <w:lang w:eastAsia="es-ES"/>
        </w:rPr>
        <w:t>Las escrituras deberán redactarse en idioma castellano y se observarán las reglas siguientes:</w:t>
      </w:r>
    </w:p>
    <w:p w14:paraId="1F4EDA7F"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val="es-ES_tradnl" w:eastAsia="es-ES"/>
        </w:rPr>
        <w:t xml:space="preserve">II. </w:t>
      </w:r>
      <w:r w:rsidRPr="00902D9A">
        <w:rPr>
          <w:rFonts w:ascii="Arial" w:eastAsia="Times New Roman" w:hAnsi="Arial" w:cs="Arial"/>
          <w:i/>
          <w:lang w:eastAsia="es-ES"/>
        </w:rPr>
        <w:t>Consignará las declaraciones de los otorgantes, como antecedentes o preliminares y certificará haber tenido a la vista los documentos relativos que se le presenten;</w:t>
      </w:r>
    </w:p>
    <w:p w14:paraId="2F20EBF7" w14:textId="35EBC1BC"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val="es-ES_tradnl" w:eastAsia="es-ES"/>
        </w:rPr>
        <w:t xml:space="preserve">III. </w:t>
      </w:r>
      <w:r w:rsidRPr="00902D9A">
        <w:rPr>
          <w:rFonts w:ascii="Arial" w:eastAsia="Times New Roman" w:hAnsi="Arial" w:cs="Arial"/>
          <w:i/>
          <w:lang w:eastAsia="es-ES"/>
        </w:rPr>
        <w:t xml:space="preserve">A los documentos que se le presenten, relacionados con las actas que realicen, los rubricará y les pondrá su sello; si se trata de derechos sobre </w:t>
      </w:r>
      <w:r w:rsidR="007324F0">
        <w:rPr>
          <w:rFonts w:ascii="Times New Roman" w:eastAsia="Times New Roman" w:hAnsi="Times New Roman" w:cs="Times New Roman"/>
          <w:noProof/>
          <w:color w:val="000000"/>
          <w:sz w:val="24"/>
          <w:szCs w:val="24"/>
        </w:rPr>
        <w:lastRenderedPageBreak/>
        <w:drawing>
          <wp:anchor distT="0" distB="0" distL="114300" distR="114300" simplePos="0" relativeHeight="251671552" behindDoc="1" locked="0" layoutInCell="1" allowOverlap="1" wp14:anchorId="1A38F539" wp14:editId="41CF224C">
            <wp:simplePos x="0" y="0"/>
            <wp:positionH relativeFrom="leftMargin">
              <wp:posOffset>492760</wp:posOffset>
            </wp:positionH>
            <wp:positionV relativeFrom="paragraph">
              <wp:posOffset>306070</wp:posOffset>
            </wp:positionV>
            <wp:extent cx="1024255" cy="1261745"/>
            <wp:effectExtent l="0" t="0" r="4445" b="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902D9A">
        <w:rPr>
          <w:rFonts w:ascii="Arial" w:eastAsia="Times New Roman" w:hAnsi="Arial" w:cs="Arial"/>
          <w:i/>
          <w:lang w:eastAsia="es-ES"/>
        </w:rPr>
        <w:t>inmuebles, se relacionará cuando menos el último título de propiedad del bien o del derecho a que se refiere la escritura y citará los datos de su inscripción en el Registro Público de la Propiedad, o expresará que no está registrado. En caso de que los otorgantes no presenten ningún documento o declaren no tener título, deberán expresar esta circunstancia;</w:t>
      </w:r>
    </w:p>
    <w:p w14:paraId="1D09348E"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val="es-ES_tradnl" w:eastAsia="es-ES"/>
        </w:rPr>
        <w:t xml:space="preserve">IV. </w:t>
      </w:r>
      <w:r w:rsidRPr="00902D9A">
        <w:rPr>
          <w:rFonts w:ascii="Arial" w:eastAsia="Times New Roman" w:hAnsi="Arial" w:cs="Arial"/>
          <w:i/>
          <w:lang w:eastAsia="es-ES"/>
        </w:rPr>
        <w:t>Al citar el nombre de un Notario de número o Juez receptor, ante cuya fe se haya pasado algún instrumento, se mencionará el nombre del Notario, su número o el Juez de que se trate y la fecha en que se haya otorgado el instrumento;</w:t>
      </w:r>
    </w:p>
    <w:p w14:paraId="0531EC8D" w14:textId="77777777" w:rsidR="00902D9A" w:rsidRPr="00902D9A" w:rsidRDefault="00902D9A" w:rsidP="00902D9A">
      <w:pPr>
        <w:spacing w:before="240" w:line="360" w:lineRule="auto"/>
        <w:ind w:left="567" w:right="616"/>
        <w:jc w:val="both"/>
        <w:rPr>
          <w:rFonts w:ascii="Arial" w:eastAsia="Times New Roman" w:hAnsi="Arial" w:cs="Arial"/>
          <w:b/>
          <w:i/>
          <w:lang w:val="es-ES_tradnl" w:eastAsia="es-ES"/>
        </w:rPr>
      </w:pPr>
      <w:r w:rsidRPr="00902D9A">
        <w:rPr>
          <w:rFonts w:ascii="Arial" w:eastAsia="Times New Roman" w:hAnsi="Arial" w:cs="Arial"/>
          <w:b/>
          <w:i/>
          <w:lang w:val="es-ES_tradnl" w:eastAsia="es-ES"/>
        </w:rPr>
        <w:t xml:space="preserve">VII. </w:t>
      </w:r>
      <w:r w:rsidRPr="00902D9A">
        <w:rPr>
          <w:rFonts w:ascii="Arial" w:eastAsia="Times New Roman" w:hAnsi="Arial" w:cs="Arial"/>
          <w:i/>
          <w:lang w:eastAsia="es-ES"/>
        </w:rPr>
        <w:t>Determinará las renuncias de derechos y acciones o de leyes que hagan los contratantes válidamente, señalando los preceptos legales renunciados;</w:t>
      </w:r>
    </w:p>
    <w:p w14:paraId="674CA334" w14:textId="77777777" w:rsidR="00902D9A" w:rsidRPr="00902D9A" w:rsidRDefault="00902D9A" w:rsidP="00902D9A">
      <w:pPr>
        <w:spacing w:before="240" w:line="360" w:lineRule="auto"/>
        <w:ind w:left="567" w:right="616"/>
        <w:jc w:val="both"/>
        <w:rPr>
          <w:rFonts w:ascii="Arial" w:eastAsia="Times New Roman" w:hAnsi="Arial" w:cs="Arial"/>
          <w:b/>
          <w:i/>
          <w:lang w:val="es-ES_tradnl" w:eastAsia="es-ES"/>
        </w:rPr>
      </w:pPr>
      <w:r w:rsidRPr="00902D9A">
        <w:rPr>
          <w:rFonts w:ascii="Arial" w:eastAsia="Times New Roman" w:hAnsi="Arial" w:cs="Arial"/>
          <w:b/>
          <w:i/>
          <w:lang w:val="es-ES_tradnl" w:eastAsia="es-ES"/>
        </w:rPr>
        <w:t>IX.</w:t>
      </w:r>
      <w:r w:rsidRPr="00902D9A">
        <w:rPr>
          <w:rFonts w:eastAsiaTheme="minorEastAsia"/>
          <w:lang w:eastAsia="es-MX"/>
        </w:rPr>
        <w:t xml:space="preserve"> </w:t>
      </w:r>
      <w:r w:rsidRPr="00902D9A">
        <w:rPr>
          <w:rFonts w:ascii="Arial" w:eastAsia="Times New Roman" w:hAnsi="Arial" w:cs="Arial"/>
          <w:i/>
          <w:lang w:eastAsia="es-ES"/>
        </w:rPr>
        <w:t>Hará constar en que forma le fue acreditada la personalidad de los otorgantes o de quien comparezca en representación de otro, relacionando los documentos respectivos e insertando la parte conducente, o bien agregando copias al apéndice y al testimonio o testimonios y haciendo mención de ellos en el instrumento;</w:t>
      </w:r>
    </w:p>
    <w:p w14:paraId="021DF4C3" w14:textId="77777777" w:rsidR="00902D9A" w:rsidRPr="00902D9A" w:rsidRDefault="00902D9A" w:rsidP="00902D9A">
      <w:pPr>
        <w:spacing w:before="240" w:line="360" w:lineRule="auto"/>
        <w:ind w:left="567" w:right="616"/>
        <w:jc w:val="both"/>
        <w:rPr>
          <w:rFonts w:ascii="Arial" w:eastAsia="Times New Roman" w:hAnsi="Arial" w:cs="Arial"/>
          <w:b/>
          <w:i/>
          <w:lang w:val="es-ES_tradnl" w:eastAsia="es-ES"/>
        </w:rPr>
      </w:pPr>
      <w:r w:rsidRPr="00902D9A">
        <w:rPr>
          <w:rFonts w:ascii="Arial" w:eastAsia="Times New Roman" w:hAnsi="Arial" w:cs="Arial"/>
          <w:b/>
          <w:i/>
          <w:lang w:val="es-ES_tradnl" w:eastAsia="es-ES"/>
        </w:rPr>
        <w:t xml:space="preserve">X. </w:t>
      </w:r>
      <w:r w:rsidRPr="00902D9A">
        <w:rPr>
          <w:rFonts w:eastAsiaTheme="minorEastAsia"/>
          <w:lang w:eastAsia="es-MX"/>
        </w:rPr>
        <w:t>-</w:t>
      </w:r>
      <w:r w:rsidRPr="00902D9A">
        <w:rPr>
          <w:rFonts w:ascii="Arial" w:eastAsiaTheme="minorEastAsia" w:hAnsi="Arial" w:cs="Arial"/>
          <w:i/>
          <w:lang w:eastAsia="es-MX"/>
        </w:rPr>
        <w:t>Al agregar al apéndice cualquier documento, expresará el número del legajo y la letra que distinga un documento de otro;</w:t>
      </w:r>
    </w:p>
    <w:p w14:paraId="52437B69" w14:textId="77777777" w:rsidR="00902D9A" w:rsidRPr="00902D9A" w:rsidRDefault="00902D9A" w:rsidP="00902D9A">
      <w:pPr>
        <w:spacing w:before="240" w:line="360" w:lineRule="auto"/>
        <w:ind w:left="567" w:right="616"/>
        <w:jc w:val="both"/>
        <w:rPr>
          <w:rFonts w:ascii="Arial" w:eastAsia="Times New Roman" w:hAnsi="Arial" w:cs="Arial"/>
          <w:b/>
          <w:i/>
          <w:lang w:val="es-ES_tradnl" w:eastAsia="es-ES"/>
        </w:rPr>
      </w:pPr>
      <w:r w:rsidRPr="00902D9A">
        <w:rPr>
          <w:rFonts w:ascii="Arial" w:eastAsia="Times New Roman" w:hAnsi="Arial" w:cs="Arial"/>
          <w:b/>
          <w:i/>
          <w:lang w:val="es-ES_tradnl" w:eastAsia="es-ES"/>
        </w:rPr>
        <w:t xml:space="preserve">XI. </w:t>
      </w:r>
      <w:r w:rsidRPr="00902D9A">
        <w:rPr>
          <w:rFonts w:ascii="Arial" w:eastAsia="Times New Roman" w:hAnsi="Arial" w:cs="Arial"/>
          <w:b/>
          <w:i/>
          <w:lang w:eastAsia="es-ES"/>
        </w:rPr>
        <w:t xml:space="preserve"> </w:t>
      </w:r>
      <w:r w:rsidRPr="00902D9A">
        <w:rPr>
          <w:rFonts w:ascii="Arial" w:eastAsia="Times New Roman" w:hAnsi="Arial" w:cs="Arial"/>
          <w:i/>
          <w:lang w:eastAsia="es-ES"/>
        </w:rPr>
        <w:t>Certificará haber tenido a la vista los documentos presentados por los interesados;</w:t>
      </w:r>
    </w:p>
    <w:p w14:paraId="01E24930"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val="es-ES_tradnl" w:eastAsia="es-ES"/>
        </w:rPr>
        <w:t xml:space="preserve">XIII. </w:t>
      </w:r>
      <w:r w:rsidRPr="00902D9A">
        <w:rPr>
          <w:rFonts w:ascii="Arial" w:eastAsia="Times New Roman" w:hAnsi="Arial" w:cs="Arial"/>
          <w:i/>
          <w:lang w:eastAsia="es-ES"/>
        </w:rPr>
        <w:t>El Notario hará constar, bajo su fe:</w:t>
      </w:r>
    </w:p>
    <w:p w14:paraId="611E58FA"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i/>
          <w:lang w:eastAsia="es-ES"/>
        </w:rPr>
        <w:t xml:space="preserve"> </w:t>
      </w:r>
      <w:r w:rsidRPr="00902D9A">
        <w:rPr>
          <w:rFonts w:ascii="Arial" w:eastAsia="Times New Roman" w:hAnsi="Arial" w:cs="Arial"/>
          <w:b/>
          <w:i/>
          <w:lang w:eastAsia="es-ES"/>
        </w:rPr>
        <w:t>A)</w:t>
      </w:r>
      <w:r w:rsidRPr="00902D9A">
        <w:rPr>
          <w:rFonts w:ascii="Arial" w:eastAsia="Times New Roman" w:hAnsi="Arial" w:cs="Arial"/>
          <w:i/>
          <w:lang w:eastAsia="es-ES"/>
        </w:rPr>
        <w:t xml:space="preserve">. - Que conoce a los otorgantes y que a su juicio tienen capacidad legal para la celebración del acto de que se trate. </w:t>
      </w:r>
    </w:p>
    <w:p w14:paraId="644864E8"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eastAsia="es-ES"/>
        </w:rPr>
        <w:t>B)</w:t>
      </w:r>
      <w:r w:rsidRPr="00902D9A">
        <w:rPr>
          <w:rFonts w:ascii="Arial" w:eastAsia="Times New Roman" w:hAnsi="Arial" w:cs="Arial"/>
          <w:i/>
          <w:lang w:eastAsia="es-ES"/>
        </w:rPr>
        <w:t xml:space="preserve">. - Que leyó la escritura a los otorgantes, a los testigos e intérpretes, cuando haya o que la leyeron por sí mismo. </w:t>
      </w:r>
    </w:p>
    <w:p w14:paraId="48541350"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eastAsia="es-ES"/>
        </w:rPr>
        <w:t>C)</w:t>
      </w:r>
      <w:r w:rsidRPr="00902D9A">
        <w:rPr>
          <w:rFonts w:ascii="Arial" w:eastAsia="Times New Roman" w:hAnsi="Arial" w:cs="Arial"/>
          <w:i/>
          <w:lang w:eastAsia="es-ES"/>
        </w:rPr>
        <w:t xml:space="preserve">. - Que explicó a los otorgantes el valor y las consecuencias legales de la escritura cuando proceda. </w:t>
      </w:r>
    </w:p>
    <w:p w14:paraId="5C75C7A4"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eastAsia="es-ES"/>
        </w:rPr>
        <w:t>D).</w:t>
      </w:r>
      <w:r w:rsidRPr="00902D9A">
        <w:rPr>
          <w:rFonts w:ascii="Arial" w:eastAsia="Times New Roman" w:hAnsi="Arial" w:cs="Arial"/>
          <w:i/>
          <w:lang w:eastAsia="es-ES"/>
        </w:rPr>
        <w:t xml:space="preserve"> - Que los otorgantes manifestaron ante su presencia, su conformidad con la escritura y la firmaron; o que no la firmaron por manifestar que no pueden o no saben hacerlo; en cuyo caso, estamparán la huella digital de su pulgar derecho o en su defecto, de algún otro dedo, lo que hará constar, en este último caso firmará por el otorgante que no pueda hacerlo la persona por ella elegida. </w:t>
      </w:r>
    </w:p>
    <w:p w14:paraId="2D78C7C7"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eastAsia="es-ES"/>
        </w:rPr>
        <w:t>E).</w:t>
      </w:r>
      <w:r w:rsidRPr="00902D9A">
        <w:rPr>
          <w:rFonts w:ascii="Arial" w:eastAsia="Times New Roman" w:hAnsi="Arial" w:cs="Arial"/>
          <w:i/>
          <w:lang w:eastAsia="es-ES"/>
        </w:rPr>
        <w:t xml:space="preserve"> - Los hechos que presencia y que sean integrantes del acto que autorice.</w:t>
      </w:r>
    </w:p>
    <w:p w14:paraId="0D94F809" w14:textId="506F0796" w:rsidR="00902D9A" w:rsidRPr="00902D9A" w:rsidRDefault="00902D9A" w:rsidP="00902D9A">
      <w:pPr>
        <w:spacing w:before="240" w:line="360" w:lineRule="auto"/>
        <w:ind w:left="567" w:right="616"/>
        <w:jc w:val="both"/>
        <w:rPr>
          <w:rFonts w:ascii="Arial" w:eastAsia="Times New Roman" w:hAnsi="Arial" w:cs="Arial"/>
          <w:i/>
          <w:lang w:val="es-ES_tradnl" w:eastAsia="es-ES"/>
        </w:rPr>
      </w:pPr>
      <w:r w:rsidRPr="00902D9A">
        <w:rPr>
          <w:rFonts w:ascii="Arial" w:eastAsia="Times New Roman" w:hAnsi="Arial" w:cs="Arial"/>
          <w:b/>
          <w:i/>
          <w:lang w:eastAsia="es-ES"/>
        </w:rPr>
        <w:t xml:space="preserve"> F). -</w:t>
      </w:r>
      <w:r w:rsidRPr="00902D9A">
        <w:rPr>
          <w:rFonts w:ascii="Arial" w:eastAsia="Times New Roman" w:hAnsi="Arial" w:cs="Arial"/>
          <w:i/>
          <w:lang w:eastAsia="es-ES"/>
        </w:rPr>
        <w:t xml:space="preserve"> Que los comparecientes a su juicio gozan de capacidad natural y legal; o se asegurará de esta circunstancia por medio de dos testigos o por medio de los documentos que le presenten y que a su juicio acrediten su identidad y capacidad, haciéndolo constar así. Si no hubiere testigos de conocimiento, o éstos carecieran de los requisitos legales para testificar o no se present</w:t>
      </w:r>
      <w:r w:rsidR="00070480">
        <w:rPr>
          <w:rFonts w:ascii="Arial" w:eastAsia="Times New Roman" w:hAnsi="Arial" w:cs="Arial"/>
          <w:i/>
          <w:lang w:eastAsia="es-ES"/>
        </w:rPr>
        <w:t>a</w:t>
      </w:r>
      <w:r w:rsidRPr="00902D9A">
        <w:rPr>
          <w:rFonts w:ascii="Arial" w:eastAsia="Times New Roman" w:hAnsi="Arial" w:cs="Arial"/>
          <w:i/>
          <w:lang w:eastAsia="es-ES"/>
        </w:rPr>
        <w:t xml:space="preserve">ren </w:t>
      </w:r>
      <w:r w:rsidRPr="00902D9A">
        <w:rPr>
          <w:rFonts w:ascii="Arial" w:eastAsia="Times New Roman" w:hAnsi="Arial" w:cs="Arial"/>
          <w:i/>
          <w:lang w:eastAsia="es-ES"/>
        </w:rPr>
        <w:lastRenderedPageBreak/>
        <w:t xml:space="preserve">documentos que acrediten la identidad de los otorgantes, no se otorgará la </w:t>
      </w:r>
      <w:r w:rsidR="007324F0">
        <w:rPr>
          <w:rFonts w:ascii="Times New Roman" w:eastAsia="Times New Roman" w:hAnsi="Times New Roman" w:cs="Times New Roman"/>
          <w:noProof/>
          <w:color w:val="000000"/>
          <w:sz w:val="24"/>
          <w:szCs w:val="24"/>
        </w:rPr>
        <w:drawing>
          <wp:anchor distT="0" distB="0" distL="114300" distR="114300" simplePos="0" relativeHeight="251673600" behindDoc="1" locked="0" layoutInCell="1" allowOverlap="1" wp14:anchorId="21EBDDCE" wp14:editId="6ACDD3F2">
            <wp:simplePos x="0" y="0"/>
            <wp:positionH relativeFrom="leftMargin">
              <wp:posOffset>6068695</wp:posOffset>
            </wp:positionH>
            <wp:positionV relativeFrom="paragraph">
              <wp:posOffset>372745</wp:posOffset>
            </wp:positionV>
            <wp:extent cx="1024255" cy="1261745"/>
            <wp:effectExtent l="0" t="0" r="4445" b="0"/>
            <wp:wrapNone/>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902D9A">
        <w:rPr>
          <w:rFonts w:ascii="Arial" w:eastAsia="Times New Roman" w:hAnsi="Arial" w:cs="Arial"/>
          <w:i/>
          <w:lang w:eastAsia="es-ES"/>
        </w:rPr>
        <w:t>escritura, sino en caso grave o urgente, expresando la razón de ello; ésta será válida, y tendrá fuerza el testimonio que de la misma se expida, si después se comprobaré la identidad del otorgante. Para que el Notario dé fe de conocimiento a los que intervienen y de que no tienen incapacidad, bastará que sepa sus nombres y apellidos, que no observe en ellos manifestaciones patentes de incapacidad natural y que no tenga noticias de que estén sujetos a incapacidad legal. Cuando los contratantes comparezcan por medio de un apoderado o de representante, éstos deberán declarar sobre la capacidad legal de sus representados y que las facultades con que comparece no les han sido revocadas o limitadas.</w:t>
      </w:r>
    </w:p>
    <w:p w14:paraId="26FC2379" w14:textId="77777777" w:rsidR="00902D9A" w:rsidRPr="00902D9A" w:rsidRDefault="00902D9A" w:rsidP="00902D9A">
      <w:pPr>
        <w:spacing w:before="240" w:line="360" w:lineRule="auto"/>
        <w:ind w:left="567" w:right="616"/>
        <w:jc w:val="center"/>
        <w:rPr>
          <w:rFonts w:ascii="Arial" w:eastAsia="Times New Roman" w:hAnsi="Arial" w:cs="Arial"/>
          <w:b/>
          <w:i/>
          <w:lang w:val="es-ES_tradnl" w:eastAsia="es-ES"/>
        </w:rPr>
      </w:pPr>
      <w:r w:rsidRPr="00902D9A">
        <w:rPr>
          <w:rFonts w:ascii="Arial" w:eastAsia="Times New Roman" w:hAnsi="Arial" w:cs="Arial"/>
          <w:b/>
          <w:i/>
          <w:lang w:val="es-ES_tradnl" w:eastAsia="es-ES"/>
        </w:rPr>
        <w:t>LEY DE PROCEDIMIENTO Y JUSTICIA ADMINISTRATIVA PARA EL ESTADO DE OAXACA.</w:t>
      </w:r>
    </w:p>
    <w:p w14:paraId="31E9A742"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val="es-ES_tradnl" w:eastAsia="es-ES"/>
        </w:rPr>
        <w:t xml:space="preserve">Artículo 17. </w:t>
      </w:r>
      <w:r w:rsidRPr="00902D9A">
        <w:rPr>
          <w:rFonts w:ascii="Arial" w:eastAsia="Times New Roman" w:hAnsi="Arial" w:cs="Arial"/>
          <w:i/>
          <w:lang w:eastAsia="es-ES"/>
        </w:rPr>
        <w:t>Son elementos y requisitos de validez del acto administrativo:</w:t>
      </w:r>
    </w:p>
    <w:p w14:paraId="6BC261B2"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eastAsia="es-ES"/>
        </w:rPr>
        <w:t>I.</w:t>
      </w:r>
      <w:r w:rsidRPr="00902D9A">
        <w:rPr>
          <w:rFonts w:ascii="Arial" w:eastAsiaTheme="minorEastAsia" w:hAnsi="Arial" w:cs="Arial"/>
          <w:color w:val="000000"/>
          <w:lang w:eastAsia="es-MX"/>
        </w:rPr>
        <w:t xml:space="preserve"> </w:t>
      </w:r>
      <w:r w:rsidRPr="00902D9A">
        <w:rPr>
          <w:rFonts w:ascii="Arial" w:eastAsia="Times New Roman" w:hAnsi="Arial" w:cs="Arial"/>
          <w:i/>
          <w:lang w:eastAsia="es-ES"/>
        </w:rPr>
        <w:t>Ser expedido por órgano competente, a través de servidor público, y en caso de que dicho órgano fuere colegiado, reúna las formalidades de la ley o decreto en que se funde para emitirlo;</w:t>
      </w:r>
    </w:p>
    <w:p w14:paraId="1B2AD7E3" w14:textId="77777777" w:rsidR="00902D9A" w:rsidRPr="00902D9A" w:rsidRDefault="00902D9A" w:rsidP="00902D9A">
      <w:pPr>
        <w:spacing w:before="240" w:line="360" w:lineRule="auto"/>
        <w:ind w:left="567" w:right="616"/>
        <w:jc w:val="both"/>
        <w:rPr>
          <w:rFonts w:ascii="Arial" w:eastAsia="Times New Roman" w:hAnsi="Arial" w:cs="Arial"/>
          <w:i/>
          <w:lang w:eastAsia="es-ES"/>
        </w:rPr>
      </w:pPr>
      <w:r w:rsidRPr="00902D9A">
        <w:rPr>
          <w:rFonts w:ascii="Arial" w:eastAsia="Times New Roman" w:hAnsi="Arial" w:cs="Arial"/>
          <w:b/>
          <w:i/>
          <w:lang w:eastAsia="es-ES"/>
        </w:rPr>
        <w:t>V.</w:t>
      </w:r>
      <w:r w:rsidRPr="00902D9A">
        <w:rPr>
          <w:rFonts w:ascii="Arial" w:eastAsia="Times New Roman" w:hAnsi="Arial" w:cs="Arial"/>
          <w:i/>
          <w:lang w:eastAsia="es-ES"/>
        </w:rPr>
        <w:t xml:space="preserve"> Estar fundado y motivado;</w:t>
      </w:r>
    </w:p>
    <w:p w14:paraId="55A8DA6F" w14:textId="77777777" w:rsidR="00902D9A" w:rsidRPr="00902D9A" w:rsidRDefault="00902D9A" w:rsidP="00902D9A">
      <w:pPr>
        <w:spacing w:before="240" w:line="360" w:lineRule="auto"/>
        <w:ind w:left="567" w:right="616"/>
        <w:jc w:val="center"/>
        <w:rPr>
          <w:rFonts w:ascii="Arial" w:eastAsia="Times New Roman" w:hAnsi="Arial" w:cs="Arial"/>
          <w:b/>
          <w:bCs/>
          <w:i/>
          <w:lang w:eastAsia="es-ES"/>
        </w:rPr>
      </w:pPr>
      <w:r w:rsidRPr="00902D9A">
        <w:rPr>
          <w:rFonts w:ascii="Arial" w:eastAsia="Times New Roman" w:hAnsi="Arial" w:cs="Arial"/>
          <w:b/>
          <w:bCs/>
          <w:i/>
          <w:lang w:eastAsia="es-ES"/>
        </w:rPr>
        <w:t>LEY DEL ORDENAMIENTO TERRITORIAL Y DESARROLLO URBANO PARA EL ESTADO DE OAXACA.</w:t>
      </w:r>
    </w:p>
    <w:p w14:paraId="49D0AC4A" w14:textId="77777777" w:rsidR="00902D9A" w:rsidRPr="00902D9A" w:rsidRDefault="00902D9A" w:rsidP="00902D9A">
      <w:pPr>
        <w:spacing w:before="240" w:line="360" w:lineRule="auto"/>
        <w:ind w:left="567" w:right="616"/>
        <w:jc w:val="both"/>
        <w:rPr>
          <w:rFonts w:ascii="Arial" w:eastAsia="Times New Roman" w:hAnsi="Arial" w:cs="Arial"/>
          <w:bCs/>
          <w:i/>
          <w:lang w:eastAsia="es-ES"/>
        </w:rPr>
      </w:pPr>
      <w:r w:rsidRPr="00902D9A">
        <w:rPr>
          <w:rFonts w:ascii="Arial" w:eastAsia="Times New Roman" w:hAnsi="Arial" w:cs="Arial"/>
          <w:b/>
          <w:bCs/>
          <w:i/>
          <w:lang w:eastAsia="es-ES"/>
        </w:rPr>
        <w:t xml:space="preserve">Artículo 8. </w:t>
      </w:r>
      <w:r w:rsidRPr="00902D9A">
        <w:rPr>
          <w:rFonts w:ascii="Arial" w:eastAsia="Times New Roman" w:hAnsi="Arial" w:cs="Arial"/>
          <w:bCs/>
          <w:i/>
          <w:lang w:eastAsia="es-ES"/>
        </w:rPr>
        <w:t>Los municipios del Estado, tendrán en materia de Ordenamiento territorial y de Desarrollo urbano, las facultades y obligaciones siguientes:</w:t>
      </w:r>
    </w:p>
    <w:p w14:paraId="656E7629" w14:textId="77777777" w:rsidR="00902D9A" w:rsidRPr="00902D9A" w:rsidRDefault="00902D9A" w:rsidP="00902D9A">
      <w:pPr>
        <w:spacing w:before="240" w:line="360" w:lineRule="auto"/>
        <w:ind w:left="567" w:right="616"/>
        <w:jc w:val="both"/>
        <w:rPr>
          <w:rFonts w:ascii="Arial" w:eastAsia="Times New Roman" w:hAnsi="Arial" w:cs="Arial"/>
          <w:b/>
          <w:bCs/>
          <w:i/>
          <w:lang w:eastAsia="es-ES"/>
        </w:rPr>
      </w:pPr>
      <w:r w:rsidRPr="00902D9A">
        <w:rPr>
          <w:rFonts w:ascii="Arial" w:eastAsia="Times New Roman" w:hAnsi="Arial" w:cs="Arial"/>
          <w:b/>
          <w:bCs/>
          <w:i/>
          <w:lang w:eastAsia="es-ES"/>
        </w:rPr>
        <w:t>XIV.</w:t>
      </w:r>
      <w:r w:rsidRPr="00902D9A">
        <w:rPr>
          <w:rFonts w:eastAsiaTheme="minorEastAsia"/>
          <w:lang w:eastAsia="es-MX"/>
        </w:rPr>
        <w:t xml:space="preserve"> </w:t>
      </w:r>
      <w:r w:rsidRPr="00902D9A">
        <w:rPr>
          <w:rFonts w:ascii="Arial" w:eastAsia="Times New Roman" w:hAnsi="Arial" w:cs="Arial"/>
          <w:bCs/>
          <w:i/>
          <w:lang w:eastAsia="es-ES"/>
        </w:rPr>
        <w:t xml:space="preserve">Otorgar o negar las autorizaciones y licencias de construcción, condominios, conjuntos, fraccionamientos, subdivisiones, fusiones y </w:t>
      </w:r>
      <w:proofErr w:type="spellStart"/>
      <w:r w:rsidRPr="00902D9A">
        <w:rPr>
          <w:rFonts w:ascii="Arial" w:eastAsia="Times New Roman" w:hAnsi="Arial" w:cs="Arial"/>
          <w:bCs/>
          <w:i/>
          <w:lang w:eastAsia="es-ES"/>
        </w:rPr>
        <w:t>relotificaciones</w:t>
      </w:r>
      <w:proofErr w:type="spellEnd"/>
      <w:r w:rsidRPr="00902D9A">
        <w:rPr>
          <w:rFonts w:ascii="Arial" w:eastAsia="Times New Roman" w:hAnsi="Arial" w:cs="Arial"/>
          <w:bCs/>
          <w:i/>
          <w:lang w:eastAsia="es-ES"/>
        </w:rPr>
        <w:t>, de acuerdo con lo previsto por la presente Ley, su reglamentación respectiva y los Programas de ordenamiento territorial y de desarrollo urbano vigentes;”</w:t>
      </w:r>
    </w:p>
    <w:p w14:paraId="59B7F695" w14:textId="41C0C85E" w:rsidR="00902D9A" w:rsidRP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r w:rsidRPr="00902D9A">
        <w:rPr>
          <w:rFonts w:ascii="Arial" w:eastAsia="Calibri" w:hAnsi="Arial" w:cs="Arial"/>
          <w:bCs/>
          <w:sz w:val="26"/>
          <w:szCs w:val="26"/>
          <w:lang w:eastAsia="es-MX"/>
        </w:rPr>
        <w:tab/>
      </w:r>
      <w:r w:rsidR="00070480">
        <w:rPr>
          <w:rFonts w:ascii="Arial" w:eastAsia="Calibri" w:hAnsi="Arial" w:cs="Arial"/>
          <w:bCs/>
          <w:sz w:val="26"/>
          <w:szCs w:val="26"/>
          <w:lang w:eastAsia="es-MX"/>
        </w:rPr>
        <w:t xml:space="preserve">20. </w:t>
      </w:r>
      <w:r w:rsidRPr="00902D9A">
        <w:rPr>
          <w:rFonts w:ascii="Arial" w:eastAsia="Calibri" w:hAnsi="Arial" w:cs="Arial"/>
          <w:bCs/>
          <w:sz w:val="26"/>
          <w:szCs w:val="26"/>
          <w:lang w:eastAsia="es-MX"/>
        </w:rPr>
        <w:t xml:space="preserve">De los numerales invocados, se identifica que el Presidente Municipal fundó sus atribuciones para negar el permiso de subdivisión en el artículo 8 fracción XIV de la Ley del Ordenamiento Territorial y Desarrollo Urbano para el Estado de Oaxaca, precepto </w:t>
      </w:r>
      <w:r w:rsidR="00070480">
        <w:rPr>
          <w:rFonts w:ascii="Arial" w:eastAsia="Calibri" w:hAnsi="Arial" w:cs="Arial"/>
          <w:bCs/>
          <w:sz w:val="26"/>
          <w:szCs w:val="26"/>
          <w:lang w:eastAsia="es-MX"/>
        </w:rPr>
        <w:t xml:space="preserve">que </w:t>
      </w:r>
      <w:r w:rsidRPr="00902D9A">
        <w:rPr>
          <w:rFonts w:ascii="Arial" w:eastAsia="Calibri" w:hAnsi="Arial" w:cs="Arial"/>
          <w:bCs/>
          <w:sz w:val="26"/>
          <w:szCs w:val="26"/>
          <w:lang w:eastAsia="es-MX"/>
        </w:rPr>
        <w:t xml:space="preserve">se refiere a las atribuciones de los municipios en materia de desarrollo urbano, mas no a una facultad que precisamente le corresponda ejercer al Presidente Municipal, por lo tanto, esta autoridad debió haber citado el fundamento legal que le otorga las atribuciones para negar el permiso de subdivisión que le fue solicitado por la actora, lo que no hizo, aunado a que se observa que </w:t>
      </w:r>
      <w:r w:rsidR="00070480" w:rsidRPr="00902D9A">
        <w:rPr>
          <w:rFonts w:ascii="Arial" w:eastAsia="Calibri" w:hAnsi="Arial" w:cs="Arial"/>
          <w:bCs/>
          <w:sz w:val="26"/>
          <w:szCs w:val="26"/>
          <w:lang w:eastAsia="es-MX"/>
        </w:rPr>
        <w:t>la demandada</w:t>
      </w:r>
      <w:r w:rsidR="00070480" w:rsidRPr="00070480">
        <w:rPr>
          <w:rFonts w:ascii="Arial" w:eastAsia="Calibri" w:hAnsi="Arial" w:cs="Arial"/>
          <w:bCs/>
          <w:sz w:val="26"/>
          <w:szCs w:val="26"/>
          <w:lang w:eastAsia="es-MX"/>
        </w:rPr>
        <w:t xml:space="preserve"> </w:t>
      </w:r>
      <w:r w:rsidR="00070480" w:rsidRPr="00902D9A">
        <w:rPr>
          <w:rFonts w:ascii="Arial" w:eastAsia="Calibri" w:hAnsi="Arial" w:cs="Arial"/>
          <w:bCs/>
          <w:sz w:val="26"/>
          <w:szCs w:val="26"/>
          <w:lang w:eastAsia="es-MX"/>
        </w:rPr>
        <w:t>se apoyó</w:t>
      </w:r>
      <w:r w:rsidR="00070480">
        <w:rPr>
          <w:rFonts w:ascii="Arial" w:eastAsia="Calibri" w:hAnsi="Arial" w:cs="Arial"/>
          <w:bCs/>
          <w:sz w:val="26"/>
          <w:szCs w:val="26"/>
          <w:lang w:eastAsia="es-MX"/>
        </w:rPr>
        <w:t xml:space="preserve"> </w:t>
      </w:r>
      <w:r w:rsidRPr="00902D9A">
        <w:rPr>
          <w:rFonts w:ascii="Arial" w:eastAsia="Calibri" w:hAnsi="Arial" w:cs="Arial"/>
          <w:bCs/>
          <w:sz w:val="26"/>
          <w:szCs w:val="26"/>
          <w:lang w:eastAsia="es-MX"/>
        </w:rPr>
        <w:t xml:space="preserve">en el mismo numeral en comento, para motivar la razón por la cual negó la autorización de la subdivisión del predio, consistente en que la peticionaria no acreditó que contara con la respectiva escritura pública, en el mismo </w:t>
      </w:r>
      <w:r w:rsidRPr="00902D9A">
        <w:rPr>
          <w:rFonts w:ascii="Arial" w:eastAsia="Calibri" w:hAnsi="Arial" w:cs="Arial"/>
          <w:bCs/>
          <w:sz w:val="26"/>
          <w:szCs w:val="26"/>
          <w:lang w:eastAsia="es-MX"/>
        </w:rPr>
        <w:lastRenderedPageBreak/>
        <w:t xml:space="preserve">precepto legal mencionado, lo cual es incongruente porque este numeral no </w:t>
      </w:r>
      <w:r w:rsidR="007324F0">
        <w:rPr>
          <w:rFonts w:ascii="Times New Roman" w:eastAsia="Times New Roman" w:hAnsi="Times New Roman" w:cs="Times New Roman"/>
          <w:noProof/>
          <w:color w:val="000000"/>
          <w:sz w:val="24"/>
          <w:szCs w:val="24"/>
        </w:rPr>
        <w:drawing>
          <wp:anchor distT="0" distB="0" distL="114300" distR="114300" simplePos="0" relativeHeight="251675648" behindDoc="1" locked="0" layoutInCell="1" allowOverlap="1" wp14:anchorId="306A7AF8" wp14:editId="4E1B74AD">
            <wp:simplePos x="0" y="0"/>
            <wp:positionH relativeFrom="leftMargin">
              <wp:posOffset>359410</wp:posOffset>
            </wp:positionH>
            <wp:positionV relativeFrom="paragraph">
              <wp:posOffset>513080</wp:posOffset>
            </wp:positionV>
            <wp:extent cx="1024255" cy="1261745"/>
            <wp:effectExtent l="0" t="0" r="4445" b="0"/>
            <wp:wrapNone/>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902D9A">
        <w:rPr>
          <w:rFonts w:ascii="Arial" w:eastAsia="Calibri" w:hAnsi="Arial" w:cs="Arial"/>
          <w:bCs/>
          <w:sz w:val="26"/>
          <w:szCs w:val="26"/>
          <w:lang w:eastAsia="es-MX"/>
        </w:rPr>
        <w:t xml:space="preserve">prevé qué requisitos deben presentarse para tramitar ese permiso. </w:t>
      </w:r>
    </w:p>
    <w:p w14:paraId="017B9D5B" w14:textId="49107F4A" w:rsidR="00902D9A" w:rsidRP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r w:rsidRPr="00902D9A">
        <w:rPr>
          <w:rFonts w:ascii="Arial" w:eastAsia="Calibri" w:hAnsi="Arial" w:cs="Arial"/>
          <w:bCs/>
          <w:sz w:val="26"/>
          <w:szCs w:val="26"/>
          <w:lang w:eastAsia="es-MX"/>
        </w:rPr>
        <w:tab/>
      </w:r>
      <w:r w:rsidR="00070480">
        <w:rPr>
          <w:rFonts w:ascii="Arial" w:eastAsia="Calibri" w:hAnsi="Arial" w:cs="Arial"/>
          <w:bCs/>
          <w:sz w:val="26"/>
          <w:szCs w:val="26"/>
          <w:lang w:eastAsia="es-MX"/>
        </w:rPr>
        <w:t xml:space="preserve">21. </w:t>
      </w:r>
      <w:r w:rsidRPr="00902D9A">
        <w:rPr>
          <w:rFonts w:ascii="Arial" w:eastAsia="Calibri" w:hAnsi="Arial" w:cs="Arial"/>
          <w:bCs/>
          <w:sz w:val="26"/>
          <w:szCs w:val="26"/>
          <w:lang w:eastAsia="es-MX"/>
        </w:rPr>
        <w:t xml:space="preserve">A mayor abundamiento, </w:t>
      </w:r>
      <w:r w:rsidR="00070480">
        <w:rPr>
          <w:rFonts w:ascii="Arial" w:eastAsia="Calibri" w:hAnsi="Arial" w:cs="Arial"/>
          <w:bCs/>
          <w:sz w:val="26"/>
          <w:szCs w:val="26"/>
          <w:lang w:eastAsia="es-MX"/>
        </w:rPr>
        <w:t>cabe mencionar</w:t>
      </w:r>
      <w:r w:rsidRPr="00902D9A">
        <w:rPr>
          <w:rFonts w:ascii="Arial" w:eastAsia="Calibri" w:hAnsi="Arial" w:cs="Arial"/>
          <w:bCs/>
          <w:sz w:val="26"/>
          <w:szCs w:val="26"/>
          <w:lang w:eastAsia="es-MX"/>
        </w:rPr>
        <w:t xml:space="preserve"> que de la revisión efectuada al Bando de Policía y Gobierno para el Municipio de Santa María El Tule, Oaxaca, publicado en el Periódico Oficial del Estado de Oaxaca el nueve de junio de dos mil dieciocho</w:t>
      </w:r>
      <w:r w:rsidRPr="00902D9A">
        <w:rPr>
          <w:rFonts w:ascii="Arial" w:eastAsia="Calibri" w:hAnsi="Arial" w:cs="Arial"/>
          <w:bCs/>
          <w:sz w:val="26"/>
          <w:szCs w:val="26"/>
          <w:vertAlign w:val="superscript"/>
          <w:lang w:eastAsia="es-MX"/>
        </w:rPr>
        <w:footnoteReference w:id="8"/>
      </w:r>
      <w:r w:rsidRPr="00902D9A">
        <w:rPr>
          <w:rFonts w:ascii="Arial" w:eastAsia="Calibri" w:hAnsi="Arial" w:cs="Arial"/>
          <w:bCs/>
          <w:sz w:val="26"/>
          <w:szCs w:val="26"/>
          <w:lang w:eastAsia="es-MX"/>
        </w:rPr>
        <w:t>, se identifica que el a</w:t>
      </w:r>
      <w:r w:rsidR="00070480">
        <w:rPr>
          <w:rFonts w:ascii="Arial" w:eastAsia="Calibri" w:hAnsi="Arial" w:cs="Arial"/>
          <w:bCs/>
          <w:sz w:val="26"/>
          <w:szCs w:val="26"/>
          <w:lang w:eastAsia="es-MX"/>
        </w:rPr>
        <w:t>rtículo 161 fracción IX</w:t>
      </w:r>
      <w:r w:rsidR="00051F7D">
        <w:rPr>
          <w:rStyle w:val="Refdenotaalpie"/>
          <w:rFonts w:ascii="Arial" w:eastAsia="Calibri" w:hAnsi="Arial" w:cs="Arial"/>
          <w:bCs/>
          <w:sz w:val="26"/>
          <w:szCs w:val="26"/>
          <w:lang w:eastAsia="es-MX"/>
        </w:rPr>
        <w:footnoteReference w:id="9"/>
      </w:r>
      <w:r w:rsidR="00070480">
        <w:rPr>
          <w:rFonts w:ascii="Arial" w:eastAsia="Calibri" w:hAnsi="Arial" w:cs="Arial"/>
          <w:bCs/>
          <w:sz w:val="26"/>
          <w:szCs w:val="26"/>
          <w:lang w:eastAsia="es-MX"/>
        </w:rPr>
        <w:t xml:space="preserve"> de ese</w:t>
      </w:r>
      <w:r w:rsidRPr="00902D9A">
        <w:rPr>
          <w:rFonts w:ascii="Arial" w:eastAsia="Calibri" w:hAnsi="Arial" w:cs="Arial"/>
          <w:bCs/>
          <w:sz w:val="26"/>
          <w:szCs w:val="26"/>
          <w:lang w:eastAsia="es-MX"/>
        </w:rPr>
        <w:t xml:space="preserve"> Bando, establece que la autoridad competente para tramitar y autorizar las solicitudes de subdivisión de un predio, es la Dirección de Obras Públicas de esa Municipalidad, mas no el presidente municipal, por lo tanto, le asiste la razón a la parte actora cuando afirmó que el acto impugnado </w:t>
      </w:r>
      <w:r w:rsidR="00051F7D">
        <w:rPr>
          <w:rFonts w:ascii="Arial" w:eastAsia="Calibri" w:hAnsi="Arial" w:cs="Arial"/>
          <w:bCs/>
          <w:sz w:val="26"/>
          <w:szCs w:val="26"/>
          <w:lang w:eastAsia="es-MX"/>
        </w:rPr>
        <w:t xml:space="preserve">fue emitido por una autoridad incompetente, contraviniendo el artículo </w:t>
      </w:r>
      <w:r w:rsidR="00070480">
        <w:rPr>
          <w:rFonts w:ascii="Arial" w:eastAsia="Calibri" w:hAnsi="Arial" w:cs="Arial"/>
          <w:bCs/>
          <w:sz w:val="26"/>
          <w:szCs w:val="26"/>
          <w:lang w:eastAsia="es-MX"/>
        </w:rPr>
        <w:t>17 fracción I</w:t>
      </w:r>
      <w:r w:rsidR="00051F7D">
        <w:rPr>
          <w:rStyle w:val="Refdenotaalpie"/>
          <w:rFonts w:ascii="Arial" w:eastAsia="Calibri" w:hAnsi="Arial" w:cs="Arial"/>
          <w:bCs/>
          <w:sz w:val="26"/>
          <w:szCs w:val="26"/>
          <w:lang w:eastAsia="es-MX"/>
        </w:rPr>
        <w:footnoteReference w:id="10"/>
      </w:r>
      <w:r w:rsidRPr="00902D9A">
        <w:rPr>
          <w:rFonts w:ascii="Arial" w:eastAsia="Calibri" w:hAnsi="Arial" w:cs="Arial"/>
          <w:bCs/>
          <w:sz w:val="26"/>
          <w:szCs w:val="26"/>
          <w:lang w:eastAsia="es-MX"/>
        </w:rPr>
        <w:t xml:space="preserve"> de la Ley de Procedimiento y Justicia Administrativa para el Estado de Oaxaca. De ahí lo </w:t>
      </w:r>
      <w:r w:rsidRPr="00902D9A">
        <w:rPr>
          <w:rFonts w:ascii="Arial" w:eastAsia="Calibri" w:hAnsi="Arial" w:cs="Arial"/>
          <w:b/>
          <w:bCs/>
          <w:sz w:val="26"/>
          <w:szCs w:val="26"/>
          <w:lang w:eastAsia="es-MX"/>
        </w:rPr>
        <w:t>fundado</w:t>
      </w:r>
      <w:r w:rsidRPr="00902D9A">
        <w:rPr>
          <w:rFonts w:ascii="Arial" w:eastAsia="Calibri" w:hAnsi="Arial" w:cs="Arial"/>
          <w:bCs/>
          <w:sz w:val="26"/>
          <w:szCs w:val="26"/>
          <w:lang w:eastAsia="es-MX"/>
        </w:rPr>
        <w:t xml:space="preserve"> del concepto de impugnación.</w:t>
      </w:r>
    </w:p>
    <w:p w14:paraId="7D268A99" w14:textId="22741747" w:rsidR="00051F7D" w:rsidRDefault="00902D9A" w:rsidP="00902D9A">
      <w:pPr>
        <w:widowControl w:val="0"/>
        <w:tabs>
          <w:tab w:val="left" w:pos="0"/>
        </w:tabs>
        <w:spacing w:before="240" w:after="0" w:line="360" w:lineRule="auto"/>
        <w:ind w:right="18"/>
        <w:jc w:val="both"/>
        <w:rPr>
          <w:rFonts w:ascii="Arial" w:eastAsia="Calibri" w:hAnsi="Arial" w:cs="Arial"/>
          <w:bCs/>
          <w:sz w:val="26"/>
          <w:szCs w:val="26"/>
          <w:lang w:eastAsia="es-MX"/>
        </w:rPr>
      </w:pPr>
      <w:r w:rsidRPr="00902D9A">
        <w:rPr>
          <w:rFonts w:ascii="Arial" w:eastAsia="Calibri" w:hAnsi="Arial" w:cs="Arial"/>
          <w:bCs/>
          <w:sz w:val="26"/>
          <w:szCs w:val="26"/>
          <w:lang w:eastAsia="es-MX"/>
        </w:rPr>
        <w:tab/>
      </w:r>
      <w:r w:rsidR="00051F7D">
        <w:rPr>
          <w:rFonts w:ascii="Arial" w:eastAsia="Calibri" w:hAnsi="Arial" w:cs="Arial"/>
          <w:bCs/>
          <w:sz w:val="26"/>
          <w:szCs w:val="26"/>
          <w:lang w:eastAsia="es-MX"/>
        </w:rPr>
        <w:t xml:space="preserve">22. </w:t>
      </w:r>
      <w:r w:rsidRPr="00902D9A">
        <w:rPr>
          <w:rFonts w:ascii="Arial" w:eastAsia="Calibri" w:hAnsi="Arial" w:cs="Arial"/>
          <w:bCs/>
          <w:sz w:val="26"/>
          <w:szCs w:val="26"/>
          <w:lang w:eastAsia="es-MX"/>
        </w:rPr>
        <w:t xml:space="preserve">En virtud de lo anterior, al tratarse de un derecho de petición, es procedente declarar la </w:t>
      </w:r>
      <w:r w:rsidRPr="00902D9A">
        <w:rPr>
          <w:rFonts w:ascii="Arial" w:eastAsia="Calibri" w:hAnsi="Arial" w:cs="Arial"/>
          <w:b/>
          <w:bCs/>
          <w:sz w:val="26"/>
          <w:szCs w:val="26"/>
          <w:lang w:eastAsia="es-MX"/>
        </w:rPr>
        <w:t>NULIDAD</w:t>
      </w:r>
      <w:r w:rsidRPr="00902D9A">
        <w:rPr>
          <w:rFonts w:ascii="Arial" w:eastAsia="Calibri" w:hAnsi="Arial" w:cs="Arial"/>
          <w:bCs/>
          <w:sz w:val="26"/>
          <w:szCs w:val="26"/>
          <w:lang w:eastAsia="es-MX"/>
        </w:rPr>
        <w:t xml:space="preserve"> del oficio de dos de mayo de dos mil veintidós</w:t>
      </w:r>
      <w:r w:rsidRPr="00902D9A">
        <w:rPr>
          <w:rFonts w:ascii="Arial" w:eastAsia="Calibri" w:hAnsi="Arial" w:cs="Arial"/>
          <w:bCs/>
          <w:sz w:val="26"/>
          <w:szCs w:val="26"/>
          <w:vertAlign w:val="superscript"/>
          <w:lang w:eastAsia="es-MX"/>
        </w:rPr>
        <w:footnoteReference w:id="11"/>
      </w:r>
      <w:r w:rsidRPr="00902D9A">
        <w:rPr>
          <w:rFonts w:ascii="Arial" w:eastAsia="Calibri" w:hAnsi="Arial" w:cs="Arial"/>
          <w:bCs/>
          <w:sz w:val="26"/>
          <w:szCs w:val="26"/>
          <w:lang w:eastAsia="es-MX"/>
        </w:rPr>
        <w:t xml:space="preserve">, emitido por el Presidente Municipal de Santa María El Tule, Oaxaca, </w:t>
      </w:r>
      <w:r w:rsidRPr="00902D9A">
        <w:rPr>
          <w:rFonts w:ascii="Arial" w:eastAsia="Calibri" w:hAnsi="Arial" w:cs="Arial"/>
          <w:b/>
          <w:bCs/>
          <w:sz w:val="26"/>
          <w:szCs w:val="26"/>
          <w:lang w:eastAsia="es-MX"/>
        </w:rPr>
        <w:t>PARA EL EFECTO</w:t>
      </w:r>
      <w:r w:rsidRPr="00902D9A">
        <w:rPr>
          <w:rFonts w:ascii="Arial" w:eastAsia="Calibri" w:hAnsi="Arial" w:cs="Arial"/>
          <w:bCs/>
          <w:sz w:val="26"/>
          <w:szCs w:val="26"/>
          <w:lang w:eastAsia="es-MX"/>
        </w:rPr>
        <w:t xml:space="preserve"> de que emita otro en el que ordene remitir la petición de </w:t>
      </w:r>
      <w:r w:rsidR="007324F0">
        <w:rPr>
          <w:rFonts w:ascii="Arial" w:eastAsia="Calibri" w:hAnsi="Arial" w:cs="Arial"/>
          <w:b/>
          <w:bCs/>
          <w:sz w:val="26"/>
          <w:szCs w:val="26"/>
          <w:lang w:eastAsia="es-MX"/>
        </w:rPr>
        <w:t xml:space="preserve">************* </w:t>
      </w:r>
      <w:r w:rsidRPr="00902D9A">
        <w:rPr>
          <w:rFonts w:ascii="Arial" w:eastAsia="Calibri" w:hAnsi="Arial" w:cs="Arial"/>
          <w:bCs/>
          <w:sz w:val="26"/>
          <w:szCs w:val="26"/>
          <w:lang w:eastAsia="es-MX"/>
        </w:rPr>
        <w:t xml:space="preserve">a la </w:t>
      </w:r>
      <w:r w:rsidRPr="00902D9A">
        <w:rPr>
          <w:rFonts w:ascii="Arial" w:eastAsia="Calibri" w:hAnsi="Arial" w:cs="Arial"/>
          <w:b/>
          <w:bCs/>
          <w:sz w:val="26"/>
          <w:szCs w:val="26"/>
          <w:lang w:eastAsia="es-MX"/>
        </w:rPr>
        <w:t>DIRECCIÓN DE OBRAS PÚBLICAS</w:t>
      </w:r>
      <w:r w:rsidRPr="00902D9A">
        <w:rPr>
          <w:rFonts w:ascii="Arial" w:eastAsia="Calibri" w:hAnsi="Arial" w:cs="Arial"/>
          <w:bCs/>
          <w:sz w:val="26"/>
          <w:szCs w:val="26"/>
          <w:lang w:eastAsia="es-MX"/>
        </w:rPr>
        <w:t xml:space="preserve"> de ese mismo municipio, para que el titular de esta área emita una respuesta debidamente fundada y motivada a la actora, y que provea lo conducente respecto a si es procedente o no el trámite de subdivisión que está solicitando. </w:t>
      </w:r>
    </w:p>
    <w:p w14:paraId="7E505CC2" w14:textId="5A202A73" w:rsidR="00902D9A" w:rsidRPr="00902D9A" w:rsidRDefault="00051F7D" w:rsidP="00902D9A">
      <w:pPr>
        <w:widowControl w:val="0"/>
        <w:tabs>
          <w:tab w:val="left" w:pos="0"/>
        </w:tabs>
        <w:spacing w:before="240" w:after="0" w:line="360" w:lineRule="auto"/>
        <w:ind w:right="18"/>
        <w:jc w:val="both"/>
        <w:rPr>
          <w:rFonts w:ascii="Arial" w:eastAsia="Calibri" w:hAnsi="Arial" w:cs="Arial"/>
          <w:sz w:val="26"/>
          <w:szCs w:val="26"/>
          <w:lang w:val="es-ES" w:eastAsia="es-MX"/>
        </w:rPr>
      </w:pPr>
      <w:r>
        <w:rPr>
          <w:rFonts w:ascii="Arial" w:eastAsia="Calibri" w:hAnsi="Arial" w:cs="Arial"/>
          <w:bCs/>
          <w:sz w:val="26"/>
          <w:szCs w:val="26"/>
          <w:lang w:eastAsia="es-MX"/>
        </w:rPr>
        <w:tab/>
      </w:r>
      <w:r w:rsidR="009659BD">
        <w:rPr>
          <w:rFonts w:ascii="Arial" w:eastAsia="Calibri" w:hAnsi="Arial" w:cs="Arial"/>
          <w:bCs/>
          <w:sz w:val="26"/>
          <w:szCs w:val="26"/>
          <w:lang w:eastAsia="es-MX"/>
        </w:rPr>
        <w:t xml:space="preserve">23. </w:t>
      </w:r>
      <w:r>
        <w:rPr>
          <w:rFonts w:ascii="Arial" w:eastAsia="Calibri" w:hAnsi="Arial" w:cs="Arial"/>
          <w:sz w:val="26"/>
          <w:szCs w:val="26"/>
          <w:lang w:val="es-ES" w:eastAsia="es-MX"/>
        </w:rPr>
        <w:t>Respalda este fallo</w:t>
      </w:r>
      <w:r w:rsidR="00902D9A" w:rsidRPr="00902D9A">
        <w:rPr>
          <w:rFonts w:ascii="Arial" w:eastAsia="Calibri" w:hAnsi="Arial" w:cs="Arial"/>
          <w:sz w:val="26"/>
          <w:szCs w:val="26"/>
          <w:lang w:val="es-ES" w:eastAsia="es-MX"/>
        </w:rPr>
        <w:t>, la jurisprudencia 2a./J. 52/2001</w:t>
      </w:r>
      <w:r w:rsidR="00902D9A" w:rsidRPr="00902D9A">
        <w:rPr>
          <w:rFonts w:ascii="Arial" w:eastAsia="Calibri" w:hAnsi="Arial" w:cs="Arial"/>
          <w:sz w:val="26"/>
          <w:szCs w:val="26"/>
          <w:vertAlign w:val="superscript"/>
          <w:lang w:val="es-ES" w:eastAsia="es-MX"/>
        </w:rPr>
        <w:footnoteReference w:id="12"/>
      </w:r>
      <w:r w:rsidR="00902D9A" w:rsidRPr="00902D9A">
        <w:rPr>
          <w:rFonts w:ascii="Arial" w:eastAsia="Calibri" w:hAnsi="Arial" w:cs="Arial"/>
          <w:sz w:val="26"/>
          <w:szCs w:val="26"/>
          <w:lang w:val="es-ES" w:eastAsia="es-MX"/>
        </w:rPr>
        <w:t>, con registro digital 188431, emitida por la Segunda Sala, en la Novena Época, visible en el Semanario Judicial de la Federación y su Gaceta, Tomo XIV, Noviembre de 2001, página 32; de rubro y texto siguientes:</w:t>
      </w:r>
    </w:p>
    <w:p w14:paraId="6C03813A" w14:textId="77777777" w:rsidR="00902D9A" w:rsidRPr="00902D9A" w:rsidRDefault="00902D9A" w:rsidP="00902D9A">
      <w:pPr>
        <w:spacing w:after="240" w:line="360" w:lineRule="auto"/>
        <w:ind w:left="567" w:right="616"/>
        <w:jc w:val="both"/>
        <w:rPr>
          <w:rFonts w:ascii="Arial" w:eastAsiaTheme="minorEastAsia" w:hAnsi="Arial" w:cs="Arial"/>
          <w:b/>
          <w:i/>
          <w:lang w:val="es-ES" w:eastAsia="es-MX"/>
        </w:rPr>
      </w:pPr>
    </w:p>
    <w:p w14:paraId="5D817219" w14:textId="4FE35F9F" w:rsidR="00902D9A" w:rsidRPr="00902D9A" w:rsidRDefault="007324F0" w:rsidP="00902D9A">
      <w:pPr>
        <w:spacing w:after="240" w:line="360" w:lineRule="auto"/>
        <w:ind w:left="567" w:right="616"/>
        <w:jc w:val="both"/>
        <w:rPr>
          <w:rFonts w:ascii="Arial" w:eastAsiaTheme="minorEastAsia" w:hAnsi="Arial" w:cs="Arial"/>
          <w:i/>
          <w:lang w:val="es-ES" w:eastAsia="es-MX"/>
        </w:rPr>
      </w:pPr>
      <w:r>
        <w:rPr>
          <w:rFonts w:ascii="Times New Roman" w:eastAsia="Times New Roman" w:hAnsi="Times New Roman" w:cs="Times New Roman"/>
          <w:noProof/>
          <w:color w:val="000000"/>
          <w:sz w:val="24"/>
          <w:szCs w:val="24"/>
        </w:rPr>
        <w:lastRenderedPageBreak/>
        <w:drawing>
          <wp:anchor distT="0" distB="0" distL="114300" distR="114300" simplePos="0" relativeHeight="251681792" behindDoc="1" locked="0" layoutInCell="1" allowOverlap="1" wp14:anchorId="4FD603FC" wp14:editId="6FBA019D">
            <wp:simplePos x="0" y="0"/>
            <wp:positionH relativeFrom="leftMargin">
              <wp:posOffset>6274435</wp:posOffset>
            </wp:positionH>
            <wp:positionV relativeFrom="paragraph">
              <wp:posOffset>332105</wp:posOffset>
            </wp:positionV>
            <wp:extent cx="1024255" cy="1261745"/>
            <wp:effectExtent l="0" t="0" r="4445" b="0"/>
            <wp:wrapNone/>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902D9A" w:rsidRPr="00902D9A">
        <w:rPr>
          <w:rFonts w:ascii="Arial" w:eastAsiaTheme="minorEastAsia" w:hAnsi="Arial" w:cs="Arial"/>
          <w:b/>
          <w:i/>
          <w:lang w:val="es-ES" w:eastAsia="es-MX"/>
        </w:rPr>
        <w:t>“COMPETENCIA DE LAS AUTORIDADES ADMINISTRATIVAS. LA NULIDAD DECRETADA POR NO HABERLA FUNDADO NO PUEDE SER PARA EFECTOS, EXCEPTO EN LOS CASOS EN QUE LA RESOLUCIÓN IMPUGNADA RECAIGA A UNA PETICIÓN, INSTANCIA O RECURSO.</w:t>
      </w:r>
      <w:r w:rsidR="00902D9A" w:rsidRPr="00902D9A">
        <w:rPr>
          <w:rFonts w:ascii="Arial" w:eastAsiaTheme="minorEastAsia" w:hAnsi="Arial" w:cs="Arial"/>
          <w:i/>
          <w:lang w:val="es-ES" w:eastAsia="es-MX"/>
        </w:rPr>
        <w:t xml:space="preserve"> </w:t>
      </w:r>
    </w:p>
    <w:p w14:paraId="4A0315CD" w14:textId="77777777" w:rsidR="00902D9A" w:rsidRPr="00902D9A" w:rsidRDefault="00902D9A" w:rsidP="00902D9A">
      <w:pPr>
        <w:spacing w:after="240" w:line="360" w:lineRule="auto"/>
        <w:ind w:left="567" w:right="616"/>
        <w:jc w:val="both"/>
        <w:rPr>
          <w:rFonts w:ascii="Arial" w:eastAsia="Calibri" w:hAnsi="Arial" w:cs="Arial"/>
          <w:i/>
          <w:sz w:val="26"/>
          <w:szCs w:val="26"/>
          <w:lang w:val="es-ES" w:eastAsia="es-MX"/>
        </w:rPr>
      </w:pPr>
      <w:r w:rsidRPr="00902D9A">
        <w:rPr>
          <w:rFonts w:ascii="Arial" w:eastAsiaTheme="minorEastAsia" w:hAnsi="Arial" w:cs="Arial"/>
          <w:i/>
          <w:lang w:val="es-ES" w:eastAsia="es-MX"/>
        </w:rPr>
        <w:t>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 Contradicción de tesis 92/2000-SS. Entre las sustentadas por el Tercer Tribunal Colegiado en Materia Administrativa del Sexto Circuito, el Segundo Tribunal Colegiado del Octavo Circuito y el Primer Tribunal Colegiado en Materia Administrativa del Primer Circuito. 17 de octubre de 2001. Unanimidad de cuatro votos. Ausente: Juan Díaz Romero. Ponente: Sergio Salvador Aguirre Anguiano. Secretaria: Andrea Zambrana Castañeda. Tesis de jurisprudencia 52/2001. Aprobada por la Segunda Sala de este Alto Tribunal, en sesión privada del veintiséis de octubre de dos mil uno.</w:t>
      </w:r>
    </w:p>
    <w:p w14:paraId="736848D0" w14:textId="1F097118" w:rsidR="00902D9A" w:rsidRPr="00902D9A" w:rsidRDefault="00902D9A" w:rsidP="00902D9A">
      <w:pPr>
        <w:widowControl w:val="0"/>
        <w:tabs>
          <w:tab w:val="left" w:pos="0"/>
        </w:tabs>
        <w:spacing w:before="240" w:after="0" w:line="360" w:lineRule="auto"/>
        <w:ind w:right="18"/>
        <w:jc w:val="both"/>
        <w:rPr>
          <w:rFonts w:ascii="Arial" w:eastAsia="Calibri" w:hAnsi="Arial" w:cs="Arial"/>
          <w:bCs/>
          <w:sz w:val="26"/>
          <w:szCs w:val="26"/>
          <w:lang w:val="es-ES" w:eastAsia="es-MX"/>
        </w:rPr>
      </w:pPr>
      <w:r w:rsidRPr="00902D9A">
        <w:rPr>
          <w:rFonts w:ascii="Arial" w:eastAsia="Calibri" w:hAnsi="Arial" w:cs="Arial"/>
          <w:bCs/>
          <w:sz w:val="26"/>
          <w:szCs w:val="26"/>
          <w:lang w:val="es-ES" w:eastAsia="es-MX"/>
        </w:rPr>
        <w:tab/>
      </w:r>
      <w:r w:rsidR="009659BD">
        <w:rPr>
          <w:rFonts w:ascii="Arial" w:eastAsia="Calibri" w:hAnsi="Arial" w:cs="Arial"/>
          <w:bCs/>
          <w:sz w:val="26"/>
          <w:szCs w:val="26"/>
          <w:lang w:val="es-ES" w:eastAsia="es-MX"/>
        </w:rPr>
        <w:t xml:space="preserve">24. </w:t>
      </w:r>
      <w:r w:rsidRPr="00902D9A">
        <w:rPr>
          <w:rFonts w:ascii="Arial" w:eastAsia="Calibri" w:hAnsi="Arial" w:cs="Arial"/>
          <w:bCs/>
          <w:sz w:val="26"/>
          <w:szCs w:val="26"/>
          <w:lang w:val="es-ES" w:eastAsia="es-MX"/>
        </w:rPr>
        <w:t xml:space="preserve">Una vez declarada la nulidad para efectos del acto impugnado, resulta innecesario analizar el resto de los agravios planteados por la recurrente, porque a nada práctico llevaría, puesto que ya ha sido analizado el de mayor beneficio para ella. Sirve de apoyo a lo anterior, la tesis I.2o.A. J/23 con registro digital 193430, emitida por los Tribunales Colegiados de Circuito en la Novena Época, visible en el Semanario Judicial de la Federación y su Gaceta. Tomo X, Agosto de 1999, página 647, de rubro y texto siguientes: </w:t>
      </w:r>
    </w:p>
    <w:p w14:paraId="02BE509F" w14:textId="7DBAAF72" w:rsidR="00902D9A" w:rsidRPr="00902D9A" w:rsidRDefault="00902D9A" w:rsidP="00902D9A">
      <w:pPr>
        <w:widowControl w:val="0"/>
        <w:spacing w:before="240" w:after="0" w:line="360" w:lineRule="auto"/>
        <w:ind w:left="567" w:right="616"/>
        <w:jc w:val="both"/>
        <w:rPr>
          <w:rFonts w:ascii="Arial" w:eastAsia="Calibri" w:hAnsi="Arial" w:cs="Arial"/>
          <w:b/>
          <w:bCs/>
          <w:i/>
          <w:lang w:val="es-ES" w:eastAsia="es-MX"/>
        </w:rPr>
      </w:pPr>
      <w:r w:rsidRPr="00902D9A">
        <w:rPr>
          <w:rFonts w:ascii="Arial" w:eastAsia="Calibri" w:hAnsi="Arial" w:cs="Arial"/>
          <w:b/>
          <w:bCs/>
          <w:i/>
          <w:lang w:val="es-ES" w:eastAsia="es-MX"/>
        </w:rPr>
        <w:t xml:space="preserve">“CONCEPTOS DE ANULACIÓN. LA EXIGENCIA DE EXAMINARLOS EXHAUSTIVAMENTE DEBE PONDERARSE A LA LUZ DE CADA </w:t>
      </w:r>
      <w:r w:rsidRPr="00902D9A">
        <w:rPr>
          <w:rFonts w:ascii="Arial" w:eastAsia="Calibri" w:hAnsi="Arial" w:cs="Arial"/>
          <w:b/>
          <w:bCs/>
          <w:i/>
          <w:lang w:val="es-ES" w:eastAsia="es-MX"/>
        </w:rPr>
        <w:lastRenderedPageBreak/>
        <w:t>CONTROVERSIA EN PARTICULAR.</w:t>
      </w:r>
    </w:p>
    <w:p w14:paraId="5A279D61" w14:textId="7DE9B3ED" w:rsidR="00902D9A" w:rsidRPr="00902D9A" w:rsidRDefault="007324F0" w:rsidP="00902D9A">
      <w:pPr>
        <w:widowControl w:val="0"/>
        <w:spacing w:before="240" w:after="0" w:line="360" w:lineRule="auto"/>
        <w:ind w:left="567" w:right="616"/>
        <w:jc w:val="both"/>
        <w:rPr>
          <w:rFonts w:ascii="Arial" w:eastAsia="Calibri" w:hAnsi="Arial" w:cs="Arial"/>
          <w:bCs/>
          <w:i/>
          <w:lang w:val="es-ES" w:eastAsia="es-MX"/>
        </w:rPr>
      </w:pPr>
      <w:r>
        <w:rPr>
          <w:rFonts w:ascii="Times New Roman" w:eastAsia="Times New Roman" w:hAnsi="Times New Roman" w:cs="Times New Roman"/>
          <w:noProof/>
          <w:color w:val="000000"/>
          <w:sz w:val="24"/>
          <w:szCs w:val="24"/>
        </w:rPr>
        <w:drawing>
          <wp:anchor distT="0" distB="0" distL="114300" distR="114300" simplePos="0" relativeHeight="251677696" behindDoc="1" locked="0" layoutInCell="1" allowOverlap="1" wp14:anchorId="7CEDBCD1" wp14:editId="45FBC09C">
            <wp:simplePos x="0" y="0"/>
            <wp:positionH relativeFrom="leftMargin">
              <wp:posOffset>420370</wp:posOffset>
            </wp:positionH>
            <wp:positionV relativeFrom="paragraph">
              <wp:posOffset>256540</wp:posOffset>
            </wp:positionV>
            <wp:extent cx="1024255" cy="1261745"/>
            <wp:effectExtent l="0" t="0" r="4445" b="0"/>
            <wp:wrapNone/>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902D9A" w:rsidRPr="00902D9A">
        <w:rPr>
          <w:rFonts w:ascii="Arial" w:eastAsia="Calibri" w:hAnsi="Arial" w:cs="Arial"/>
          <w:bCs/>
          <w:i/>
          <w:lang w:val="es-ES" w:eastAsia="es-MX"/>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14:paraId="3CCD863B" w14:textId="77777777" w:rsidR="00902D9A" w:rsidRPr="00902D9A" w:rsidRDefault="00902D9A" w:rsidP="00902D9A">
      <w:pPr>
        <w:widowControl w:val="0"/>
        <w:spacing w:before="240" w:after="0" w:line="360" w:lineRule="auto"/>
        <w:ind w:left="567" w:right="616"/>
        <w:jc w:val="both"/>
        <w:rPr>
          <w:rFonts w:ascii="Arial" w:eastAsia="Calibri" w:hAnsi="Arial" w:cs="Arial"/>
          <w:bCs/>
          <w:i/>
          <w:lang w:val="es-ES" w:eastAsia="es-MX"/>
        </w:rPr>
      </w:pPr>
      <w:r w:rsidRPr="00902D9A">
        <w:rPr>
          <w:rFonts w:ascii="Arial" w:eastAsia="Calibri" w:hAnsi="Arial" w:cs="Arial"/>
          <w:bCs/>
          <w:i/>
          <w:lang w:val="es-ES" w:eastAsia="es-MX"/>
        </w:rPr>
        <w:t>SEGUNDO TRIBUNAL COLEGIADO EN MATERIA ADMINISTRATIVA DEL PRIMER CIRCUITO.”</w:t>
      </w:r>
    </w:p>
    <w:p w14:paraId="19937227" w14:textId="77777777" w:rsidR="009659BD" w:rsidRPr="00C963A1" w:rsidRDefault="009659BD" w:rsidP="009659BD">
      <w:pPr>
        <w:widowControl w:val="0"/>
        <w:spacing w:before="240" w:line="360" w:lineRule="auto"/>
        <w:ind w:left="-142" w:right="18" w:firstLine="850"/>
        <w:jc w:val="both"/>
        <w:rPr>
          <w:rFonts w:ascii="Arial" w:hAnsi="Arial" w:cs="Arial"/>
          <w:b/>
          <w:snapToGrid w:val="0"/>
          <w:sz w:val="26"/>
          <w:szCs w:val="26"/>
        </w:rPr>
      </w:pPr>
      <w:r>
        <w:rPr>
          <w:rFonts w:ascii="Arial" w:hAnsi="Arial" w:cs="Arial"/>
          <w:b/>
          <w:snapToGrid w:val="0"/>
          <w:sz w:val="26"/>
          <w:szCs w:val="26"/>
        </w:rPr>
        <w:t>CUARTO. DECISIÓN.</w:t>
      </w:r>
    </w:p>
    <w:p w14:paraId="1C4600B8" w14:textId="48446E19" w:rsidR="00902D9A" w:rsidRPr="00902D9A" w:rsidRDefault="009659BD" w:rsidP="00902D9A">
      <w:pPr>
        <w:spacing w:after="240" w:line="360" w:lineRule="auto"/>
        <w:ind w:firstLine="708"/>
        <w:jc w:val="both"/>
        <w:rPr>
          <w:rFonts w:ascii="Arial" w:eastAsia="Calibri" w:hAnsi="Arial" w:cs="Arial"/>
          <w:sz w:val="26"/>
          <w:szCs w:val="26"/>
          <w:lang w:val="es-ES" w:eastAsia="es-MX"/>
        </w:rPr>
      </w:pPr>
      <w:r>
        <w:rPr>
          <w:rFonts w:ascii="Arial" w:eastAsiaTheme="minorEastAsia" w:hAnsi="Arial" w:cs="Arial"/>
          <w:bCs/>
          <w:color w:val="000000"/>
          <w:sz w:val="26"/>
          <w:szCs w:val="26"/>
          <w:lang w:eastAsia="es-MX"/>
        </w:rPr>
        <w:t xml:space="preserve">25. </w:t>
      </w:r>
      <w:r w:rsidR="00902D9A" w:rsidRPr="00902D9A">
        <w:rPr>
          <w:rFonts w:ascii="Arial" w:eastAsiaTheme="minorEastAsia" w:hAnsi="Arial" w:cs="Arial"/>
          <w:bCs/>
          <w:color w:val="000000"/>
          <w:sz w:val="26"/>
          <w:szCs w:val="26"/>
          <w:lang w:eastAsia="es-MX"/>
        </w:rPr>
        <w:t xml:space="preserve">En virtud de lo anterior, conforme a lo establecido en los artículos 208 y 209 de la </w:t>
      </w:r>
      <w:r w:rsidR="00902D9A" w:rsidRPr="00902D9A">
        <w:rPr>
          <w:rFonts w:ascii="Arial" w:eastAsia="Calibri" w:hAnsi="Arial" w:cs="Arial"/>
          <w:sz w:val="26"/>
          <w:szCs w:val="26"/>
          <w:lang w:val="es-ES" w:eastAsia="es-MX"/>
        </w:rPr>
        <w:t xml:space="preserve">Ley de Procedimiento y Justicia Administrativa para el Estado de Oaxaca, y ante lo </w:t>
      </w:r>
      <w:r w:rsidR="00902D9A" w:rsidRPr="00902D9A">
        <w:rPr>
          <w:rFonts w:ascii="Arial" w:eastAsia="Calibri" w:hAnsi="Arial" w:cs="Arial"/>
          <w:b/>
          <w:sz w:val="26"/>
          <w:szCs w:val="26"/>
          <w:lang w:val="es-ES" w:eastAsia="es-MX"/>
        </w:rPr>
        <w:t>sustancialmente fundado</w:t>
      </w:r>
      <w:r w:rsidR="00902D9A" w:rsidRPr="00902D9A">
        <w:rPr>
          <w:rFonts w:ascii="Arial" w:eastAsia="Calibri" w:hAnsi="Arial" w:cs="Arial"/>
          <w:sz w:val="26"/>
          <w:szCs w:val="26"/>
          <w:lang w:val="es-ES" w:eastAsia="es-MX"/>
        </w:rPr>
        <w:t xml:space="preserve"> del agravio de la recurrente, es procedente </w:t>
      </w:r>
      <w:r w:rsidR="00902D9A" w:rsidRPr="00902D9A">
        <w:rPr>
          <w:rFonts w:ascii="Arial" w:eastAsia="Calibri" w:hAnsi="Arial" w:cs="Arial"/>
          <w:b/>
          <w:sz w:val="26"/>
          <w:szCs w:val="26"/>
          <w:lang w:val="es-ES" w:eastAsia="es-MX"/>
        </w:rPr>
        <w:t>REVOCAR</w:t>
      </w:r>
      <w:r w:rsidR="00902D9A" w:rsidRPr="00902D9A">
        <w:rPr>
          <w:rFonts w:ascii="Arial" w:eastAsia="Calibri" w:hAnsi="Arial" w:cs="Arial"/>
          <w:sz w:val="26"/>
          <w:szCs w:val="26"/>
          <w:lang w:val="es-ES" w:eastAsia="es-MX"/>
        </w:rPr>
        <w:t xml:space="preserve"> la sentencia de trece de marzo de dos mil veintitrés, y </w:t>
      </w:r>
      <w:r w:rsidR="00902D9A" w:rsidRPr="00902D9A">
        <w:rPr>
          <w:rFonts w:ascii="Arial" w:eastAsia="Calibri" w:hAnsi="Arial" w:cs="Arial"/>
          <w:sz w:val="26"/>
          <w:szCs w:val="26"/>
          <w:lang w:eastAsia="es-MX"/>
        </w:rPr>
        <w:t>con fundamento en los artículos 236 y 238 de la Ley de Procedimiento y Justicia Administrativa para el Estado de Oaxaca, se</w:t>
      </w:r>
      <w:r w:rsidR="00902D9A" w:rsidRPr="00902D9A">
        <w:rPr>
          <w:rFonts w:ascii="Arial" w:eastAsiaTheme="minorEastAsia" w:hAnsi="Arial" w:cs="Arial"/>
          <w:sz w:val="26"/>
          <w:szCs w:val="26"/>
          <w:lang w:eastAsia="es-MX"/>
        </w:rPr>
        <w:t>:</w:t>
      </w:r>
    </w:p>
    <w:p w14:paraId="53D44079" w14:textId="2F922B31" w:rsidR="00461D48" w:rsidRPr="006E3E4B" w:rsidRDefault="00461D48" w:rsidP="00461D48">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p>
    <w:p w14:paraId="10BA3488" w14:textId="77777777" w:rsidR="00461D48" w:rsidRPr="00E0662D" w:rsidRDefault="00461D48" w:rsidP="00461D48">
      <w:pPr>
        <w:pStyle w:val="Sinespaciado"/>
        <w:spacing w:before="240" w:line="360" w:lineRule="auto"/>
        <w:jc w:val="center"/>
        <w:rPr>
          <w:rFonts w:ascii="Arial" w:hAnsi="Arial" w:cs="Arial"/>
          <w:b/>
          <w:sz w:val="26"/>
          <w:szCs w:val="26"/>
        </w:rPr>
      </w:pPr>
      <w:r>
        <w:rPr>
          <w:rFonts w:ascii="Arial" w:hAnsi="Arial" w:cs="Arial"/>
          <w:b/>
          <w:sz w:val="26"/>
          <w:szCs w:val="26"/>
        </w:rPr>
        <w:t xml:space="preserve">3. </w:t>
      </w:r>
      <w:r w:rsidRPr="00E0662D">
        <w:rPr>
          <w:rFonts w:ascii="Arial" w:hAnsi="Arial" w:cs="Arial"/>
          <w:b/>
          <w:sz w:val="26"/>
          <w:szCs w:val="26"/>
        </w:rPr>
        <w:t>R E S U E L V E</w:t>
      </w:r>
    </w:p>
    <w:p w14:paraId="527DFF53" w14:textId="23767956" w:rsidR="00461D48" w:rsidRPr="00E0662D" w:rsidRDefault="00461D48" w:rsidP="00461D48">
      <w:pPr>
        <w:pStyle w:val="Sinespaciado"/>
        <w:spacing w:before="240" w:line="360" w:lineRule="auto"/>
        <w:ind w:firstLine="708"/>
        <w:jc w:val="both"/>
        <w:rPr>
          <w:rFonts w:ascii="Arial" w:hAnsi="Arial" w:cs="Arial"/>
          <w:b/>
          <w:color w:val="000000"/>
          <w:sz w:val="26"/>
          <w:szCs w:val="26"/>
        </w:rPr>
      </w:pPr>
      <w:r w:rsidRPr="00E0662D">
        <w:rPr>
          <w:rFonts w:ascii="Arial" w:hAnsi="Arial" w:cs="Arial"/>
          <w:b/>
          <w:color w:val="000000"/>
          <w:sz w:val="26"/>
          <w:szCs w:val="26"/>
        </w:rPr>
        <w:t>PRIMERO</w:t>
      </w:r>
      <w:r w:rsidRPr="00E0662D">
        <w:rPr>
          <w:rFonts w:ascii="Arial" w:hAnsi="Arial" w:cs="Arial"/>
          <w:color w:val="000000"/>
          <w:sz w:val="26"/>
          <w:szCs w:val="26"/>
        </w:rPr>
        <w:t>. Se</w:t>
      </w:r>
      <w:r w:rsidRPr="00E0662D">
        <w:rPr>
          <w:rFonts w:ascii="Arial" w:hAnsi="Arial" w:cs="Arial"/>
          <w:b/>
          <w:color w:val="000000"/>
          <w:sz w:val="26"/>
          <w:szCs w:val="26"/>
        </w:rPr>
        <w:t xml:space="preserve"> </w:t>
      </w:r>
      <w:r w:rsidR="009659BD" w:rsidRPr="009659BD">
        <w:rPr>
          <w:rFonts w:ascii="Arial" w:hAnsi="Arial" w:cs="Arial"/>
          <w:b/>
          <w:color w:val="000000"/>
          <w:sz w:val="26"/>
          <w:szCs w:val="26"/>
        </w:rPr>
        <w:t>REVOC</w:t>
      </w:r>
      <w:r w:rsidR="009659BD">
        <w:rPr>
          <w:rFonts w:ascii="Arial" w:hAnsi="Arial" w:cs="Arial"/>
          <w:b/>
          <w:color w:val="000000"/>
          <w:sz w:val="26"/>
          <w:szCs w:val="26"/>
        </w:rPr>
        <w:t>A</w:t>
      </w:r>
      <w:r w:rsidR="009659BD" w:rsidRPr="009659BD">
        <w:rPr>
          <w:rFonts w:ascii="Arial" w:hAnsi="Arial" w:cs="Arial"/>
          <w:b/>
          <w:color w:val="000000"/>
          <w:sz w:val="26"/>
          <w:szCs w:val="26"/>
        </w:rPr>
        <w:t xml:space="preserve"> </w:t>
      </w:r>
      <w:r w:rsidR="009659BD" w:rsidRPr="009659BD">
        <w:rPr>
          <w:rFonts w:ascii="Arial" w:hAnsi="Arial" w:cs="Arial"/>
          <w:color w:val="000000"/>
          <w:sz w:val="26"/>
          <w:szCs w:val="26"/>
        </w:rPr>
        <w:t xml:space="preserve">la sentencia de trece de marzo de dos mil veintitrés, </w:t>
      </w:r>
      <w:r w:rsidRPr="00E0662D">
        <w:rPr>
          <w:rFonts w:ascii="Arial" w:hAnsi="Arial" w:cs="Arial"/>
          <w:color w:val="000000"/>
          <w:sz w:val="26"/>
          <w:szCs w:val="26"/>
        </w:rPr>
        <w:t>por las razones expuestas por esta Sala Superior en el considerando que antecede. - - - - - - - - - - - - - - - - - - - - - - - - - - - - - -</w:t>
      </w:r>
      <w:r w:rsidR="000F31C8">
        <w:rPr>
          <w:rFonts w:ascii="Arial" w:hAnsi="Arial" w:cs="Arial"/>
          <w:color w:val="000000"/>
          <w:sz w:val="26"/>
          <w:szCs w:val="26"/>
        </w:rPr>
        <w:t xml:space="preserve"> - - - - -</w:t>
      </w:r>
    </w:p>
    <w:p w14:paraId="46B8FCA7" w14:textId="52C2C2A3" w:rsidR="00461D48" w:rsidRPr="00E0662D" w:rsidRDefault="00461D48" w:rsidP="000F31C8">
      <w:pPr>
        <w:widowControl w:val="0"/>
        <w:tabs>
          <w:tab w:val="left" w:pos="0"/>
        </w:tabs>
        <w:spacing w:before="240" w:line="360" w:lineRule="auto"/>
        <w:ind w:right="18"/>
        <w:jc w:val="both"/>
        <w:rPr>
          <w:rFonts w:ascii="Arial" w:hAnsi="Arial" w:cs="Arial"/>
          <w:sz w:val="26"/>
          <w:szCs w:val="26"/>
        </w:rPr>
      </w:pPr>
      <w:r w:rsidRPr="00E0662D">
        <w:rPr>
          <w:rFonts w:ascii="Arial" w:hAnsi="Arial" w:cs="Arial"/>
          <w:b/>
          <w:sz w:val="26"/>
          <w:szCs w:val="26"/>
        </w:rPr>
        <w:tab/>
        <w:t>SEGUNDO. NOTIFÍQUESE Y CÚMPLASE,</w:t>
      </w:r>
      <w:r w:rsidRPr="00E0662D">
        <w:rPr>
          <w:rFonts w:ascii="Arial" w:hAnsi="Arial" w:cs="Arial"/>
          <w:sz w:val="26"/>
          <w:szCs w:val="26"/>
        </w:rPr>
        <w:t xml:space="preserve"> remítase copia certificada d</w:t>
      </w:r>
      <w:r w:rsidR="009659BD">
        <w:rPr>
          <w:rFonts w:ascii="Arial" w:hAnsi="Arial" w:cs="Arial"/>
          <w:sz w:val="26"/>
          <w:szCs w:val="26"/>
        </w:rPr>
        <w:t>e la presente resolución a la Primera</w:t>
      </w:r>
      <w:r w:rsidRPr="00E0662D">
        <w:rPr>
          <w:rFonts w:ascii="Arial" w:hAnsi="Arial" w:cs="Arial"/>
          <w:sz w:val="26"/>
          <w:szCs w:val="26"/>
        </w:rPr>
        <w:t xml:space="preserve"> Sala Unitaria de Primera Instancia de este Tribunal y en su oportunidad archívese el presente cuaderno de revisión como asunto concluido. - - - - - - - - - - - - </w:t>
      </w:r>
      <w:r w:rsidR="000F31C8">
        <w:rPr>
          <w:rFonts w:ascii="Arial" w:hAnsi="Arial" w:cs="Arial"/>
          <w:sz w:val="26"/>
          <w:szCs w:val="26"/>
        </w:rPr>
        <w:t>- - - - - - - - - -</w:t>
      </w:r>
    </w:p>
    <w:p w14:paraId="3E9B4A91" w14:textId="6671D65B" w:rsidR="00CC2EBB" w:rsidRDefault="00F47A37" w:rsidP="002417AF">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B979B6">
        <w:rPr>
          <w:rFonts w:ascii="Arial" w:eastAsia="Times New Roman" w:hAnsi="Arial" w:cs="Arial"/>
          <w:sz w:val="26"/>
          <w:szCs w:val="26"/>
          <w:lang w:val="es-ES" w:eastAsia="es-ES"/>
        </w:rPr>
        <w:t xml:space="preserve"> (</w:t>
      </w:r>
      <w:r w:rsidR="00B979B6">
        <w:rPr>
          <w:rFonts w:ascii="Arial" w:eastAsia="Times New Roman" w:hAnsi="Arial" w:cs="Arial"/>
          <w:b/>
          <w:sz w:val="26"/>
          <w:szCs w:val="26"/>
          <w:lang w:val="es-ES" w:eastAsia="es-ES"/>
        </w:rPr>
        <w:t>ponente)</w:t>
      </w:r>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r w:rsidR="00B979B6">
        <w:rPr>
          <w:rFonts w:ascii="Arial" w:eastAsia="Times New Roman" w:hAnsi="Arial" w:cs="Arial"/>
          <w:sz w:val="26"/>
          <w:szCs w:val="26"/>
          <w:lang w:val="es-ES" w:eastAsia="es-ES"/>
        </w:rPr>
        <w:t xml:space="preserve"> - - - - - - -</w:t>
      </w:r>
    </w:p>
    <w:p w14:paraId="055DDA90" w14:textId="4CDEBEB5" w:rsidR="00790CBB" w:rsidRDefault="00790CBB" w:rsidP="00F47A37">
      <w:pPr>
        <w:widowControl w:val="0"/>
        <w:spacing w:line="360" w:lineRule="auto"/>
        <w:ind w:right="51" w:firstLine="567"/>
        <w:jc w:val="both"/>
        <w:rPr>
          <w:rFonts w:ascii="Arial" w:eastAsia="Times New Roman" w:hAnsi="Arial" w:cs="Arial"/>
          <w:sz w:val="26"/>
          <w:szCs w:val="26"/>
          <w:lang w:val="es-ES" w:eastAsia="es-ES"/>
        </w:rPr>
      </w:pPr>
    </w:p>
    <w:p w14:paraId="184709DC" w14:textId="77777777" w:rsidR="000F31C8" w:rsidRDefault="000F31C8"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lastRenderedPageBreak/>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641B53F9" w:rsidR="00F47A37" w:rsidRDefault="007324F0" w:rsidP="00461D48">
      <w:pPr>
        <w:widowControl w:val="0"/>
        <w:spacing w:after="0" w:line="240" w:lineRule="auto"/>
        <w:ind w:right="51" w:firstLine="567"/>
        <w:jc w:val="center"/>
        <w:rPr>
          <w:rFonts w:ascii="Arial" w:eastAsia="Times New Roman" w:hAnsi="Arial" w:cs="Arial"/>
          <w:sz w:val="26"/>
          <w:szCs w:val="26"/>
          <w:lang w:val="es-ES" w:eastAsia="es-ES"/>
        </w:rPr>
      </w:pPr>
      <w:r>
        <w:rPr>
          <w:rFonts w:ascii="Times New Roman" w:eastAsia="Times New Roman" w:hAnsi="Times New Roman" w:cs="Times New Roman"/>
          <w:noProof/>
          <w:color w:val="000000"/>
          <w:sz w:val="24"/>
          <w:szCs w:val="24"/>
        </w:rPr>
        <w:drawing>
          <wp:anchor distT="0" distB="0" distL="114300" distR="114300" simplePos="0" relativeHeight="251679744" behindDoc="1" locked="0" layoutInCell="1" allowOverlap="1" wp14:anchorId="55B3CF5B" wp14:editId="206D8F36">
            <wp:simplePos x="0" y="0"/>
            <wp:positionH relativeFrom="leftMargin">
              <wp:posOffset>387985</wp:posOffset>
            </wp:positionH>
            <wp:positionV relativeFrom="paragraph">
              <wp:posOffset>201930</wp:posOffset>
            </wp:positionV>
            <wp:extent cx="1024255" cy="1261745"/>
            <wp:effectExtent l="0" t="0" r="4445" b="0"/>
            <wp:wrapNone/>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47A37">
        <w:rPr>
          <w:rFonts w:ascii="Arial" w:eastAsia="Times New Roman" w:hAnsi="Arial" w:cs="Arial"/>
          <w:sz w:val="26"/>
          <w:szCs w:val="26"/>
          <w:lang w:val="es-ES" w:eastAsia="es-ES"/>
        </w:rPr>
        <w:t>PRESIDENTE</w:t>
      </w:r>
    </w:p>
    <w:p w14:paraId="3F152951" w14:textId="762EF03E" w:rsidR="00461D48" w:rsidRDefault="00461D48"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(PONENTE)</w:t>
      </w:r>
    </w:p>
    <w:p w14:paraId="7C968AF2" w14:textId="5789FF7D" w:rsidR="00790CBB" w:rsidRDefault="00790CBB" w:rsidP="00F47A37">
      <w:pPr>
        <w:widowControl w:val="0"/>
        <w:spacing w:line="360" w:lineRule="auto"/>
        <w:ind w:right="51" w:firstLine="567"/>
        <w:jc w:val="center"/>
        <w:rPr>
          <w:rFonts w:ascii="Arial" w:eastAsia="Times New Roman" w:hAnsi="Arial" w:cs="Arial"/>
          <w:sz w:val="26"/>
          <w:szCs w:val="26"/>
          <w:lang w:val="es-ES" w:eastAsia="es-ES"/>
        </w:rPr>
      </w:pPr>
    </w:p>
    <w:p w14:paraId="66E4A123"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110C2AB4" w14:textId="77777777"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200065B1" w14:textId="5BFBFDCE"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6D44BB86" w14:textId="7CFDB2B6"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2BBDF903"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C76F626" w14:textId="3D36D532"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7B9DAA3D" w14:textId="0D8C92B8"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64E56765"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bookmarkEnd w:id="3"/>
    </w:p>
    <w:sectPr w:rsidR="00E34A79" w:rsidSect="00106C37">
      <w:headerReference w:type="default" r:id="rId9"/>
      <w:footerReference w:type="default" r:id="rId10"/>
      <w:headerReference w:type="first" r:id="rId11"/>
      <w:pgSz w:w="12240" w:h="20160" w:code="5"/>
      <w:pgMar w:top="1134"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F58B2" w14:textId="77777777" w:rsidR="00275623" w:rsidRDefault="00275623" w:rsidP="00604752">
      <w:pPr>
        <w:spacing w:after="0" w:line="240" w:lineRule="auto"/>
      </w:pPr>
      <w:r>
        <w:separator/>
      </w:r>
    </w:p>
  </w:endnote>
  <w:endnote w:type="continuationSeparator" w:id="0">
    <w:p w14:paraId="29AB2DB8" w14:textId="77777777" w:rsidR="00275623" w:rsidRDefault="0027562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altName w:val="Arial"/>
    <w:charset w:val="00"/>
    <w:family w:val="swiss"/>
    <w:pitch w:val="variable"/>
    <w:sig w:usb0="00000001"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18610" w14:textId="77777777" w:rsidR="00275623" w:rsidRDefault="00275623" w:rsidP="00604752">
      <w:pPr>
        <w:spacing w:after="0" w:line="240" w:lineRule="auto"/>
      </w:pPr>
      <w:r>
        <w:separator/>
      </w:r>
    </w:p>
  </w:footnote>
  <w:footnote w:type="continuationSeparator" w:id="0">
    <w:p w14:paraId="30D8869B" w14:textId="77777777" w:rsidR="00275623" w:rsidRDefault="00275623" w:rsidP="00604752">
      <w:pPr>
        <w:spacing w:after="0" w:line="240" w:lineRule="auto"/>
      </w:pPr>
      <w:r>
        <w:continuationSeparator/>
      </w:r>
    </w:p>
  </w:footnote>
  <w:footnote w:id="1">
    <w:p w14:paraId="71B210C7" w14:textId="1511C6B7" w:rsidR="003C3183" w:rsidRPr="007C426D" w:rsidRDefault="003C3183" w:rsidP="000F31C8">
      <w:pPr>
        <w:pStyle w:val="Textonotapie"/>
        <w:spacing w:after="240" w:line="276" w:lineRule="auto"/>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w:t>
      </w:r>
      <w:r w:rsidRPr="007C426D">
        <w:rPr>
          <w:rFonts w:ascii="Arial" w:hAnsi="Arial" w:cs="Arial"/>
          <w:b/>
          <w:bCs/>
          <w:i/>
          <w:color w:val="000000"/>
        </w:rPr>
        <w:t>“CONCEPTOS DE VIOLACIÓN. NO ES OBLIGATORIO TRANSCRIBIRLOS EN LA SENTENCIA</w:t>
      </w:r>
      <w:r w:rsidRPr="007C426D">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44964B31" w14:textId="77777777" w:rsidR="00902D9A" w:rsidRDefault="00902D9A" w:rsidP="00902D9A">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54CF610E" w14:textId="77777777" w:rsidR="00902D9A" w:rsidRPr="00076FB9" w:rsidRDefault="00902D9A" w:rsidP="00902D9A">
      <w:pPr>
        <w:pStyle w:val="Textonotapie"/>
        <w:jc w:val="both"/>
        <w:rPr>
          <w:rFonts w:ascii="Arial" w:hAnsi="Arial" w:cs="Arial"/>
          <w:i/>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3">
    <w:p w14:paraId="32CB3027" w14:textId="77777777" w:rsidR="00902D9A" w:rsidRPr="00DD7D72" w:rsidRDefault="00902D9A" w:rsidP="00902D9A">
      <w:pPr>
        <w:pStyle w:val="Textonotapie"/>
        <w:jc w:val="both"/>
        <w:rPr>
          <w:rFonts w:ascii="Arial" w:hAnsi="Arial" w:cs="Arial"/>
        </w:rPr>
      </w:pPr>
      <w:r w:rsidRPr="00DD7D72">
        <w:rPr>
          <w:rStyle w:val="Refdenotaalpie"/>
          <w:rFonts w:ascii="Arial" w:hAnsi="Arial" w:cs="Arial"/>
        </w:rPr>
        <w:footnoteRef/>
      </w:r>
      <w:r w:rsidRPr="00DD7D72">
        <w:rPr>
          <w:rFonts w:ascii="Arial" w:hAnsi="Arial" w:cs="Arial"/>
        </w:rPr>
        <w:t xml:space="preserve"> Visible en las fojas 12 (doce) y 13 (trece) del expediente </w:t>
      </w:r>
      <w:r w:rsidRPr="00DD7D72">
        <w:rPr>
          <w:rFonts w:ascii="Arial" w:hAnsi="Arial" w:cs="Arial"/>
          <w:b/>
        </w:rPr>
        <w:t>0040/2022</w:t>
      </w:r>
      <w:r w:rsidRPr="00DD7D72">
        <w:rPr>
          <w:rFonts w:ascii="Arial" w:hAnsi="Arial" w:cs="Arial"/>
        </w:rPr>
        <w:t xml:space="preserve"> del índice de la Primera Sala Unitaria de Primera Instancia.</w:t>
      </w:r>
    </w:p>
  </w:footnote>
  <w:footnote w:id="4">
    <w:p w14:paraId="38030862" w14:textId="77777777" w:rsidR="00902D9A" w:rsidRPr="00BE2DF8" w:rsidRDefault="00902D9A" w:rsidP="00902D9A">
      <w:pPr>
        <w:pStyle w:val="Textonotapie"/>
        <w:rPr>
          <w:rFonts w:ascii="Arial" w:hAnsi="Arial" w:cs="Arial"/>
          <w:i/>
        </w:rPr>
      </w:pPr>
      <w:r w:rsidRPr="00BE2DF8">
        <w:rPr>
          <w:rStyle w:val="Refdenotaalpie"/>
          <w:rFonts w:ascii="Arial" w:hAnsi="Arial" w:cs="Arial"/>
        </w:rPr>
        <w:footnoteRef/>
      </w:r>
      <w:r w:rsidRPr="00BE2DF8">
        <w:rPr>
          <w:rFonts w:ascii="Arial" w:hAnsi="Arial" w:cs="Arial"/>
        </w:rPr>
        <w:t xml:space="preserve"> Fojas 08 (ocho) a la 11 (once), </w:t>
      </w:r>
      <w:r w:rsidRPr="00BE2DF8">
        <w:rPr>
          <w:rFonts w:ascii="Arial" w:hAnsi="Arial" w:cs="Arial"/>
          <w:i/>
        </w:rPr>
        <w:t>ibídem.</w:t>
      </w:r>
    </w:p>
  </w:footnote>
  <w:footnote w:id="5">
    <w:p w14:paraId="676564A0" w14:textId="77777777" w:rsidR="00902D9A" w:rsidRPr="002A328D" w:rsidRDefault="00902D9A" w:rsidP="00902D9A">
      <w:pPr>
        <w:pStyle w:val="Textonotapie"/>
        <w:rPr>
          <w:rFonts w:ascii="Arial" w:hAnsi="Arial" w:cs="Arial"/>
          <w:i/>
        </w:rPr>
      </w:pPr>
      <w:r w:rsidRPr="002A328D">
        <w:rPr>
          <w:rStyle w:val="Refdenotaalpie"/>
          <w:rFonts w:ascii="Arial" w:hAnsi="Arial" w:cs="Arial"/>
        </w:rPr>
        <w:footnoteRef/>
      </w:r>
      <w:r w:rsidRPr="002A328D">
        <w:rPr>
          <w:rFonts w:ascii="Arial" w:hAnsi="Arial" w:cs="Arial"/>
        </w:rPr>
        <w:t xml:space="preserve"> Glosada de la foja 150 (ciento cincuenta) a la 154 (ciento cincuenta y cuatro), </w:t>
      </w:r>
      <w:r w:rsidRPr="002A328D">
        <w:rPr>
          <w:rFonts w:ascii="Arial" w:hAnsi="Arial" w:cs="Arial"/>
          <w:i/>
        </w:rPr>
        <w:t xml:space="preserve">ibídem. </w:t>
      </w:r>
    </w:p>
  </w:footnote>
  <w:footnote w:id="6">
    <w:p w14:paraId="37D243D7" w14:textId="77777777" w:rsidR="00902D9A" w:rsidRPr="00B43A57" w:rsidRDefault="00902D9A" w:rsidP="00902D9A">
      <w:pPr>
        <w:pStyle w:val="Textonotapie"/>
        <w:jc w:val="both"/>
        <w:rPr>
          <w:rFonts w:ascii="Arial" w:hAnsi="Arial" w:cs="Arial"/>
        </w:rPr>
      </w:pPr>
      <w:r w:rsidRPr="00B43A57">
        <w:rPr>
          <w:rStyle w:val="Refdenotaalpie"/>
          <w:rFonts w:ascii="Arial" w:hAnsi="Arial" w:cs="Arial"/>
        </w:rPr>
        <w:footnoteRef/>
      </w:r>
      <w:r w:rsidRPr="00B43A57">
        <w:rPr>
          <w:rFonts w:ascii="Arial" w:hAnsi="Arial" w:cs="Arial"/>
        </w:rPr>
        <w:t xml:space="preserve"> Consultable de la foja 8 (ocho) a la 11 (once) del expediente </w:t>
      </w:r>
      <w:r>
        <w:rPr>
          <w:rFonts w:ascii="Arial" w:hAnsi="Arial" w:cs="Arial"/>
        </w:rPr>
        <w:t>00</w:t>
      </w:r>
      <w:r w:rsidRPr="00B43A57">
        <w:rPr>
          <w:rFonts w:ascii="Arial" w:hAnsi="Arial" w:cs="Arial"/>
        </w:rPr>
        <w:t>40/2022 del índice la Primera Sala Unitaria de Primera Instancia.</w:t>
      </w:r>
    </w:p>
  </w:footnote>
  <w:footnote w:id="7">
    <w:p w14:paraId="1881504C" w14:textId="77777777" w:rsidR="00902D9A" w:rsidRPr="00544C10" w:rsidRDefault="00902D9A" w:rsidP="00902D9A">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8">
    <w:p w14:paraId="33F22823" w14:textId="77777777" w:rsidR="00902D9A" w:rsidRPr="00EA4045" w:rsidRDefault="00902D9A" w:rsidP="00EA4045">
      <w:pPr>
        <w:pStyle w:val="Textonotapie"/>
        <w:spacing w:line="360" w:lineRule="auto"/>
        <w:jc w:val="both"/>
        <w:rPr>
          <w:rFonts w:ascii="Arial" w:hAnsi="Arial" w:cs="Arial"/>
        </w:rPr>
      </w:pPr>
      <w:r w:rsidRPr="00EA4045">
        <w:rPr>
          <w:rStyle w:val="Refdenotaalpie"/>
          <w:rFonts w:ascii="Arial" w:hAnsi="Arial" w:cs="Arial"/>
        </w:rPr>
        <w:footnoteRef/>
      </w:r>
      <w:r w:rsidRPr="00EA4045">
        <w:rPr>
          <w:rFonts w:ascii="Arial" w:hAnsi="Arial" w:cs="Arial"/>
        </w:rPr>
        <w:t xml:space="preserve"> </w:t>
      </w:r>
      <w:hyperlink r:id="rId1" w:history="1">
        <w:r w:rsidRPr="00EA4045">
          <w:rPr>
            <w:rStyle w:val="Hipervnculo"/>
            <w:rFonts w:ascii="Arial" w:hAnsi="Arial" w:cs="Arial"/>
          </w:rPr>
          <w:t>http://www.periodicooficial.oaxaca.gob.mx/files/2018/06/SEC23-04TA-2018-06-09.pdf</w:t>
        </w:r>
      </w:hyperlink>
      <w:r w:rsidRPr="00EA4045">
        <w:rPr>
          <w:rFonts w:ascii="Arial" w:hAnsi="Arial" w:cs="Arial"/>
        </w:rPr>
        <w:t xml:space="preserve"> </w:t>
      </w:r>
    </w:p>
  </w:footnote>
  <w:footnote w:id="9">
    <w:p w14:paraId="18F01406" w14:textId="715811BB" w:rsidR="00051F7D" w:rsidRPr="00EA4045" w:rsidRDefault="00051F7D" w:rsidP="00EA4045">
      <w:pPr>
        <w:pStyle w:val="Textonotapie"/>
        <w:spacing w:line="360" w:lineRule="auto"/>
        <w:rPr>
          <w:rFonts w:ascii="Arial" w:hAnsi="Arial" w:cs="Arial"/>
          <w:i/>
        </w:rPr>
      </w:pPr>
      <w:r w:rsidRPr="00EA4045">
        <w:rPr>
          <w:rStyle w:val="Refdenotaalpie"/>
          <w:rFonts w:ascii="Arial" w:hAnsi="Arial" w:cs="Arial"/>
          <w:i/>
        </w:rPr>
        <w:footnoteRef/>
      </w:r>
      <w:r w:rsidRPr="00EA4045">
        <w:rPr>
          <w:rFonts w:ascii="Arial" w:hAnsi="Arial" w:cs="Arial"/>
          <w:i/>
        </w:rPr>
        <w:t xml:space="preserve"> </w:t>
      </w:r>
      <w:r w:rsidRPr="00EA4045">
        <w:rPr>
          <w:rFonts w:ascii="Arial" w:hAnsi="Arial" w:cs="Arial"/>
          <w:b/>
          <w:i/>
        </w:rPr>
        <w:t xml:space="preserve">“Artículo 161. </w:t>
      </w:r>
      <w:r w:rsidRPr="00EA4045">
        <w:rPr>
          <w:rFonts w:ascii="Arial" w:hAnsi="Arial" w:cs="Arial"/>
          <w:i/>
        </w:rPr>
        <w:t>Son atribuciones de la Dirección de Obras Públicas:</w:t>
      </w:r>
    </w:p>
    <w:p w14:paraId="5AAD2294" w14:textId="5ED64070" w:rsidR="00051F7D" w:rsidRPr="00EA4045" w:rsidRDefault="00051F7D" w:rsidP="00EA4045">
      <w:pPr>
        <w:pStyle w:val="Textonotapie"/>
        <w:spacing w:line="360" w:lineRule="auto"/>
        <w:jc w:val="both"/>
        <w:rPr>
          <w:rFonts w:ascii="Arial" w:hAnsi="Arial" w:cs="Arial"/>
          <w:i/>
        </w:rPr>
      </w:pPr>
      <w:r w:rsidRPr="00EA4045">
        <w:rPr>
          <w:rFonts w:ascii="Arial" w:hAnsi="Arial" w:cs="Arial"/>
          <w:i/>
        </w:rPr>
        <w:t xml:space="preserve">IX.- Analizar y autorizar las solicitudes de trámite de licencia de construcción </w:t>
      </w:r>
      <w:r w:rsidR="00EA4045" w:rsidRPr="00EA4045">
        <w:rPr>
          <w:rFonts w:ascii="Arial" w:hAnsi="Arial" w:cs="Arial"/>
          <w:i/>
        </w:rPr>
        <w:t>de obra mayor y menor, privada y pública, alineamiento, número oficial, uso de suelo, subdivisión, fusión, impacto urbano, como parte del cumplimiento a los instrumentos de los planes de desarrollo urbano, de acuerdo a lo establecido en la normatividad aplicable</w:t>
      </w:r>
      <w:r w:rsidR="00EA4045">
        <w:rPr>
          <w:rFonts w:ascii="Arial" w:hAnsi="Arial" w:cs="Arial"/>
          <w:i/>
        </w:rPr>
        <w:t>”</w:t>
      </w:r>
      <w:r w:rsidR="00EA4045" w:rsidRPr="00EA4045">
        <w:rPr>
          <w:rFonts w:ascii="Arial" w:hAnsi="Arial" w:cs="Arial"/>
          <w:i/>
        </w:rPr>
        <w:t>.</w:t>
      </w:r>
    </w:p>
  </w:footnote>
  <w:footnote w:id="10">
    <w:p w14:paraId="5E22F75C" w14:textId="4A96D2D1" w:rsidR="00051F7D" w:rsidRPr="00051F7D" w:rsidRDefault="00051F7D" w:rsidP="00EA4045">
      <w:pPr>
        <w:pStyle w:val="Textonotapie"/>
        <w:spacing w:line="360" w:lineRule="auto"/>
        <w:jc w:val="both"/>
        <w:rPr>
          <w:rFonts w:ascii="Arial" w:hAnsi="Arial" w:cs="Arial"/>
          <w:i/>
        </w:rPr>
      </w:pPr>
      <w:r w:rsidRPr="00051F7D">
        <w:rPr>
          <w:rStyle w:val="Refdenotaalpie"/>
          <w:rFonts w:ascii="Arial" w:hAnsi="Arial" w:cs="Arial"/>
          <w:i/>
        </w:rPr>
        <w:footnoteRef/>
      </w:r>
      <w:r w:rsidRPr="00051F7D">
        <w:rPr>
          <w:rFonts w:ascii="Arial" w:hAnsi="Arial" w:cs="Arial"/>
          <w:i/>
        </w:rPr>
        <w:t xml:space="preserve"> </w:t>
      </w:r>
      <w:r w:rsidRPr="00051F7D">
        <w:rPr>
          <w:rFonts w:ascii="Arial" w:hAnsi="Arial" w:cs="Arial"/>
          <w:b/>
          <w:i/>
        </w:rPr>
        <w:t xml:space="preserve">“ARTÍCULO 17.- </w:t>
      </w:r>
      <w:r w:rsidRPr="00051F7D">
        <w:rPr>
          <w:rFonts w:ascii="Arial" w:hAnsi="Arial" w:cs="Arial"/>
          <w:i/>
        </w:rPr>
        <w:t>Son elementos y requisitos de validez del acto administrativo:</w:t>
      </w:r>
    </w:p>
    <w:p w14:paraId="3FC554E8" w14:textId="1944BD80" w:rsidR="00051F7D" w:rsidRPr="00051F7D" w:rsidRDefault="00051F7D" w:rsidP="00EA4045">
      <w:pPr>
        <w:pStyle w:val="Textonotapie"/>
        <w:spacing w:line="360" w:lineRule="auto"/>
        <w:jc w:val="both"/>
        <w:rPr>
          <w:rFonts w:ascii="Arial" w:hAnsi="Arial" w:cs="Arial"/>
          <w:i/>
        </w:rPr>
      </w:pPr>
      <w:r w:rsidRPr="00051F7D">
        <w:rPr>
          <w:rFonts w:ascii="Arial" w:hAnsi="Arial" w:cs="Arial"/>
          <w:i/>
        </w:rPr>
        <w:t>I. Ser expedido por órgano competente, a través de servidor público, y en caso de que dicho órgano fuere colegiado, reúna las formalidades de la ley o decreto en que se funde para emitirlo;</w:t>
      </w:r>
      <w:r>
        <w:rPr>
          <w:rFonts w:ascii="Arial" w:hAnsi="Arial" w:cs="Arial"/>
          <w:i/>
        </w:rPr>
        <w:t>…”</w:t>
      </w:r>
    </w:p>
  </w:footnote>
  <w:footnote w:id="11">
    <w:p w14:paraId="6BFA86DA" w14:textId="77777777" w:rsidR="00902D9A" w:rsidRPr="00ED655B" w:rsidRDefault="00902D9A" w:rsidP="00EA4045">
      <w:pPr>
        <w:pStyle w:val="Textonotapie"/>
        <w:spacing w:line="360" w:lineRule="auto"/>
        <w:jc w:val="both"/>
        <w:rPr>
          <w:rFonts w:ascii="Arial" w:hAnsi="Arial" w:cs="Arial"/>
        </w:rPr>
      </w:pPr>
      <w:r w:rsidRPr="00ED655B">
        <w:rPr>
          <w:rStyle w:val="Refdenotaalpie"/>
          <w:rFonts w:ascii="Arial" w:hAnsi="Arial" w:cs="Arial"/>
        </w:rPr>
        <w:footnoteRef/>
      </w:r>
      <w:r w:rsidRPr="00ED655B">
        <w:rPr>
          <w:rFonts w:ascii="Arial" w:hAnsi="Arial" w:cs="Arial"/>
        </w:rPr>
        <w:t xml:space="preserve"> Consultable de la foja 8 (ocho) a la 11 (once) del expediente </w:t>
      </w:r>
      <w:r w:rsidRPr="00ED655B">
        <w:rPr>
          <w:rFonts w:ascii="Arial" w:hAnsi="Arial" w:cs="Arial"/>
          <w:b/>
        </w:rPr>
        <w:t>0040/2022</w:t>
      </w:r>
      <w:r w:rsidRPr="00ED655B">
        <w:rPr>
          <w:rFonts w:ascii="Arial" w:hAnsi="Arial" w:cs="Arial"/>
        </w:rPr>
        <w:t xml:space="preserve"> del Índice de la Primera Sala Unitaria de Primera Instancia.  </w:t>
      </w:r>
    </w:p>
  </w:footnote>
  <w:footnote w:id="12">
    <w:p w14:paraId="0514459F" w14:textId="77777777" w:rsidR="00902D9A" w:rsidRPr="009A51C8" w:rsidRDefault="00902D9A" w:rsidP="00902D9A">
      <w:pPr>
        <w:pStyle w:val="Textonotapie"/>
        <w:rPr>
          <w:lang w:val="es-ES"/>
        </w:rPr>
      </w:pPr>
      <w:r>
        <w:rPr>
          <w:rStyle w:val="Refdenotaalpie"/>
        </w:rPr>
        <w:footnoteRef/>
      </w:r>
      <w:r>
        <w:t xml:space="preserve"> </w:t>
      </w:r>
      <w:hyperlink r:id="rId2" w:history="1">
        <w:r w:rsidRPr="003168BB">
          <w:rPr>
            <w:rStyle w:val="Hipervnculo"/>
          </w:rPr>
          <w:t>https://sjf2.scjn.gob.mx/detalle/tesis/188431</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556683"/>
      <w:docPartObj>
        <w:docPartGallery w:val="Page Numbers (Top of Page)"/>
        <w:docPartUnique/>
      </w:docPartObj>
    </w:sdtPr>
    <w:sdtEndPr/>
    <w:sdtContent>
      <w:p w14:paraId="3BD03D80" w14:textId="7672760F" w:rsidR="003C3183" w:rsidRDefault="00AA234A">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19663ACC">
              <wp:simplePos x="0" y="0"/>
              <wp:positionH relativeFrom="column">
                <wp:posOffset>718820</wp:posOffset>
              </wp:positionH>
              <wp:positionV relativeFrom="paragraph">
                <wp:posOffset>-457835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3183">
          <w:fldChar w:fldCharType="begin"/>
        </w:r>
        <w:r w:rsidR="003C3183">
          <w:instrText>PAGE   \* MERGEFORMAT</w:instrText>
        </w:r>
        <w:r w:rsidR="003C3183">
          <w:fldChar w:fldCharType="separate"/>
        </w:r>
        <w:r w:rsidR="007324F0" w:rsidRPr="007324F0">
          <w:rPr>
            <w:noProof/>
            <w:lang w:val="es-ES"/>
          </w:rPr>
          <w:t>16</w:t>
        </w:r>
        <w:r w:rsidR="003C3183">
          <w:fldChar w:fldCharType="end"/>
        </w:r>
      </w:p>
    </w:sdtContent>
  </w:sdt>
  <w:p w14:paraId="6DE680F6" w14:textId="5F6E9718" w:rsidR="003C3183" w:rsidRDefault="003C318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701833"/>
      <w:docPartObj>
        <w:docPartGallery w:val="Page Numbers (Top of Page)"/>
        <w:docPartUnique/>
      </w:docPartObj>
    </w:sdtPr>
    <w:sdtEndPr/>
    <w:sdtContent>
      <w:p w14:paraId="43039DC9" w14:textId="1E056654"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7705E9B6">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7324F0" w:rsidRPr="007324F0">
          <w:rPr>
            <w:noProof/>
            <w:lang w:val="es-ES"/>
          </w:rPr>
          <w:t>1</w:t>
        </w:r>
        <w:r>
          <w:fldChar w:fldCharType="end"/>
        </w:r>
      </w:p>
    </w:sdtContent>
  </w:sdt>
  <w:p w14:paraId="703CC1EE" w14:textId="3ECB9DF8" w:rsidR="003C3183" w:rsidRDefault="00AA234A">
    <w:pPr>
      <w:pStyle w:val="Encabezado"/>
    </w:pPr>
    <w:r>
      <w:rPr>
        <w:rFonts w:ascii="Times New Roman" w:eastAsia="Times New Roman" w:hAnsi="Times New Roman" w:cs="Times New Roman"/>
        <w:noProof/>
        <w:color w:val="000000"/>
        <w:sz w:val="24"/>
        <w:szCs w:val="24"/>
      </w:rPr>
      <w:drawing>
        <wp:anchor distT="0" distB="0" distL="114300" distR="114300" simplePos="0" relativeHeight="251663360" behindDoc="1" locked="0" layoutInCell="1" allowOverlap="1" wp14:anchorId="10BD78A1" wp14:editId="131D35B5">
          <wp:simplePos x="0" y="0"/>
          <wp:positionH relativeFrom="leftMargin">
            <wp:posOffset>352425</wp:posOffset>
          </wp:positionH>
          <wp:positionV relativeFrom="paragraph">
            <wp:posOffset>807720</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7218"/>
    <w:multiLevelType w:val="hybridMultilevel"/>
    <w:tmpl w:val="5C26B46C"/>
    <w:lvl w:ilvl="0" w:tplc="5ECE84A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5" w15:restartNumberingAfterBreak="0">
    <w:nsid w:val="1F35688E"/>
    <w:multiLevelType w:val="hybridMultilevel"/>
    <w:tmpl w:val="B76C4F48"/>
    <w:lvl w:ilvl="0" w:tplc="080A000B">
      <w:start w:val="1"/>
      <w:numFmt w:val="bullet"/>
      <w:lvlText w:val=""/>
      <w:lvlJc w:val="left"/>
      <w:pPr>
        <w:ind w:left="1770" w:hanging="360"/>
      </w:pPr>
      <w:rPr>
        <w:rFonts w:ascii="Wingdings" w:hAnsi="Wingdings" w:hint="default"/>
      </w:rPr>
    </w:lvl>
    <w:lvl w:ilvl="1" w:tplc="080A0003" w:tentative="1">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6"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9"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8"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1"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3"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12"/>
  </w:num>
  <w:num w:numId="2">
    <w:abstractNumId w:val="15"/>
  </w:num>
  <w:num w:numId="3">
    <w:abstractNumId w:val="21"/>
  </w:num>
  <w:num w:numId="4">
    <w:abstractNumId w:val="9"/>
  </w:num>
  <w:num w:numId="5">
    <w:abstractNumId w:val="18"/>
  </w:num>
  <w:num w:numId="6">
    <w:abstractNumId w:val="11"/>
  </w:num>
  <w:num w:numId="7">
    <w:abstractNumId w:val="19"/>
  </w:num>
  <w:num w:numId="8">
    <w:abstractNumId w:val="6"/>
  </w:num>
  <w:num w:numId="9">
    <w:abstractNumId w:val="7"/>
  </w:num>
  <w:num w:numId="10">
    <w:abstractNumId w:val="4"/>
  </w:num>
  <w:num w:numId="11">
    <w:abstractNumId w:val="3"/>
  </w:num>
  <w:num w:numId="12">
    <w:abstractNumId w:val="13"/>
  </w:num>
  <w:num w:numId="13">
    <w:abstractNumId w:val="16"/>
  </w:num>
  <w:num w:numId="14">
    <w:abstractNumId w:val="10"/>
  </w:num>
  <w:num w:numId="15">
    <w:abstractNumId w:val="1"/>
  </w:num>
  <w:num w:numId="16">
    <w:abstractNumId w:val="14"/>
  </w:num>
  <w:num w:numId="17">
    <w:abstractNumId w:val="17"/>
  </w:num>
  <w:num w:numId="18">
    <w:abstractNumId w:val="2"/>
  </w:num>
  <w:num w:numId="19">
    <w:abstractNumId w:val="22"/>
  </w:num>
  <w:num w:numId="20">
    <w:abstractNumId w:val="23"/>
  </w:num>
  <w:num w:numId="21">
    <w:abstractNumId w:val="8"/>
  </w:num>
  <w:num w:numId="22">
    <w:abstractNumId w:val="20"/>
  </w:num>
  <w:num w:numId="23">
    <w:abstractNumId w:val="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9E3"/>
    <w:rsid w:val="000029A3"/>
    <w:rsid w:val="00004A09"/>
    <w:rsid w:val="000066B4"/>
    <w:rsid w:val="0000716D"/>
    <w:rsid w:val="000075F3"/>
    <w:rsid w:val="00007750"/>
    <w:rsid w:val="00010FF4"/>
    <w:rsid w:val="00012F54"/>
    <w:rsid w:val="00012FB2"/>
    <w:rsid w:val="0001384A"/>
    <w:rsid w:val="00015085"/>
    <w:rsid w:val="00015A4E"/>
    <w:rsid w:val="00016847"/>
    <w:rsid w:val="000203B2"/>
    <w:rsid w:val="00021165"/>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1F7D"/>
    <w:rsid w:val="0005415A"/>
    <w:rsid w:val="00055C88"/>
    <w:rsid w:val="00057B7A"/>
    <w:rsid w:val="00060198"/>
    <w:rsid w:val="000606F7"/>
    <w:rsid w:val="00064AC2"/>
    <w:rsid w:val="000662B7"/>
    <w:rsid w:val="00070480"/>
    <w:rsid w:val="00070605"/>
    <w:rsid w:val="00075A85"/>
    <w:rsid w:val="00076B04"/>
    <w:rsid w:val="000809C3"/>
    <w:rsid w:val="00083AB0"/>
    <w:rsid w:val="00090D04"/>
    <w:rsid w:val="00092E1F"/>
    <w:rsid w:val="00093A8B"/>
    <w:rsid w:val="00094C52"/>
    <w:rsid w:val="00094E83"/>
    <w:rsid w:val="000951F5"/>
    <w:rsid w:val="00096FC9"/>
    <w:rsid w:val="0009786A"/>
    <w:rsid w:val="000A003F"/>
    <w:rsid w:val="000A25F3"/>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EB2"/>
    <w:rsid w:val="000D1115"/>
    <w:rsid w:val="000D1520"/>
    <w:rsid w:val="000D23FD"/>
    <w:rsid w:val="000D43D4"/>
    <w:rsid w:val="000D6A96"/>
    <w:rsid w:val="000D6EB7"/>
    <w:rsid w:val="000D730C"/>
    <w:rsid w:val="000E05B1"/>
    <w:rsid w:val="000E1601"/>
    <w:rsid w:val="000E2FD3"/>
    <w:rsid w:val="000E4994"/>
    <w:rsid w:val="000E728E"/>
    <w:rsid w:val="000F22D4"/>
    <w:rsid w:val="000F31C8"/>
    <w:rsid w:val="000F39BF"/>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837"/>
    <w:rsid w:val="001A6F21"/>
    <w:rsid w:val="001A74A0"/>
    <w:rsid w:val="001B0663"/>
    <w:rsid w:val="001B137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7AF"/>
    <w:rsid w:val="002419CF"/>
    <w:rsid w:val="002432AA"/>
    <w:rsid w:val="00244364"/>
    <w:rsid w:val="00245075"/>
    <w:rsid w:val="00251577"/>
    <w:rsid w:val="002519E7"/>
    <w:rsid w:val="00252425"/>
    <w:rsid w:val="0025245F"/>
    <w:rsid w:val="002524BD"/>
    <w:rsid w:val="00252E0F"/>
    <w:rsid w:val="00254021"/>
    <w:rsid w:val="0025734C"/>
    <w:rsid w:val="00263D95"/>
    <w:rsid w:val="002647FE"/>
    <w:rsid w:val="00265704"/>
    <w:rsid w:val="00267C69"/>
    <w:rsid w:val="0027164D"/>
    <w:rsid w:val="0027381E"/>
    <w:rsid w:val="00273FAA"/>
    <w:rsid w:val="002744FF"/>
    <w:rsid w:val="002747AF"/>
    <w:rsid w:val="00274E07"/>
    <w:rsid w:val="00275623"/>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8D3"/>
    <w:rsid w:val="002C4C27"/>
    <w:rsid w:val="002C501F"/>
    <w:rsid w:val="002D0236"/>
    <w:rsid w:val="002D1F19"/>
    <w:rsid w:val="002D696F"/>
    <w:rsid w:val="002D794E"/>
    <w:rsid w:val="002E0F64"/>
    <w:rsid w:val="002E1756"/>
    <w:rsid w:val="002E19D5"/>
    <w:rsid w:val="002E2170"/>
    <w:rsid w:val="002E51ED"/>
    <w:rsid w:val="002E6A31"/>
    <w:rsid w:val="002F02FB"/>
    <w:rsid w:val="002F08AA"/>
    <w:rsid w:val="002F0F70"/>
    <w:rsid w:val="002F2F88"/>
    <w:rsid w:val="002F4A47"/>
    <w:rsid w:val="002F62ED"/>
    <w:rsid w:val="002F71C8"/>
    <w:rsid w:val="00300882"/>
    <w:rsid w:val="00301470"/>
    <w:rsid w:val="003039BE"/>
    <w:rsid w:val="00304F2A"/>
    <w:rsid w:val="003054D8"/>
    <w:rsid w:val="003056FB"/>
    <w:rsid w:val="003057ED"/>
    <w:rsid w:val="00307C60"/>
    <w:rsid w:val="00310690"/>
    <w:rsid w:val="0031131E"/>
    <w:rsid w:val="003119B9"/>
    <w:rsid w:val="00312248"/>
    <w:rsid w:val="00312C45"/>
    <w:rsid w:val="00313126"/>
    <w:rsid w:val="00314C35"/>
    <w:rsid w:val="0031715B"/>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5C"/>
    <w:rsid w:val="0040451D"/>
    <w:rsid w:val="004107AC"/>
    <w:rsid w:val="00410B01"/>
    <w:rsid w:val="00411671"/>
    <w:rsid w:val="00411AB4"/>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558"/>
    <w:rsid w:val="00442EFA"/>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60CAD"/>
    <w:rsid w:val="00461A98"/>
    <w:rsid w:val="00461D48"/>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0D6A"/>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F63"/>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67FA"/>
    <w:rsid w:val="00580B33"/>
    <w:rsid w:val="005814B7"/>
    <w:rsid w:val="00581667"/>
    <w:rsid w:val="00582A31"/>
    <w:rsid w:val="005835BB"/>
    <w:rsid w:val="00583B55"/>
    <w:rsid w:val="00583E3A"/>
    <w:rsid w:val="0058415D"/>
    <w:rsid w:val="00584541"/>
    <w:rsid w:val="0058481F"/>
    <w:rsid w:val="0058547F"/>
    <w:rsid w:val="00590AE5"/>
    <w:rsid w:val="00591D82"/>
    <w:rsid w:val="00592098"/>
    <w:rsid w:val="0059353C"/>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18B"/>
    <w:rsid w:val="005C329C"/>
    <w:rsid w:val="005C39A5"/>
    <w:rsid w:val="005C3D34"/>
    <w:rsid w:val="005C3E3A"/>
    <w:rsid w:val="005C499D"/>
    <w:rsid w:val="005C4ECD"/>
    <w:rsid w:val="005C5CFD"/>
    <w:rsid w:val="005C7A41"/>
    <w:rsid w:val="005D186E"/>
    <w:rsid w:val="005D1C10"/>
    <w:rsid w:val="005D1CB6"/>
    <w:rsid w:val="005D28D8"/>
    <w:rsid w:val="005D3B58"/>
    <w:rsid w:val="005D444A"/>
    <w:rsid w:val="005D495F"/>
    <w:rsid w:val="005D64B5"/>
    <w:rsid w:val="005D6536"/>
    <w:rsid w:val="005E2092"/>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20928"/>
    <w:rsid w:val="00620938"/>
    <w:rsid w:val="006217D7"/>
    <w:rsid w:val="006249F5"/>
    <w:rsid w:val="00625ECE"/>
    <w:rsid w:val="0062715A"/>
    <w:rsid w:val="00627291"/>
    <w:rsid w:val="00630024"/>
    <w:rsid w:val="00631280"/>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57101"/>
    <w:rsid w:val="0066005E"/>
    <w:rsid w:val="00661DF3"/>
    <w:rsid w:val="00662D5D"/>
    <w:rsid w:val="00663D6B"/>
    <w:rsid w:val="0066436A"/>
    <w:rsid w:val="00670A60"/>
    <w:rsid w:val="00671A70"/>
    <w:rsid w:val="00672582"/>
    <w:rsid w:val="00676804"/>
    <w:rsid w:val="006801B9"/>
    <w:rsid w:val="0068021E"/>
    <w:rsid w:val="00683324"/>
    <w:rsid w:val="006834CB"/>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1046"/>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7920"/>
    <w:rsid w:val="00707F17"/>
    <w:rsid w:val="00710FBC"/>
    <w:rsid w:val="00711A7B"/>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4F0"/>
    <w:rsid w:val="007325E9"/>
    <w:rsid w:val="00732F50"/>
    <w:rsid w:val="007345E0"/>
    <w:rsid w:val="00734A25"/>
    <w:rsid w:val="007350E0"/>
    <w:rsid w:val="0073673D"/>
    <w:rsid w:val="00736743"/>
    <w:rsid w:val="00736F5B"/>
    <w:rsid w:val="00741456"/>
    <w:rsid w:val="00741E54"/>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651"/>
    <w:rsid w:val="00763C70"/>
    <w:rsid w:val="00764542"/>
    <w:rsid w:val="00765C49"/>
    <w:rsid w:val="007666BF"/>
    <w:rsid w:val="0076756B"/>
    <w:rsid w:val="00767BE1"/>
    <w:rsid w:val="007726AA"/>
    <w:rsid w:val="00773FFE"/>
    <w:rsid w:val="00775EA3"/>
    <w:rsid w:val="00776DDD"/>
    <w:rsid w:val="00777D5B"/>
    <w:rsid w:val="007823CA"/>
    <w:rsid w:val="00782CC2"/>
    <w:rsid w:val="00783959"/>
    <w:rsid w:val="00783CAA"/>
    <w:rsid w:val="00785B67"/>
    <w:rsid w:val="007864A7"/>
    <w:rsid w:val="007866EA"/>
    <w:rsid w:val="00786B7D"/>
    <w:rsid w:val="00787341"/>
    <w:rsid w:val="007875B8"/>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82D"/>
    <w:rsid w:val="007B5995"/>
    <w:rsid w:val="007B5A31"/>
    <w:rsid w:val="007C166F"/>
    <w:rsid w:val="007C426D"/>
    <w:rsid w:val="007C4592"/>
    <w:rsid w:val="007C46E4"/>
    <w:rsid w:val="007C4EBB"/>
    <w:rsid w:val="007C5D60"/>
    <w:rsid w:val="007C7071"/>
    <w:rsid w:val="007C75B7"/>
    <w:rsid w:val="007D0938"/>
    <w:rsid w:val="007D0F26"/>
    <w:rsid w:val="007D1E1B"/>
    <w:rsid w:val="007D22FE"/>
    <w:rsid w:val="007D5781"/>
    <w:rsid w:val="007D57E9"/>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3F"/>
    <w:rsid w:val="00833A74"/>
    <w:rsid w:val="00835131"/>
    <w:rsid w:val="008357E7"/>
    <w:rsid w:val="00835922"/>
    <w:rsid w:val="008362A2"/>
    <w:rsid w:val="00840B49"/>
    <w:rsid w:val="0084253E"/>
    <w:rsid w:val="00842D14"/>
    <w:rsid w:val="00844411"/>
    <w:rsid w:val="00846424"/>
    <w:rsid w:val="0084703A"/>
    <w:rsid w:val="0084744F"/>
    <w:rsid w:val="0085241C"/>
    <w:rsid w:val="0085255B"/>
    <w:rsid w:val="00852D10"/>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357D"/>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382"/>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2D9A"/>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3FA6"/>
    <w:rsid w:val="009544F4"/>
    <w:rsid w:val="00954BB5"/>
    <w:rsid w:val="00956581"/>
    <w:rsid w:val="00960A43"/>
    <w:rsid w:val="00961B74"/>
    <w:rsid w:val="00961D75"/>
    <w:rsid w:val="00962462"/>
    <w:rsid w:val="009658A9"/>
    <w:rsid w:val="009659BD"/>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2690"/>
    <w:rsid w:val="00992BDD"/>
    <w:rsid w:val="00993332"/>
    <w:rsid w:val="00994A50"/>
    <w:rsid w:val="00996C98"/>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7256"/>
    <w:rsid w:val="009D7C28"/>
    <w:rsid w:val="009E0F1C"/>
    <w:rsid w:val="009E1ACE"/>
    <w:rsid w:val="009E2C90"/>
    <w:rsid w:val="009E317D"/>
    <w:rsid w:val="009E364D"/>
    <w:rsid w:val="009E4DBD"/>
    <w:rsid w:val="009E5B18"/>
    <w:rsid w:val="009E6F49"/>
    <w:rsid w:val="009F1C38"/>
    <w:rsid w:val="009F22D6"/>
    <w:rsid w:val="009F2E87"/>
    <w:rsid w:val="009F3E45"/>
    <w:rsid w:val="009F5247"/>
    <w:rsid w:val="009F7D2D"/>
    <w:rsid w:val="009F7EC0"/>
    <w:rsid w:val="00A01E26"/>
    <w:rsid w:val="00A02773"/>
    <w:rsid w:val="00A03248"/>
    <w:rsid w:val="00A04B22"/>
    <w:rsid w:val="00A04DC3"/>
    <w:rsid w:val="00A061F4"/>
    <w:rsid w:val="00A06686"/>
    <w:rsid w:val="00A067E5"/>
    <w:rsid w:val="00A0698B"/>
    <w:rsid w:val="00A11EE4"/>
    <w:rsid w:val="00A127E8"/>
    <w:rsid w:val="00A12CD4"/>
    <w:rsid w:val="00A155F9"/>
    <w:rsid w:val="00A15671"/>
    <w:rsid w:val="00A17D80"/>
    <w:rsid w:val="00A21D11"/>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11E0"/>
    <w:rsid w:val="00A5350D"/>
    <w:rsid w:val="00A54C84"/>
    <w:rsid w:val="00A56DBD"/>
    <w:rsid w:val="00A57D88"/>
    <w:rsid w:val="00A642E6"/>
    <w:rsid w:val="00A646F1"/>
    <w:rsid w:val="00A650C2"/>
    <w:rsid w:val="00A65340"/>
    <w:rsid w:val="00A65537"/>
    <w:rsid w:val="00A66CB3"/>
    <w:rsid w:val="00A70289"/>
    <w:rsid w:val="00A710F1"/>
    <w:rsid w:val="00A75BA6"/>
    <w:rsid w:val="00A76135"/>
    <w:rsid w:val="00A76F90"/>
    <w:rsid w:val="00A775C0"/>
    <w:rsid w:val="00A77769"/>
    <w:rsid w:val="00A81AD2"/>
    <w:rsid w:val="00A82939"/>
    <w:rsid w:val="00A84898"/>
    <w:rsid w:val="00A853A8"/>
    <w:rsid w:val="00A853EE"/>
    <w:rsid w:val="00A858EB"/>
    <w:rsid w:val="00A85CC1"/>
    <w:rsid w:val="00A86463"/>
    <w:rsid w:val="00A86917"/>
    <w:rsid w:val="00A870BF"/>
    <w:rsid w:val="00A877A0"/>
    <w:rsid w:val="00A87F32"/>
    <w:rsid w:val="00A90CAE"/>
    <w:rsid w:val="00A90E17"/>
    <w:rsid w:val="00A911EA"/>
    <w:rsid w:val="00A9124C"/>
    <w:rsid w:val="00A92CEE"/>
    <w:rsid w:val="00A92EC1"/>
    <w:rsid w:val="00A94211"/>
    <w:rsid w:val="00A94B98"/>
    <w:rsid w:val="00A9514B"/>
    <w:rsid w:val="00A95593"/>
    <w:rsid w:val="00A95C95"/>
    <w:rsid w:val="00A96589"/>
    <w:rsid w:val="00A96768"/>
    <w:rsid w:val="00A96B17"/>
    <w:rsid w:val="00A96FEC"/>
    <w:rsid w:val="00AA234A"/>
    <w:rsid w:val="00AA32BD"/>
    <w:rsid w:val="00AA5876"/>
    <w:rsid w:val="00AA68B4"/>
    <w:rsid w:val="00AA750C"/>
    <w:rsid w:val="00AB07F0"/>
    <w:rsid w:val="00AB0979"/>
    <w:rsid w:val="00AB34AE"/>
    <w:rsid w:val="00AB5A0D"/>
    <w:rsid w:val="00AB5FD3"/>
    <w:rsid w:val="00AC195E"/>
    <w:rsid w:val="00AC1B63"/>
    <w:rsid w:val="00AC1D35"/>
    <w:rsid w:val="00AC2EA9"/>
    <w:rsid w:val="00AC3430"/>
    <w:rsid w:val="00AC41BB"/>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376"/>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127C"/>
    <w:rsid w:val="00B12B90"/>
    <w:rsid w:val="00B14904"/>
    <w:rsid w:val="00B15B86"/>
    <w:rsid w:val="00B17526"/>
    <w:rsid w:val="00B20292"/>
    <w:rsid w:val="00B20A18"/>
    <w:rsid w:val="00B2155C"/>
    <w:rsid w:val="00B224EB"/>
    <w:rsid w:val="00B2367A"/>
    <w:rsid w:val="00B25059"/>
    <w:rsid w:val="00B26266"/>
    <w:rsid w:val="00B267BE"/>
    <w:rsid w:val="00B304CD"/>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0F91"/>
    <w:rsid w:val="00B823D0"/>
    <w:rsid w:val="00B82C06"/>
    <w:rsid w:val="00B84660"/>
    <w:rsid w:val="00B848F6"/>
    <w:rsid w:val="00B85A9B"/>
    <w:rsid w:val="00B8697C"/>
    <w:rsid w:val="00B9125C"/>
    <w:rsid w:val="00B92E47"/>
    <w:rsid w:val="00B96496"/>
    <w:rsid w:val="00B96541"/>
    <w:rsid w:val="00B96781"/>
    <w:rsid w:val="00B979B6"/>
    <w:rsid w:val="00B97E75"/>
    <w:rsid w:val="00BA097E"/>
    <w:rsid w:val="00BA0F6A"/>
    <w:rsid w:val="00BA0FF2"/>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5230"/>
    <w:rsid w:val="00C7592B"/>
    <w:rsid w:val="00C75F25"/>
    <w:rsid w:val="00C76286"/>
    <w:rsid w:val="00C803E7"/>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6047"/>
    <w:rsid w:val="00CA6F7F"/>
    <w:rsid w:val="00CB17FC"/>
    <w:rsid w:val="00CB3521"/>
    <w:rsid w:val="00CB3B80"/>
    <w:rsid w:val="00CB3E03"/>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70DA"/>
    <w:rsid w:val="00D67268"/>
    <w:rsid w:val="00D67D43"/>
    <w:rsid w:val="00D744C6"/>
    <w:rsid w:val="00D7479B"/>
    <w:rsid w:val="00D75A2B"/>
    <w:rsid w:val="00D76A97"/>
    <w:rsid w:val="00D8049E"/>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0E5B"/>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28E"/>
    <w:rsid w:val="00E23869"/>
    <w:rsid w:val="00E23892"/>
    <w:rsid w:val="00E24A0B"/>
    <w:rsid w:val="00E25135"/>
    <w:rsid w:val="00E26635"/>
    <w:rsid w:val="00E26C96"/>
    <w:rsid w:val="00E309E5"/>
    <w:rsid w:val="00E30A39"/>
    <w:rsid w:val="00E32BB5"/>
    <w:rsid w:val="00E331C9"/>
    <w:rsid w:val="00E3338C"/>
    <w:rsid w:val="00E33E87"/>
    <w:rsid w:val="00E34714"/>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192C"/>
    <w:rsid w:val="00EA3080"/>
    <w:rsid w:val="00EA4045"/>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17C78"/>
    <w:rsid w:val="00F2057D"/>
    <w:rsid w:val="00F2112F"/>
    <w:rsid w:val="00F23495"/>
    <w:rsid w:val="00F24602"/>
    <w:rsid w:val="00F27766"/>
    <w:rsid w:val="00F31017"/>
    <w:rsid w:val="00F31FB2"/>
    <w:rsid w:val="00F35939"/>
    <w:rsid w:val="00F3684C"/>
    <w:rsid w:val="00F37940"/>
    <w:rsid w:val="00F40571"/>
    <w:rsid w:val="00F412C3"/>
    <w:rsid w:val="00F41707"/>
    <w:rsid w:val="00F4186F"/>
    <w:rsid w:val="00F42FC7"/>
    <w:rsid w:val="00F439A1"/>
    <w:rsid w:val="00F4400B"/>
    <w:rsid w:val="00F444B9"/>
    <w:rsid w:val="00F446A8"/>
    <w:rsid w:val="00F45547"/>
    <w:rsid w:val="00F4736A"/>
    <w:rsid w:val="00F47A37"/>
    <w:rsid w:val="00F5135D"/>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1B86"/>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222"/>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39B3"/>
    <w:rsid w:val="00FE3F41"/>
    <w:rsid w:val="00FE3F7D"/>
    <w:rsid w:val="00FE5F7B"/>
    <w:rsid w:val="00FE626D"/>
    <w:rsid w:val="00FF079C"/>
    <w:rsid w:val="00FF13FE"/>
    <w:rsid w:val="00FF2E5C"/>
    <w:rsid w:val="00FF5124"/>
    <w:rsid w:val="00FF7337"/>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sjf2.scjn.gob.mx/detalle/tesis/188431" TargetMode="External"/><Relationship Id="rId1" Type="http://schemas.openxmlformats.org/officeDocument/2006/relationships/hyperlink" Target="http://www.periodicooficial.oaxaca.gob.mx/files/2018/06/SEC23-04TA-2018-06-0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915C4-2E7C-41A3-BC91-A29A0A72E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16</Pages>
  <Words>5409</Words>
  <Characters>29754</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Nineth</cp:lastModifiedBy>
  <cp:revision>13</cp:revision>
  <cp:lastPrinted>2023-09-28T20:54:00Z</cp:lastPrinted>
  <dcterms:created xsi:type="dcterms:W3CDTF">2023-09-22T20:40:00Z</dcterms:created>
  <dcterms:modified xsi:type="dcterms:W3CDTF">2023-10-25T17:20:00Z</dcterms:modified>
</cp:coreProperties>
</file>