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4473A" w14:textId="77777777" w:rsidR="004C42E1" w:rsidRDefault="00504578" w:rsidP="00F86A51">
      <w:pPr>
        <w:ind w:left="2977"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RECURSO DE REVISIÓN: </w:t>
      </w:r>
      <w:r>
        <w:rPr>
          <w:rFonts w:ascii="Century Gothic" w:eastAsia="Century Gothic" w:hAnsi="Century Gothic" w:cs="Century Gothic"/>
          <w:sz w:val="24"/>
          <w:szCs w:val="24"/>
        </w:rPr>
        <w:t>0253/2023.</w:t>
      </w:r>
    </w:p>
    <w:p w14:paraId="3DBD72E8" w14:textId="77777777" w:rsidR="004C42E1" w:rsidRDefault="00504578" w:rsidP="00F86A51">
      <w:pPr>
        <w:ind w:left="2977" w:right="51"/>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JUICIO DE NULIDAD:</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58/2023 DE LA SALA ESPECIALIZADA EN MATERIA DE RESPONSABILIDADES ADMINISTRATIVAS Y COMBATE A LA CORRUPCIÓN DEL TRIBUNAL DE JUSTICIA ADMINISTRATIVA Y COMBATE A LA CORRUPCIÓN DEL ESTADO DE OAXACA,</w:t>
      </w:r>
      <w:r>
        <w:rPr>
          <w:rFonts w:ascii="Century Gothic" w:eastAsia="Century Gothic" w:hAnsi="Century Gothic" w:cs="Century Gothic"/>
          <w:sz w:val="24"/>
          <w:szCs w:val="24"/>
        </w:rPr>
        <w:t xml:space="preserve"> ANTES 114/2022 QUINTA SALA UNITARIA DE PRIMERA INSTANCIA.</w:t>
      </w:r>
    </w:p>
    <w:p w14:paraId="27EE0B6B" w14:textId="77777777" w:rsidR="004C42E1" w:rsidRDefault="00504578" w:rsidP="00F86A51">
      <w:pPr>
        <w:ind w:left="2977" w:right="51"/>
        <w:jc w:val="both"/>
        <w:rPr>
          <w:rFonts w:ascii="Century Gothic" w:eastAsia="Century Gothic" w:hAnsi="Century Gothic" w:cs="Century Gothic"/>
          <w:sz w:val="24"/>
          <w:szCs w:val="24"/>
        </w:rPr>
      </w:pPr>
      <w:bookmarkStart w:id="0" w:name="_heading=h.gjdgxs" w:colFirst="0" w:colLast="0"/>
      <w:bookmarkEnd w:id="0"/>
      <w:r>
        <w:rPr>
          <w:rFonts w:ascii="Century Gothic" w:eastAsia="Century Gothic" w:hAnsi="Century Gothic" w:cs="Century Gothic"/>
          <w:b/>
          <w:sz w:val="24"/>
          <w:szCs w:val="24"/>
        </w:rPr>
        <w:t>RECURRENTE:</w:t>
      </w:r>
      <w:r>
        <w:rPr>
          <w:rFonts w:ascii="Century Gothic" w:eastAsia="Century Gothic" w:hAnsi="Century Gothic" w:cs="Century Gothic"/>
          <w:sz w:val="24"/>
          <w:szCs w:val="24"/>
        </w:rPr>
        <w:t xml:space="preserve"> ZOBEIDA RODRÍGUEZ VÁSQUEZ, EN SU CARÁCTER DE SÍNDICA MUNICIPAL DEL MUNICIPIO DE SANTA CRUZ AMILPAS, OAXACA.</w:t>
      </w:r>
    </w:p>
    <w:p w14:paraId="7238D93E" w14:textId="40166A01" w:rsidR="004C42E1" w:rsidRDefault="00504578" w:rsidP="00F86A51">
      <w:pPr>
        <w:ind w:left="2977"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MAGISTRADA CRUZ ITZEL ESPINOSA ROJAS</w:t>
      </w:r>
      <w:r w:rsidR="00E46BF1">
        <w:rPr>
          <w:rFonts w:ascii="Century Gothic" w:eastAsia="Century Gothic" w:hAnsi="Century Gothic" w:cs="Century Gothic"/>
          <w:sz w:val="24"/>
          <w:szCs w:val="24"/>
        </w:rPr>
        <w:t>.</w:t>
      </w:r>
    </w:p>
    <w:p w14:paraId="09F30368" w14:textId="77777777" w:rsidR="004C42E1" w:rsidRDefault="004C42E1" w:rsidP="00F86A51">
      <w:pPr>
        <w:spacing w:after="0"/>
        <w:ind w:left="2127" w:right="51"/>
        <w:jc w:val="both"/>
        <w:rPr>
          <w:rFonts w:ascii="Century Gothic" w:eastAsia="Century Gothic" w:hAnsi="Century Gothic" w:cs="Century Gothic"/>
          <w:sz w:val="24"/>
          <w:szCs w:val="24"/>
        </w:rPr>
      </w:pPr>
    </w:p>
    <w:p w14:paraId="4AD66534" w14:textId="77777777" w:rsidR="004C42E1" w:rsidRDefault="00504578">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OAXACA DE JUÁREZ, OAXACA, A VEINTIUNO DE SEPTIEMBRE DE DOS MIL VEINTITRÉS.</w:t>
      </w:r>
    </w:p>
    <w:p w14:paraId="1DF54D1E" w14:textId="1B2F5553" w:rsidR="004C42E1" w:rsidRDefault="00F86A51" w:rsidP="0044647B">
      <w:pPr>
        <w:ind w:firstLine="567"/>
        <w:jc w:val="both"/>
        <w:rPr>
          <w:rFonts w:ascii="Century Gothic" w:eastAsia="Century Gothic" w:hAnsi="Century Gothic" w:cs="Century Gothic"/>
          <w:sz w:val="24"/>
          <w:szCs w:val="24"/>
        </w:rPr>
      </w:pPr>
      <w:bookmarkStart w:id="1" w:name="_heading=h.30j0zll" w:colFirst="0" w:colLast="0"/>
      <w:bookmarkEnd w:id="1"/>
      <w:r w:rsidRPr="00F86A51">
        <w:rPr>
          <w:rFonts w:ascii="Century Gothic" w:eastAsia="Century Gothic" w:hAnsi="Century Gothic" w:cs="Century Gothic"/>
          <w:bCs/>
          <w:sz w:val="24"/>
          <w:szCs w:val="24"/>
        </w:rPr>
        <w:t>1.</w:t>
      </w:r>
      <w:r>
        <w:rPr>
          <w:rFonts w:ascii="Century Gothic" w:eastAsia="Century Gothic" w:hAnsi="Century Gothic" w:cs="Century Gothic"/>
          <w:b/>
          <w:sz w:val="24"/>
          <w:szCs w:val="24"/>
        </w:rPr>
        <w:t xml:space="preserve"> </w:t>
      </w:r>
      <w:r w:rsidR="00504578">
        <w:rPr>
          <w:rFonts w:ascii="Century Gothic" w:eastAsia="Century Gothic" w:hAnsi="Century Gothic" w:cs="Century Gothic"/>
          <w:b/>
          <w:sz w:val="24"/>
          <w:szCs w:val="24"/>
        </w:rPr>
        <w:t>ÚNICO. Remisión del recurso</w:t>
      </w:r>
      <w:r w:rsidR="00504578">
        <w:rPr>
          <w:rFonts w:ascii="Century Gothic" w:eastAsia="Century Gothic" w:hAnsi="Century Gothic" w:cs="Century Gothic"/>
          <w:sz w:val="24"/>
          <w:szCs w:val="24"/>
        </w:rPr>
        <w:t xml:space="preserve">. Se tiene por recibido el cuaderno de revisión </w:t>
      </w:r>
      <w:r w:rsidR="00504578">
        <w:rPr>
          <w:rFonts w:ascii="Century Gothic" w:eastAsia="Century Gothic" w:hAnsi="Century Gothic" w:cs="Century Gothic"/>
          <w:b/>
          <w:sz w:val="24"/>
          <w:szCs w:val="24"/>
        </w:rPr>
        <w:t>0253/2023</w:t>
      </w:r>
      <w:r w:rsidR="00504578">
        <w:rPr>
          <w:rFonts w:ascii="Century Gothic" w:eastAsia="Century Gothic" w:hAnsi="Century Gothic" w:cs="Century Gothic"/>
          <w:sz w:val="24"/>
          <w:szCs w:val="24"/>
        </w:rPr>
        <w:t xml:space="preserve"> que remite la Secretaría General de Acuerdos, con motivo del recurso de revisión interpuesto por </w:t>
      </w:r>
      <w:r w:rsidR="00504578">
        <w:rPr>
          <w:rFonts w:ascii="Century Gothic" w:eastAsia="Century Gothic" w:hAnsi="Century Gothic" w:cs="Century Gothic"/>
          <w:b/>
          <w:sz w:val="24"/>
          <w:szCs w:val="24"/>
        </w:rPr>
        <w:t>ZOBEIDA RODRÍGUEZ VÁSQUEZ</w:t>
      </w:r>
      <w:r w:rsidR="00504578">
        <w:rPr>
          <w:rFonts w:ascii="Century Gothic" w:eastAsia="Century Gothic" w:hAnsi="Century Gothic" w:cs="Century Gothic"/>
          <w:sz w:val="24"/>
          <w:szCs w:val="24"/>
        </w:rPr>
        <w:t xml:space="preserve">, </w:t>
      </w:r>
      <w:r w:rsidR="00504578">
        <w:rPr>
          <w:rFonts w:ascii="Century Gothic" w:eastAsia="Century Gothic" w:hAnsi="Century Gothic" w:cs="Century Gothic"/>
          <w:b/>
          <w:sz w:val="24"/>
          <w:szCs w:val="24"/>
        </w:rPr>
        <w:t>quien se ostenta</w:t>
      </w:r>
      <w:r w:rsidR="00504578">
        <w:rPr>
          <w:rFonts w:ascii="Century Gothic" w:eastAsia="Century Gothic" w:hAnsi="Century Gothic" w:cs="Century Gothic"/>
          <w:sz w:val="24"/>
          <w:szCs w:val="24"/>
        </w:rPr>
        <w:t xml:space="preserve"> como Síndica Municipal del Municipio de Santa Cruz Amilpas, Oaxaca,</w:t>
      </w:r>
      <w:r w:rsidR="00504578">
        <w:rPr>
          <w:rFonts w:ascii="Century Gothic" w:eastAsia="Century Gothic" w:hAnsi="Century Gothic" w:cs="Century Gothic"/>
          <w:b/>
          <w:sz w:val="24"/>
          <w:szCs w:val="24"/>
        </w:rPr>
        <w:t xml:space="preserve"> </w:t>
      </w:r>
      <w:r w:rsidR="00504578">
        <w:rPr>
          <w:rFonts w:ascii="Century Gothic" w:eastAsia="Century Gothic" w:hAnsi="Century Gothic" w:cs="Century Gothic"/>
          <w:sz w:val="24"/>
          <w:szCs w:val="24"/>
        </w:rPr>
        <w:t xml:space="preserve">en contra de sentencia de fecha veintitrés de marzo de dos mil veintitrés, emitida en el juicio de nulidad 0114/2022 de la Quinta Sala Unitaria de Primera Instancia del entonces Tribunal de Justicia Administrativa del Estado de Oaxaca, ahora radicado en el expediente 58/2023 del índice de la Sala Especializada en Materia de Responsabilidades Administrativas del Tribunal de Justicia Administrativas y Combate a la Corrupción del Estado de Oaxaca, relativo al juicio de nulidad promovido por </w:t>
      </w:r>
      <w:r w:rsidR="005A6956">
        <w:rPr>
          <w:rFonts w:ascii="Century Gothic" w:eastAsia="Century Gothic" w:hAnsi="Century Gothic" w:cs="Century Gothic"/>
          <w:b/>
          <w:sz w:val="24"/>
          <w:szCs w:val="24"/>
        </w:rPr>
        <w:t xml:space="preserve">*********** </w:t>
      </w:r>
      <w:r w:rsidR="00504578">
        <w:rPr>
          <w:rFonts w:ascii="Century Gothic" w:eastAsia="Century Gothic" w:hAnsi="Century Gothic" w:cs="Century Gothic"/>
          <w:sz w:val="24"/>
          <w:szCs w:val="24"/>
        </w:rPr>
        <w:t xml:space="preserve">en contra de Juana Susana Morales Ortega </w:t>
      </w:r>
      <w:r w:rsidR="00504578">
        <w:rPr>
          <w:rFonts w:ascii="Century Gothic" w:eastAsia="Century Gothic" w:hAnsi="Century Gothic" w:cs="Century Gothic"/>
          <w:b/>
          <w:sz w:val="24"/>
          <w:szCs w:val="24"/>
        </w:rPr>
        <w:t xml:space="preserve">Policía Vial, adscrita a la Comisaría de la Policía Vial Dependiente de la Dirección de la Policía Municipal de Santa Cruz Amilpas y Tesorero Municipal del Ayuntamiento Constitucional de Santa Cruz Amilpas, Oaxaca; </w:t>
      </w:r>
      <w:r w:rsidR="00504578">
        <w:rPr>
          <w:rFonts w:ascii="Century Gothic" w:eastAsia="Century Gothic" w:hAnsi="Century Gothic" w:cs="Century Gothic"/>
          <w:sz w:val="24"/>
          <w:szCs w:val="24"/>
        </w:rPr>
        <w:t>por lo que, con fundamento en los artículos 236 y 238 de la Ley de Procedimiento y Justicia Administrativ</w:t>
      </w:r>
      <w:r w:rsidR="0089105C">
        <w:rPr>
          <w:rFonts w:ascii="Century Gothic" w:eastAsia="Century Gothic" w:hAnsi="Century Gothic" w:cs="Century Gothic"/>
          <w:sz w:val="24"/>
          <w:szCs w:val="24"/>
        </w:rPr>
        <w:t>a para el Estado de Oaxaca y 23</w:t>
      </w:r>
      <w:r w:rsidR="00504578">
        <w:rPr>
          <w:rFonts w:ascii="Century Gothic" w:eastAsia="Century Gothic" w:hAnsi="Century Gothic" w:cs="Century Gothic"/>
          <w:sz w:val="24"/>
          <w:szCs w:val="24"/>
        </w:rPr>
        <w:t xml:space="preserve"> fracciones I y IV de la Ley Orgánica del Tribunal de Justicia Administrativa y Combate a la Corrupción del Estado de Oaxaca, se procede a dictar resolución en los siguientes términos:- - - - - - - - - - - - - - - - - - - - - - - - - - - - - - - - - - - - -</w:t>
      </w:r>
    </w:p>
    <w:p w14:paraId="669C277A" w14:textId="77777777" w:rsidR="004C42E1" w:rsidRDefault="00504578">
      <w:pPr>
        <w:tabs>
          <w:tab w:val="center" w:pos="4418"/>
          <w:tab w:val="left" w:pos="6330"/>
        </w:tabs>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GLOSARIO:</w:t>
      </w:r>
    </w:p>
    <w:tbl>
      <w:tblPr>
        <w:tblStyle w:val="a"/>
        <w:tblW w:w="84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0"/>
        <w:gridCol w:w="5135"/>
      </w:tblGrid>
      <w:tr w:rsidR="004C42E1" w14:paraId="6DBCC9EE" w14:textId="77777777">
        <w:trPr>
          <w:trHeight w:val="583"/>
        </w:trPr>
        <w:tc>
          <w:tcPr>
            <w:tcW w:w="3340" w:type="dxa"/>
          </w:tcPr>
          <w:p w14:paraId="0FA35A46" w14:textId="77777777" w:rsidR="004C42E1" w:rsidRDefault="00504578">
            <w:pPr>
              <w:tabs>
                <w:tab w:val="center" w:pos="4418"/>
                <w:tab w:val="left" w:pos="6330"/>
              </w:tabs>
              <w:spacing w:line="276" w:lineRule="auto"/>
              <w:jc w:val="center"/>
              <w:rPr>
                <w:rFonts w:ascii="Century Gothic" w:eastAsia="Century Gothic" w:hAnsi="Century Gothic" w:cs="Century Gothic"/>
                <w:b/>
                <w:i/>
                <w:sz w:val="24"/>
                <w:szCs w:val="24"/>
              </w:rPr>
            </w:pPr>
            <w:r>
              <w:rPr>
                <w:rFonts w:ascii="Century Gothic" w:eastAsia="Century Gothic" w:hAnsi="Century Gothic" w:cs="Century Gothic"/>
                <w:b/>
                <w:i/>
                <w:sz w:val="24"/>
                <w:szCs w:val="24"/>
              </w:rPr>
              <w:t>Constitución Federal:</w:t>
            </w:r>
          </w:p>
        </w:tc>
        <w:tc>
          <w:tcPr>
            <w:tcW w:w="5135" w:type="dxa"/>
          </w:tcPr>
          <w:p w14:paraId="08CAF8F0" w14:textId="77777777" w:rsidR="004C42E1" w:rsidRDefault="00504578">
            <w:pPr>
              <w:tabs>
                <w:tab w:val="center" w:pos="4418"/>
                <w:tab w:val="left" w:pos="6330"/>
              </w:tabs>
              <w:spacing w:line="276"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Constitución Política de los Estados Unidos Mexicanos.</w:t>
            </w:r>
          </w:p>
        </w:tc>
      </w:tr>
      <w:tr w:rsidR="004C42E1" w14:paraId="1CFD1C89" w14:textId="77777777">
        <w:trPr>
          <w:trHeight w:val="601"/>
        </w:trPr>
        <w:tc>
          <w:tcPr>
            <w:tcW w:w="3340" w:type="dxa"/>
          </w:tcPr>
          <w:p w14:paraId="7E9B98E2" w14:textId="77777777" w:rsidR="004C42E1" w:rsidRDefault="00504578">
            <w:pPr>
              <w:tabs>
                <w:tab w:val="center" w:pos="4418"/>
                <w:tab w:val="left" w:pos="6330"/>
              </w:tabs>
              <w:spacing w:line="276" w:lineRule="auto"/>
              <w:jc w:val="center"/>
              <w:rPr>
                <w:rFonts w:ascii="Century Gothic" w:eastAsia="Century Gothic" w:hAnsi="Century Gothic" w:cs="Century Gothic"/>
                <w:b/>
                <w:i/>
                <w:sz w:val="24"/>
                <w:szCs w:val="24"/>
              </w:rPr>
            </w:pPr>
            <w:r>
              <w:rPr>
                <w:rFonts w:ascii="Century Gothic" w:eastAsia="Century Gothic" w:hAnsi="Century Gothic" w:cs="Century Gothic"/>
                <w:b/>
                <w:i/>
                <w:sz w:val="24"/>
                <w:szCs w:val="24"/>
              </w:rPr>
              <w:t>Constitución Local:</w:t>
            </w:r>
          </w:p>
        </w:tc>
        <w:tc>
          <w:tcPr>
            <w:tcW w:w="5135" w:type="dxa"/>
          </w:tcPr>
          <w:p w14:paraId="324505D2" w14:textId="77777777" w:rsidR="004C42E1" w:rsidRDefault="00504578">
            <w:pPr>
              <w:tabs>
                <w:tab w:val="center" w:pos="4418"/>
                <w:tab w:val="left" w:pos="6330"/>
              </w:tabs>
              <w:spacing w:line="276"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Constitución Política del Estado Libre y Soberano de Oaxaca.</w:t>
            </w:r>
          </w:p>
        </w:tc>
      </w:tr>
      <w:tr w:rsidR="004C42E1" w14:paraId="08882168" w14:textId="77777777">
        <w:trPr>
          <w:trHeight w:val="895"/>
        </w:trPr>
        <w:tc>
          <w:tcPr>
            <w:tcW w:w="3340" w:type="dxa"/>
          </w:tcPr>
          <w:p w14:paraId="353C860B" w14:textId="77777777" w:rsidR="004C42E1" w:rsidRDefault="00504578">
            <w:pPr>
              <w:tabs>
                <w:tab w:val="center" w:pos="4418"/>
                <w:tab w:val="left" w:pos="6330"/>
              </w:tabs>
              <w:spacing w:line="276" w:lineRule="auto"/>
              <w:jc w:val="center"/>
              <w:rPr>
                <w:rFonts w:ascii="Century Gothic" w:eastAsia="Century Gothic" w:hAnsi="Century Gothic" w:cs="Century Gothic"/>
                <w:b/>
                <w:i/>
                <w:sz w:val="24"/>
                <w:szCs w:val="24"/>
              </w:rPr>
            </w:pPr>
            <w:r>
              <w:rPr>
                <w:rFonts w:ascii="Century Gothic" w:eastAsia="Century Gothic" w:hAnsi="Century Gothic" w:cs="Century Gothic"/>
                <w:b/>
                <w:i/>
                <w:sz w:val="24"/>
                <w:szCs w:val="24"/>
              </w:rPr>
              <w:lastRenderedPageBreak/>
              <w:t>Ley de Procedimiento:</w:t>
            </w:r>
          </w:p>
        </w:tc>
        <w:tc>
          <w:tcPr>
            <w:tcW w:w="5135" w:type="dxa"/>
          </w:tcPr>
          <w:p w14:paraId="6DEF1867" w14:textId="77777777" w:rsidR="004C42E1" w:rsidRDefault="0089105C">
            <w:pPr>
              <w:tabs>
                <w:tab w:val="center" w:pos="4418"/>
                <w:tab w:val="left" w:pos="6330"/>
              </w:tabs>
              <w:spacing w:line="276"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Ley de Procedimiento</w:t>
            </w:r>
            <w:r w:rsidR="00504578">
              <w:rPr>
                <w:rFonts w:ascii="Century Gothic" w:eastAsia="Century Gothic" w:hAnsi="Century Gothic" w:cs="Century Gothic"/>
                <w:sz w:val="24"/>
                <w:szCs w:val="24"/>
              </w:rPr>
              <w:t xml:space="preserve"> y Justicia Administrativa para el Estado de Oaxaca.</w:t>
            </w:r>
          </w:p>
        </w:tc>
      </w:tr>
      <w:tr w:rsidR="004C42E1" w14:paraId="6A1938E0" w14:textId="77777777">
        <w:trPr>
          <w:trHeight w:val="588"/>
        </w:trPr>
        <w:tc>
          <w:tcPr>
            <w:tcW w:w="3340" w:type="dxa"/>
          </w:tcPr>
          <w:p w14:paraId="69763B2A" w14:textId="77777777" w:rsidR="004C42E1" w:rsidRDefault="00504578">
            <w:pPr>
              <w:tabs>
                <w:tab w:val="center" w:pos="4418"/>
                <w:tab w:val="left" w:pos="6330"/>
              </w:tabs>
              <w:spacing w:line="276" w:lineRule="auto"/>
              <w:jc w:val="center"/>
              <w:rPr>
                <w:rFonts w:ascii="Century Gothic" w:eastAsia="Century Gothic" w:hAnsi="Century Gothic" w:cs="Century Gothic"/>
                <w:b/>
                <w:i/>
                <w:sz w:val="24"/>
                <w:szCs w:val="24"/>
              </w:rPr>
            </w:pPr>
            <w:r>
              <w:rPr>
                <w:rFonts w:ascii="Century Gothic" w:eastAsia="Century Gothic" w:hAnsi="Century Gothic" w:cs="Century Gothic"/>
                <w:b/>
                <w:i/>
                <w:sz w:val="24"/>
                <w:szCs w:val="24"/>
              </w:rPr>
              <w:t>Reglamento:</w:t>
            </w:r>
          </w:p>
        </w:tc>
        <w:tc>
          <w:tcPr>
            <w:tcW w:w="5135" w:type="dxa"/>
          </w:tcPr>
          <w:p w14:paraId="77C8B6C9" w14:textId="77777777" w:rsidR="004C42E1" w:rsidRDefault="00504578">
            <w:pPr>
              <w:tabs>
                <w:tab w:val="center" w:pos="4418"/>
                <w:tab w:val="left" w:pos="6330"/>
              </w:tabs>
              <w:spacing w:line="276" w:lineRule="auto"/>
              <w:jc w:val="center"/>
              <w:rPr>
                <w:rFonts w:ascii="Century Gothic" w:eastAsia="Century Gothic" w:hAnsi="Century Gothic" w:cs="Century Gothic"/>
                <w:b/>
                <w:sz w:val="24"/>
                <w:szCs w:val="24"/>
              </w:rPr>
            </w:pPr>
            <w:r>
              <w:rPr>
                <w:rFonts w:ascii="Century Gothic" w:eastAsia="Century Gothic" w:hAnsi="Century Gothic" w:cs="Century Gothic"/>
                <w:sz w:val="24"/>
                <w:szCs w:val="24"/>
              </w:rPr>
              <w:t>Reglamento de Vialidad para el Municipio de Oaxaca de Juárez</w:t>
            </w:r>
          </w:p>
        </w:tc>
      </w:tr>
    </w:tbl>
    <w:p w14:paraId="64A7CCF4" w14:textId="77777777" w:rsidR="004C42E1" w:rsidRDefault="00504578">
      <w:pPr>
        <w:ind w:firstLine="708"/>
        <w:jc w:val="both"/>
        <w:rPr>
          <w:rFonts w:ascii="Century Gothic" w:eastAsia="Century Gothic" w:hAnsi="Century Gothic" w:cs="Century Gothic"/>
          <w:b/>
          <w:sz w:val="24"/>
          <w:szCs w:val="24"/>
        </w:rPr>
      </w:pPr>
      <w:r>
        <w:rPr>
          <w:rFonts w:ascii="Century Gothic" w:eastAsia="Century Gothic" w:hAnsi="Century Gothic" w:cs="Century Gothic"/>
          <w:sz w:val="24"/>
          <w:szCs w:val="24"/>
        </w:rPr>
        <w:t xml:space="preserve"> </w:t>
      </w:r>
    </w:p>
    <w:p w14:paraId="146E95D8" w14:textId="77777777" w:rsidR="004C42E1" w:rsidRDefault="00504578">
      <w:pPr>
        <w:ind w:firstLine="708"/>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L T A N D O</w:t>
      </w:r>
    </w:p>
    <w:p w14:paraId="717733D7" w14:textId="3A88ADE7" w:rsidR="004C42E1" w:rsidRPr="00F86A51" w:rsidRDefault="00F86A51">
      <w:pPr>
        <w:spacing w:after="120"/>
        <w:ind w:right="-376"/>
        <w:jc w:val="both"/>
        <w:rPr>
          <w:rFonts w:ascii="Century Gothic" w:eastAsia="Century Gothic" w:hAnsi="Century Gothic" w:cs="Century Gothic"/>
          <w:b/>
          <w:sz w:val="24"/>
          <w:szCs w:val="24"/>
        </w:rPr>
      </w:pPr>
      <w:r w:rsidRPr="00F86A51">
        <w:rPr>
          <w:rFonts w:ascii="Century Gothic" w:eastAsia="Century Gothic" w:hAnsi="Century Gothic" w:cs="Century Gothic"/>
          <w:bCs/>
          <w:sz w:val="24"/>
          <w:szCs w:val="24"/>
        </w:rPr>
        <w:t xml:space="preserve">2. </w:t>
      </w:r>
      <w:r w:rsidR="00504578">
        <w:rPr>
          <w:rFonts w:ascii="Century Gothic" w:eastAsia="Century Gothic" w:hAnsi="Century Gothic" w:cs="Century Gothic"/>
          <w:b/>
          <w:sz w:val="24"/>
          <w:szCs w:val="24"/>
        </w:rPr>
        <w:t>PRIMERO.</w:t>
      </w:r>
      <w:r>
        <w:rPr>
          <w:rFonts w:ascii="Century Gothic" w:eastAsia="Century Gothic" w:hAnsi="Century Gothic" w:cs="Century Gothic"/>
          <w:b/>
          <w:sz w:val="24"/>
          <w:szCs w:val="24"/>
        </w:rPr>
        <w:t xml:space="preserve"> </w:t>
      </w:r>
      <w:r w:rsidR="00504578">
        <w:rPr>
          <w:rFonts w:ascii="Century Gothic" w:eastAsia="Century Gothic" w:hAnsi="Century Gothic" w:cs="Century Gothic"/>
          <w:b/>
          <w:sz w:val="24"/>
          <w:szCs w:val="24"/>
        </w:rPr>
        <w:t>Antecedentes</w:t>
      </w:r>
      <w:r w:rsidR="00504578">
        <w:rPr>
          <w:rFonts w:ascii="Century Gothic" w:eastAsia="Century Gothic" w:hAnsi="Century Gothic" w:cs="Century Gothic"/>
          <w:sz w:val="24"/>
          <w:szCs w:val="24"/>
        </w:rPr>
        <w:t xml:space="preserve">. </w:t>
      </w:r>
    </w:p>
    <w:p w14:paraId="050CBE0A" w14:textId="39008E40" w:rsidR="004C42E1" w:rsidRDefault="00504578">
      <w:pPr>
        <w:numPr>
          <w:ilvl w:val="0"/>
          <w:numId w:val="1"/>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medio del escrito de siete de diciembre de dos mil veintidós, recibido en ese misma fecha en la Oficialía de partes Común de este Tribunal, se tuvo al </w:t>
      </w:r>
      <w:r>
        <w:rPr>
          <w:rFonts w:ascii="Century Gothic" w:eastAsia="Century Gothic" w:hAnsi="Century Gothic" w:cs="Century Gothic"/>
          <w:b/>
          <w:color w:val="000000"/>
          <w:sz w:val="24"/>
          <w:szCs w:val="24"/>
        </w:rPr>
        <w:t xml:space="preserve">C. </w:t>
      </w:r>
      <w:r w:rsidR="005A6956">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interponiendo juicio de nulidad en contra del acta de infracción con número de folio </w:t>
      </w:r>
      <w:r w:rsidR="005A6956">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de treinta de noviembre de dos mil veintidós, signado por </w:t>
      </w:r>
      <w:r>
        <w:rPr>
          <w:rFonts w:ascii="Century Gothic" w:eastAsia="Century Gothic" w:hAnsi="Century Gothic" w:cs="Century Gothic"/>
          <w:b/>
          <w:color w:val="000000"/>
          <w:sz w:val="24"/>
          <w:szCs w:val="24"/>
        </w:rPr>
        <w:t>Juana Susana Morales Ortega, Policía Vial Municipal de Santa Cruz Amilpas, Oaxaca, así como en contra del Tesorero Municipal, del citado municipio, y en consecuencia se les tuvo como autoridades demandadas</w:t>
      </w:r>
      <w:r>
        <w:rPr>
          <w:rFonts w:ascii="Century Gothic" w:eastAsia="Century Gothic" w:hAnsi="Century Gothic" w:cs="Century Gothic"/>
          <w:color w:val="000000"/>
          <w:sz w:val="24"/>
          <w:szCs w:val="24"/>
        </w:rPr>
        <w:t>, formándose al respecto el expediente 0114/2022 de la Quinta Sala Unitaria de Primera Instancia del entonces Tribunal de Justicia Administrativa del Estado de Oaxaca, ahora radicado en el expediente 58/2023 del índice de la Sala Especializada en Materia de Responsabilidades Administrativas del Tribunal de Justicia Administrativas y Combate a la Corrupción del Estado de Oaxaca.</w:t>
      </w:r>
    </w:p>
    <w:p w14:paraId="54E32DB8" w14:textId="77777777" w:rsidR="004C42E1" w:rsidRDefault="00504578">
      <w:pPr>
        <w:numPr>
          <w:ilvl w:val="0"/>
          <w:numId w:val="1"/>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acuerdo de fecha nueve de diciembre de dos mil veintidós, se admitió a trámite la demanda, ordenándose notificar, emplazar y correr traslado a las autoridades demandadas y tercero afectado propietario o representante de la negociación con nombre comercial "GRÚAS VARO", para que produjeran su contestación en los términos de ley, apercibidos que, de no hacerlo, se tendría por </w:t>
      </w:r>
      <w:proofErr w:type="spellStart"/>
      <w:r>
        <w:rPr>
          <w:rFonts w:ascii="Century Gothic" w:eastAsia="Century Gothic" w:hAnsi="Century Gothic" w:cs="Century Gothic"/>
          <w:color w:val="000000"/>
          <w:sz w:val="24"/>
          <w:szCs w:val="24"/>
        </w:rPr>
        <w:t>precluído</w:t>
      </w:r>
      <w:proofErr w:type="spellEnd"/>
      <w:r>
        <w:rPr>
          <w:rFonts w:ascii="Century Gothic" w:eastAsia="Century Gothic" w:hAnsi="Century Gothic" w:cs="Century Gothic"/>
          <w:color w:val="000000"/>
          <w:sz w:val="24"/>
          <w:szCs w:val="24"/>
        </w:rPr>
        <w:t xml:space="preserve"> su derecho.</w:t>
      </w:r>
    </w:p>
    <w:p w14:paraId="2A5DCC81" w14:textId="77777777" w:rsidR="004C42E1" w:rsidRDefault="00504578">
      <w:pPr>
        <w:numPr>
          <w:ilvl w:val="0"/>
          <w:numId w:val="1"/>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auto de veintisiete de enero de dos mil veintitrés, se tuvo a las autoridades demandadas dando contestación a la demanda en tiempo y forma, por acreditada la personalidad con la que comparecieron haciendo valer sus excepciones y defensas. Asimismo, se le hizo efectivo el apercibimiento al tercero afectado, descrito en el resultando próximo anterior, ordenándose correr traslado a la parte actora para los efectos legales correspondientes. Así también, se señalaron las once horas del día siete de marzo de dos mil veintitrés, para la celebración de la audiencia final.</w:t>
      </w:r>
    </w:p>
    <w:p w14:paraId="6B7B307A" w14:textId="77777777" w:rsidR="004C42E1" w:rsidRDefault="00504578">
      <w:pPr>
        <w:numPr>
          <w:ilvl w:val="0"/>
          <w:numId w:val="1"/>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El siete de marzo de dos mil veintitrés, se llevó a cabo la audiencia final, sin la asistencia de las partes, ni persona alguna que legalmente las representara, asentando la </w:t>
      </w:r>
      <w:proofErr w:type="gramStart"/>
      <w:r>
        <w:rPr>
          <w:rFonts w:ascii="Century Gothic" w:eastAsia="Century Gothic" w:hAnsi="Century Gothic" w:cs="Century Gothic"/>
          <w:color w:val="000000"/>
          <w:sz w:val="24"/>
          <w:szCs w:val="24"/>
        </w:rPr>
        <w:t>Secretaria</w:t>
      </w:r>
      <w:proofErr w:type="gramEnd"/>
      <w:r>
        <w:rPr>
          <w:rFonts w:ascii="Century Gothic" w:eastAsia="Century Gothic" w:hAnsi="Century Gothic" w:cs="Century Gothic"/>
          <w:color w:val="000000"/>
          <w:sz w:val="24"/>
          <w:szCs w:val="24"/>
        </w:rPr>
        <w:t xml:space="preserve"> de Acuerdos de esta Sala, que el actor formuló alegatos por conducto de su autorizada legal, por lo que se ordenó citar a las partes a oír sentencia dentro del término de ley, misma que ahora se pronuncia, y;</w:t>
      </w:r>
    </w:p>
    <w:p w14:paraId="6FFF9A53" w14:textId="77777777" w:rsidR="004C42E1" w:rsidRDefault="00504578">
      <w:pPr>
        <w:numPr>
          <w:ilvl w:val="0"/>
          <w:numId w:val="1"/>
        </w:numPr>
        <w:pBdr>
          <w:top w:val="nil"/>
          <w:left w:val="nil"/>
          <w:bottom w:val="nil"/>
          <w:right w:val="nil"/>
          <w:between w:val="nil"/>
        </w:pBdr>
        <w:spacing w:after="0"/>
        <w:ind w:left="851"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Con fecha treinta de marzo de dos mil veintitrés, se emitió resolución dentro del expediente 0114/2022 de la Quinta Sala Unitaria de Primera Instancia del entonces Tribunal de Justicia Administrativa del </w:t>
      </w:r>
      <w:r>
        <w:rPr>
          <w:rFonts w:ascii="Century Gothic" w:eastAsia="Century Gothic" w:hAnsi="Century Gothic" w:cs="Century Gothic"/>
          <w:color w:val="000000"/>
          <w:sz w:val="24"/>
          <w:szCs w:val="24"/>
        </w:rPr>
        <w:lastRenderedPageBreak/>
        <w:t xml:space="preserve">Estado de Oaxaca, ahora radicado en el expediente 58/2023 del índice de la Sala Especializada en Materia de Responsabilidades Administrativas del Tribunal de Justicia Administrativas y Combate a la Corrupción del Estado de Oaxaca. </w:t>
      </w:r>
    </w:p>
    <w:p w14:paraId="3BD05278" w14:textId="77777777" w:rsidR="004C42E1" w:rsidRDefault="00504578">
      <w:pPr>
        <w:numPr>
          <w:ilvl w:val="0"/>
          <w:numId w:val="1"/>
        </w:numPr>
        <w:pBdr>
          <w:top w:val="nil"/>
          <w:left w:val="nil"/>
          <w:bottom w:val="nil"/>
          <w:right w:val="nil"/>
          <w:between w:val="nil"/>
        </w:pBdr>
        <w:spacing w:after="120"/>
        <w:ind w:left="851" w:right="-376"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Mediante auto de fecha veinticinco de abril de dos mil veintitrés se tuvo por recibido en la Oficialía de Partes Común el oficio sin número de fecha diecinueve de abril del año en curso, suscrito por la C. ZOBEIDA RODRÍGUEZ VÁSQUEZ, quien se ostenta como Síndica Municipal del Municipio de Santa Cruz Amilpas, Oaxaca y por el cual interpone recurso de revisión en contra de la sentencia de fecha </w:t>
      </w:r>
      <w:r>
        <w:rPr>
          <w:rFonts w:ascii="Century Gothic" w:eastAsia="Century Gothic" w:hAnsi="Century Gothic" w:cs="Century Gothic"/>
          <w:b/>
          <w:color w:val="000000"/>
          <w:sz w:val="24"/>
          <w:szCs w:val="24"/>
        </w:rPr>
        <w:t>veintitrés de marzo de dos mil veintitrés</w:t>
      </w:r>
      <w:r>
        <w:rPr>
          <w:rFonts w:ascii="Century Gothic" w:eastAsia="Century Gothic" w:hAnsi="Century Gothic" w:cs="Century Gothic"/>
          <w:color w:val="000000"/>
          <w:sz w:val="24"/>
          <w:szCs w:val="24"/>
        </w:rPr>
        <w:t xml:space="preserve">, la cual no obra dentro de los autos del expediente del juicio de nulidad al rubro indicado, pues es importante precisar que la sentencia emitida dentro de dicho juicio es de fecha </w:t>
      </w:r>
      <w:r>
        <w:rPr>
          <w:rFonts w:ascii="Century Gothic" w:eastAsia="Century Gothic" w:hAnsi="Century Gothic" w:cs="Century Gothic"/>
          <w:b/>
          <w:color w:val="000000"/>
          <w:sz w:val="24"/>
          <w:szCs w:val="24"/>
        </w:rPr>
        <w:t>treinta de marzo de la presente anualidad</w:t>
      </w:r>
      <w:r>
        <w:rPr>
          <w:rFonts w:ascii="Century Gothic" w:eastAsia="Century Gothic" w:hAnsi="Century Gothic" w:cs="Century Gothic"/>
          <w:color w:val="000000"/>
          <w:sz w:val="24"/>
          <w:szCs w:val="24"/>
        </w:rPr>
        <w:t>.</w:t>
      </w:r>
    </w:p>
    <w:p w14:paraId="41F8AA39" w14:textId="77777777" w:rsidR="004C42E1" w:rsidRDefault="00504578">
      <w:pPr>
        <w:widowControl w:val="0"/>
        <w:tabs>
          <w:tab w:val="left" w:pos="7938"/>
        </w:tabs>
        <w:spacing w:before="240" w:after="0"/>
        <w:ind w:left="1134" w:right="616"/>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 O N S I D E R A N D O</w:t>
      </w:r>
    </w:p>
    <w:p w14:paraId="7BA7245F" w14:textId="42B4067D" w:rsidR="004C42E1" w:rsidRDefault="00F86A51">
      <w:pPr>
        <w:widowControl w:val="0"/>
        <w:pBdr>
          <w:top w:val="nil"/>
          <w:left w:val="nil"/>
          <w:bottom w:val="nil"/>
          <w:right w:val="nil"/>
          <w:between w:val="nil"/>
        </w:pBdr>
        <w:spacing w:before="240" w:after="0"/>
        <w:ind w:right="18" w:firstLine="708"/>
        <w:jc w:val="both"/>
        <w:rPr>
          <w:rFonts w:ascii="Century Gothic" w:eastAsia="Century Gothic" w:hAnsi="Century Gothic" w:cs="Century Gothic"/>
          <w:color w:val="000000"/>
          <w:sz w:val="24"/>
          <w:szCs w:val="24"/>
        </w:rPr>
      </w:pPr>
      <w:r w:rsidRPr="00F86A51">
        <w:rPr>
          <w:rFonts w:ascii="Century Gothic" w:eastAsia="Century Gothic" w:hAnsi="Century Gothic" w:cs="Century Gothic"/>
          <w:bCs/>
          <w:color w:val="000000"/>
          <w:sz w:val="24"/>
          <w:szCs w:val="24"/>
        </w:rPr>
        <w:t xml:space="preserve">3. </w:t>
      </w:r>
      <w:r w:rsidR="00504578">
        <w:rPr>
          <w:rFonts w:ascii="Century Gothic" w:eastAsia="Century Gothic" w:hAnsi="Century Gothic" w:cs="Century Gothic"/>
          <w:b/>
          <w:color w:val="000000"/>
          <w:sz w:val="24"/>
          <w:szCs w:val="24"/>
        </w:rPr>
        <w:t>PRIMERO. Jurisdicción y Competencia</w:t>
      </w:r>
      <w:r w:rsidR="00504578">
        <w:rPr>
          <w:rFonts w:ascii="Century Gothic" w:eastAsia="Century Gothic" w:hAnsi="Century Gothic" w:cs="Century Gothic"/>
          <w:color w:val="000000"/>
          <w:sz w:val="24"/>
          <w:szCs w:val="24"/>
        </w:rPr>
        <w:t xml:space="preserve">. El Tribunal de Justicia Administrativa y Combate a la Corrupción del Estado de Oaxaca ejerce jurisdicción y esta Sala Superior es competente para conocer del presente asunto, conforme a lo dispuesto por los artículos 114 </w:t>
      </w:r>
      <w:proofErr w:type="spellStart"/>
      <w:r w:rsidR="00504578">
        <w:rPr>
          <w:rFonts w:ascii="Century Gothic" w:eastAsia="Century Gothic" w:hAnsi="Century Gothic" w:cs="Century Gothic"/>
          <w:color w:val="000000"/>
          <w:sz w:val="24"/>
          <w:szCs w:val="24"/>
        </w:rPr>
        <w:t>Quáter</w:t>
      </w:r>
      <w:proofErr w:type="spellEnd"/>
      <w:r w:rsidR="00504578">
        <w:rPr>
          <w:rFonts w:ascii="Century Gothic" w:eastAsia="Century Gothic" w:hAnsi="Century Gothic" w:cs="Century Gothic"/>
          <w:color w:val="000000"/>
          <w:sz w:val="24"/>
          <w:szCs w:val="24"/>
        </w:rPr>
        <w:t xml:space="preserve">  de la Constitución Política del Estado Libre y Soberano de Oaxaca</w:t>
      </w:r>
      <w:r w:rsidR="00504578">
        <w:rPr>
          <w:rFonts w:ascii="Century Gothic" w:eastAsia="Century Gothic" w:hAnsi="Century Gothic" w:cs="Century Gothic"/>
          <w:color w:val="000000"/>
          <w:sz w:val="24"/>
          <w:szCs w:val="24"/>
          <w:vertAlign w:val="superscript"/>
        </w:rPr>
        <w:footnoteReference w:id="1"/>
      </w:r>
      <w:r w:rsidR="00504578">
        <w:rPr>
          <w:rFonts w:ascii="Century Gothic" w:eastAsia="Century Gothic" w:hAnsi="Century Gothic" w:cs="Century Gothic"/>
          <w:color w:val="000000"/>
          <w:sz w:val="24"/>
          <w:szCs w:val="24"/>
        </w:rPr>
        <w:t xml:space="preserve">; </w:t>
      </w:r>
      <w:r w:rsidR="0089105C">
        <w:rPr>
          <w:rFonts w:ascii="Century Gothic" w:eastAsia="Century Gothic" w:hAnsi="Century Gothic" w:cs="Century Gothic"/>
          <w:color w:val="000000"/>
          <w:sz w:val="24"/>
          <w:szCs w:val="24"/>
        </w:rPr>
        <w:t xml:space="preserve">1, 2, 4, fracción VI, 22, 23 fracciones I y IV, 24, fracción I y 26 de la </w:t>
      </w:r>
      <w:r w:rsidR="0089105C">
        <w:rPr>
          <w:rFonts w:ascii="Century Gothic" w:eastAsia="Century Gothic" w:hAnsi="Century Gothic" w:cs="Century Gothic"/>
          <w:sz w:val="24"/>
          <w:szCs w:val="24"/>
        </w:rPr>
        <w:t>Ley Orgánica del Tribunal de Justicia Administrativa y Combate a la Corrupción del Estado de Oaxaca</w:t>
      </w:r>
      <w:r w:rsidR="00504578">
        <w:rPr>
          <w:rFonts w:ascii="Century Gothic" w:eastAsia="Century Gothic" w:hAnsi="Century Gothic" w:cs="Century Gothic"/>
          <w:color w:val="000000"/>
          <w:sz w:val="24"/>
          <w:szCs w:val="24"/>
        </w:rPr>
        <w:t xml:space="preserve">, vigente; 120, 125, 127, 129,130, fracción l, 131, 201, 236, fracción VII y 238 de la Ley de Procedimiento y Justicia Administrativa para el Estado de Oaxaca, dado que se trata de un recurso de revisión en contra de la sentencia de fecha </w:t>
      </w:r>
      <w:r w:rsidR="00504578">
        <w:rPr>
          <w:rFonts w:ascii="Century Gothic" w:eastAsia="Century Gothic" w:hAnsi="Century Gothic" w:cs="Century Gothic"/>
          <w:b/>
          <w:color w:val="000000"/>
          <w:sz w:val="24"/>
          <w:szCs w:val="24"/>
        </w:rPr>
        <w:t>veintitrés de marzo de dos mil veintitrés</w:t>
      </w:r>
      <w:r w:rsidR="00504578">
        <w:rPr>
          <w:rFonts w:ascii="Century Gothic" w:eastAsia="Century Gothic" w:hAnsi="Century Gothic" w:cs="Century Gothic"/>
          <w:color w:val="000000"/>
          <w:sz w:val="24"/>
          <w:szCs w:val="24"/>
        </w:rPr>
        <w:t xml:space="preserve">, la cual no obra dentro de los autos del expediente del juicio de nulidad al rubro indicado, pues es importante precisar que la sentencia emitida dentro de dicho juicio es de fecha </w:t>
      </w:r>
      <w:r w:rsidR="00504578">
        <w:rPr>
          <w:rFonts w:ascii="Century Gothic" w:eastAsia="Century Gothic" w:hAnsi="Century Gothic" w:cs="Century Gothic"/>
          <w:b/>
          <w:color w:val="000000"/>
          <w:sz w:val="24"/>
          <w:szCs w:val="24"/>
        </w:rPr>
        <w:t>treinta de marzo de la presente anualidad</w:t>
      </w:r>
      <w:r w:rsidR="00504578">
        <w:rPr>
          <w:rFonts w:ascii="Century Gothic" w:eastAsia="Century Gothic" w:hAnsi="Century Gothic" w:cs="Century Gothic"/>
          <w:color w:val="000000"/>
          <w:sz w:val="24"/>
          <w:szCs w:val="24"/>
        </w:rPr>
        <w:t>, dictada en el juicio de nulidad con número de expediente 0114/2022 de la Quinta Sala Unitaria de Primera Instancia del entonces Tribunal de Justicia Administrativa del Estado de Oaxaca, ahora radicado en el expediente 58/2023 del índice de la Sala Especializada en Materia de Responsabilidades Administrativas del Tribunal de Justicia Administrativas y Combate a la Corrupción del Estado de Oaxaca.</w:t>
      </w:r>
    </w:p>
    <w:p w14:paraId="562B3E48" w14:textId="2710F990" w:rsidR="004C42E1" w:rsidRDefault="00F86A51">
      <w:pPr>
        <w:widowControl w:val="0"/>
        <w:pBdr>
          <w:top w:val="nil"/>
          <w:left w:val="nil"/>
          <w:bottom w:val="nil"/>
          <w:right w:val="nil"/>
          <w:between w:val="nil"/>
        </w:pBdr>
        <w:spacing w:before="240" w:after="0"/>
        <w:ind w:right="18" w:firstLine="708"/>
        <w:jc w:val="both"/>
        <w:rPr>
          <w:rFonts w:ascii="Century Gothic" w:eastAsia="Century Gothic" w:hAnsi="Century Gothic" w:cs="Century Gothic"/>
          <w:b/>
          <w:color w:val="000000"/>
          <w:sz w:val="24"/>
          <w:szCs w:val="24"/>
        </w:rPr>
      </w:pPr>
      <w:r w:rsidRPr="00F86A51">
        <w:rPr>
          <w:rFonts w:ascii="Century Gothic" w:eastAsia="Century Gothic" w:hAnsi="Century Gothic" w:cs="Century Gothic"/>
          <w:bCs/>
          <w:color w:val="000000"/>
          <w:sz w:val="24"/>
          <w:szCs w:val="24"/>
        </w:rPr>
        <w:lastRenderedPageBreak/>
        <w:t xml:space="preserve">4. </w:t>
      </w:r>
      <w:r w:rsidR="00504578">
        <w:rPr>
          <w:rFonts w:ascii="Century Gothic" w:eastAsia="Century Gothic" w:hAnsi="Century Gothic" w:cs="Century Gothic"/>
          <w:b/>
          <w:color w:val="000000"/>
          <w:sz w:val="24"/>
          <w:szCs w:val="24"/>
        </w:rPr>
        <w:t xml:space="preserve">SEGUNDO. Requisitos de procedencia. No se </w:t>
      </w:r>
      <w:r w:rsidR="00504578">
        <w:rPr>
          <w:rFonts w:ascii="Century Gothic" w:eastAsia="Century Gothic" w:hAnsi="Century Gothic" w:cs="Century Gothic"/>
          <w:color w:val="000000"/>
          <w:sz w:val="24"/>
          <w:szCs w:val="24"/>
        </w:rPr>
        <w:t xml:space="preserve">tienen por satisfechos uno de los requisitos de procedencia previstos en los artículos 236, 237 de la Ley de Procedimiento, toda vez que dicho recurso carece de </w:t>
      </w:r>
      <w:r w:rsidR="00504578">
        <w:rPr>
          <w:rFonts w:ascii="Century Gothic" w:eastAsia="Century Gothic" w:hAnsi="Century Gothic" w:cs="Century Gothic"/>
          <w:b/>
          <w:color w:val="000000"/>
          <w:sz w:val="24"/>
          <w:szCs w:val="24"/>
        </w:rPr>
        <w:t>Legitimación bajo los siguientes argumentos:</w:t>
      </w:r>
    </w:p>
    <w:p w14:paraId="54012E0A" w14:textId="77777777" w:rsidR="004C42E1" w:rsidRDefault="00504578">
      <w:pPr>
        <w:widowControl w:val="0"/>
        <w:pBdr>
          <w:top w:val="nil"/>
          <w:left w:val="nil"/>
          <w:bottom w:val="nil"/>
          <w:right w:val="nil"/>
          <w:between w:val="nil"/>
        </w:pBdr>
        <w:spacing w:before="240" w:after="0"/>
        <w:ind w:right="18" w:firstLine="708"/>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 </w:t>
      </w:r>
    </w:p>
    <w:p w14:paraId="4C502653" w14:textId="77777777" w:rsidR="004C42E1" w:rsidRDefault="00504578">
      <w:pPr>
        <w:numPr>
          <w:ilvl w:val="0"/>
          <w:numId w:val="2"/>
        </w:numPr>
        <w:pBdr>
          <w:top w:val="nil"/>
          <w:left w:val="nil"/>
          <w:bottom w:val="nil"/>
          <w:right w:val="nil"/>
          <w:between w:val="nil"/>
        </w:pBdr>
        <w:spacing w:line="360" w:lineRule="auto"/>
        <w:ind w:left="709" w:hanging="294"/>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Del proemio del presente recurso de revisión se advierte que es interpuesto por </w:t>
      </w:r>
      <w:r>
        <w:rPr>
          <w:rFonts w:ascii="Century Gothic" w:eastAsia="Century Gothic" w:hAnsi="Century Gothic" w:cs="Century Gothic"/>
          <w:b/>
          <w:color w:val="000000"/>
          <w:sz w:val="24"/>
          <w:szCs w:val="24"/>
        </w:rPr>
        <w:t>Zobeida Rodríguez Vásquez</w:t>
      </w:r>
      <w:r>
        <w:rPr>
          <w:rFonts w:ascii="Century Gothic" w:eastAsia="Century Gothic" w:hAnsi="Century Gothic" w:cs="Century Gothic"/>
          <w:color w:val="000000"/>
          <w:sz w:val="24"/>
          <w:szCs w:val="24"/>
        </w:rPr>
        <w:t xml:space="preserve">, </w:t>
      </w:r>
      <w:r>
        <w:rPr>
          <w:rFonts w:ascii="Century Gothic" w:eastAsia="Century Gothic" w:hAnsi="Century Gothic" w:cs="Century Gothic"/>
          <w:b/>
          <w:color w:val="000000"/>
          <w:sz w:val="24"/>
          <w:szCs w:val="24"/>
        </w:rPr>
        <w:t>quien se ostenta como</w:t>
      </w:r>
      <w:r>
        <w:rPr>
          <w:rFonts w:ascii="Century Gothic" w:eastAsia="Century Gothic" w:hAnsi="Century Gothic" w:cs="Century Gothic"/>
          <w:color w:val="000000"/>
          <w:sz w:val="24"/>
          <w:szCs w:val="24"/>
        </w:rPr>
        <w:t xml:space="preserve"> Síndica Municipal del Municipio de Santa Cruz Amilpas, Oaxaca. </w:t>
      </w:r>
    </w:p>
    <w:p w14:paraId="39DB1F2F" w14:textId="30B402E3" w:rsidR="004C42E1" w:rsidRDefault="00F86A51" w:rsidP="00F86A51">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5. </w:t>
      </w:r>
      <w:r w:rsidR="00504578">
        <w:rPr>
          <w:rFonts w:ascii="Century Gothic" w:eastAsia="Century Gothic" w:hAnsi="Century Gothic" w:cs="Century Gothic"/>
          <w:sz w:val="24"/>
          <w:szCs w:val="24"/>
        </w:rPr>
        <w:t xml:space="preserve">Por lo que del análisis de las constancias que integran el expediente de Primera Instancia, con </w:t>
      </w:r>
      <w:r w:rsidR="00504578">
        <w:rPr>
          <w:rFonts w:ascii="Century Gothic" w:eastAsia="Century Gothic" w:hAnsi="Century Gothic" w:cs="Century Gothic"/>
          <w:color w:val="000000"/>
          <w:sz w:val="24"/>
          <w:szCs w:val="24"/>
        </w:rPr>
        <w:t xml:space="preserve">pleno valor </w:t>
      </w:r>
      <w:r w:rsidR="00504578">
        <w:rPr>
          <w:rFonts w:ascii="Century Gothic" w:eastAsia="Century Gothic" w:hAnsi="Century Gothic" w:cs="Century Gothic"/>
          <w:sz w:val="24"/>
          <w:szCs w:val="24"/>
        </w:rPr>
        <w:t>probatorio</w:t>
      </w:r>
      <w:r w:rsidR="00504578">
        <w:rPr>
          <w:rFonts w:ascii="Century Gothic" w:eastAsia="Century Gothic" w:hAnsi="Century Gothic" w:cs="Century Gothic"/>
          <w:color w:val="000000"/>
          <w:sz w:val="24"/>
          <w:szCs w:val="24"/>
        </w:rPr>
        <w:t xml:space="preserve"> conforme a lo establecido por el artículo 203, fracción I</w:t>
      </w:r>
      <w:r w:rsidR="00504578">
        <w:rPr>
          <w:rFonts w:ascii="Century Gothic" w:eastAsia="Century Gothic" w:hAnsi="Century Gothic" w:cs="Century Gothic"/>
          <w:color w:val="000000"/>
          <w:sz w:val="24"/>
          <w:szCs w:val="24"/>
          <w:vertAlign w:val="superscript"/>
        </w:rPr>
        <w:footnoteReference w:id="2"/>
      </w:r>
      <w:r w:rsidR="00504578">
        <w:rPr>
          <w:rFonts w:ascii="Century Gothic" w:eastAsia="Century Gothic" w:hAnsi="Century Gothic" w:cs="Century Gothic"/>
          <w:color w:val="000000"/>
          <w:sz w:val="24"/>
          <w:szCs w:val="24"/>
        </w:rPr>
        <w:t xml:space="preserve"> de la Ley de Procedimiento, </w:t>
      </w:r>
      <w:r w:rsidR="00504578">
        <w:rPr>
          <w:rFonts w:ascii="Century Gothic" w:eastAsia="Century Gothic" w:hAnsi="Century Gothic" w:cs="Century Gothic"/>
          <w:sz w:val="24"/>
          <w:szCs w:val="24"/>
        </w:rPr>
        <w:t xml:space="preserve">se destaca que en el juicio de origen fueron señaladas como autoridades demandadas,  a la C. Juana Susana Morales Ortega, Policía Vial y el  Tesorero Municipal, ambas autoridades del Municipio de Santa Cruz Amilpas, Oaxaca, quienes contestaron la demanda entablada en su contra dentro del plazo legal concedido para tal efecto. </w:t>
      </w:r>
    </w:p>
    <w:p w14:paraId="26483088" w14:textId="570531C0" w:rsidR="004C42E1" w:rsidRDefault="00F86A51">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6. </w:t>
      </w:r>
      <w:r w:rsidR="00504578">
        <w:rPr>
          <w:rFonts w:ascii="Century Gothic" w:eastAsia="Century Gothic" w:hAnsi="Century Gothic" w:cs="Century Gothic"/>
          <w:sz w:val="24"/>
          <w:szCs w:val="24"/>
        </w:rPr>
        <w:t>De ahí que resulta oportuno señalar lo dispuesto por los artículos 236, párrafos primero y segundo y 163 de la Ley de Procedimiento y Justicia Administrativa para el Estado, mismos que establecen: - - - - -</w:t>
      </w:r>
    </w:p>
    <w:p w14:paraId="3A7A9ECF" w14:textId="77777777" w:rsidR="004C42E1" w:rsidRDefault="00504578">
      <w:pPr>
        <w:pBdr>
          <w:top w:val="nil"/>
          <w:left w:val="nil"/>
          <w:bottom w:val="nil"/>
          <w:right w:val="nil"/>
          <w:between w:val="nil"/>
        </w:pBdr>
        <w:spacing w:after="0" w:line="36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t>“</w:t>
      </w:r>
      <w:r>
        <w:rPr>
          <w:rFonts w:ascii="Century Gothic" w:eastAsia="Century Gothic" w:hAnsi="Century Gothic" w:cs="Century Gothic"/>
          <w:b/>
          <w:i/>
          <w:color w:val="000000"/>
          <w:sz w:val="24"/>
          <w:szCs w:val="24"/>
        </w:rPr>
        <w:t xml:space="preserve">ARTÍCULO 236.- </w:t>
      </w:r>
      <w:r>
        <w:rPr>
          <w:rFonts w:ascii="Century Gothic" w:eastAsia="Century Gothic" w:hAnsi="Century Gothic" w:cs="Century Gothic"/>
          <w:i/>
          <w:color w:val="000000"/>
          <w:sz w:val="24"/>
          <w:szCs w:val="24"/>
        </w:rPr>
        <w:t>Contra los acuerdos y resoluciones dictados por las salas unitarias de primera instancia, procede el recurso de revisión, cuyo conocimiento y resolución corresponde a la Sala Superior.</w:t>
      </w:r>
    </w:p>
    <w:p w14:paraId="0D2B3708" w14:textId="77777777" w:rsidR="004C42E1" w:rsidRDefault="00504578">
      <w:pPr>
        <w:pBdr>
          <w:top w:val="nil"/>
          <w:left w:val="nil"/>
          <w:bottom w:val="nil"/>
          <w:right w:val="nil"/>
          <w:between w:val="nil"/>
        </w:pBdr>
        <w:spacing w:before="240" w:after="0" w:line="360" w:lineRule="auto"/>
        <w:ind w:left="709" w:right="758"/>
        <w:jc w:val="both"/>
        <w:rPr>
          <w:rFonts w:ascii="Century Gothic" w:eastAsia="Century Gothic" w:hAnsi="Century Gothic" w:cs="Century Gothic"/>
          <w:b/>
          <w:i/>
          <w:color w:val="000000"/>
          <w:sz w:val="24"/>
          <w:szCs w:val="24"/>
        </w:rPr>
      </w:pPr>
      <w:r>
        <w:rPr>
          <w:rFonts w:ascii="Century Gothic" w:eastAsia="Century Gothic" w:hAnsi="Century Gothic" w:cs="Century Gothic"/>
          <w:b/>
          <w:i/>
          <w:color w:val="000000"/>
          <w:sz w:val="24"/>
          <w:szCs w:val="24"/>
        </w:rPr>
        <w:t>Podrán ser impugnados por las partes, mediante recurso de revisión:</w:t>
      </w:r>
    </w:p>
    <w:p w14:paraId="4DEADA7D" w14:textId="77777777" w:rsidR="004C42E1" w:rsidRDefault="00504578">
      <w:pPr>
        <w:pBdr>
          <w:top w:val="nil"/>
          <w:left w:val="nil"/>
          <w:bottom w:val="nil"/>
          <w:right w:val="nil"/>
          <w:between w:val="nil"/>
        </w:pBdr>
        <w:spacing w:before="240" w:after="0" w:line="36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t>…”</w:t>
      </w:r>
    </w:p>
    <w:p w14:paraId="45CCCA2C" w14:textId="77777777" w:rsidR="004C42E1" w:rsidRDefault="00504578">
      <w:pPr>
        <w:pBdr>
          <w:top w:val="nil"/>
          <w:left w:val="nil"/>
          <w:bottom w:val="nil"/>
          <w:right w:val="nil"/>
          <w:between w:val="nil"/>
        </w:pBdr>
        <w:spacing w:after="0" w:line="24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t>“</w:t>
      </w:r>
      <w:r>
        <w:rPr>
          <w:rFonts w:ascii="Century Gothic" w:eastAsia="Century Gothic" w:hAnsi="Century Gothic" w:cs="Century Gothic"/>
          <w:b/>
          <w:i/>
          <w:color w:val="000000"/>
          <w:sz w:val="24"/>
          <w:szCs w:val="24"/>
        </w:rPr>
        <w:t xml:space="preserve">ARTICULO 163.- </w:t>
      </w:r>
      <w:r>
        <w:rPr>
          <w:rFonts w:ascii="Century Gothic" w:eastAsia="Century Gothic" w:hAnsi="Century Gothic" w:cs="Century Gothic"/>
          <w:i/>
          <w:color w:val="000000"/>
          <w:sz w:val="24"/>
          <w:szCs w:val="24"/>
        </w:rPr>
        <w:t>Son partes en el juicio contencioso administrativo:</w:t>
      </w:r>
    </w:p>
    <w:p w14:paraId="5C74CEE0" w14:textId="77777777" w:rsidR="004C42E1" w:rsidRDefault="00504578">
      <w:pPr>
        <w:pBdr>
          <w:top w:val="nil"/>
          <w:left w:val="nil"/>
          <w:bottom w:val="nil"/>
          <w:right w:val="nil"/>
          <w:between w:val="nil"/>
        </w:pBdr>
        <w:spacing w:after="0" w:line="24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t>I. El actor. Tendrá ese carácter:</w:t>
      </w:r>
    </w:p>
    <w:p w14:paraId="08315FDD" w14:textId="77777777" w:rsidR="004C42E1" w:rsidRDefault="00504578">
      <w:pPr>
        <w:pBdr>
          <w:top w:val="nil"/>
          <w:left w:val="nil"/>
          <w:bottom w:val="nil"/>
          <w:right w:val="nil"/>
          <w:between w:val="nil"/>
        </w:pBdr>
        <w:spacing w:after="0" w:line="24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t>a) El Administrado, que será el particular que tenga interés jurídico o legítimo que funde su pretensión; y</w:t>
      </w:r>
    </w:p>
    <w:p w14:paraId="693757C1" w14:textId="77777777" w:rsidR="004C42E1" w:rsidRDefault="00504578">
      <w:pPr>
        <w:pBdr>
          <w:top w:val="nil"/>
          <w:left w:val="nil"/>
          <w:bottom w:val="nil"/>
          <w:right w:val="nil"/>
          <w:between w:val="nil"/>
        </w:pBdr>
        <w:spacing w:after="0" w:line="24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t>b) La autoridad en el juicio de lesividad.</w:t>
      </w:r>
    </w:p>
    <w:p w14:paraId="0B2E8958" w14:textId="77777777" w:rsidR="004C42E1" w:rsidRDefault="00504578">
      <w:pPr>
        <w:pBdr>
          <w:top w:val="nil"/>
          <w:left w:val="nil"/>
          <w:bottom w:val="nil"/>
          <w:right w:val="nil"/>
          <w:between w:val="nil"/>
        </w:pBdr>
        <w:spacing w:after="0" w:line="24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lastRenderedPageBreak/>
        <w:t>II. El demandado. Tendrá ese carácter:</w:t>
      </w:r>
    </w:p>
    <w:p w14:paraId="13579C9C" w14:textId="77777777" w:rsidR="004C42E1" w:rsidRDefault="00504578">
      <w:pPr>
        <w:pBdr>
          <w:top w:val="nil"/>
          <w:left w:val="nil"/>
          <w:bottom w:val="nil"/>
          <w:right w:val="nil"/>
          <w:between w:val="nil"/>
        </w:pBdr>
        <w:spacing w:after="0" w:line="24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t>a) La autoridad que dicte, ordene, ejecute o trate de ejecutar el acto impugnado, o que omita dar respuesta a las peticiones o instancias de los particulares;</w:t>
      </w:r>
    </w:p>
    <w:p w14:paraId="231FC385" w14:textId="77777777" w:rsidR="004C42E1" w:rsidRDefault="00504578">
      <w:pPr>
        <w:pBdr>
          <w:top w:val="nil"/>
          <w:left w:val="nil"/>
          <w:bottom w:val="nil"/>
          <w:right w:val="nil"/>
          <w:between w:val="nil"/>
        </w:pBdr>
        <w:spacing w:after="0" w:line="24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t>b) La persona o institución que funja como autoridad administrativa o fiscal en el ámbito estatal o municipal o en los Organismo Públicos Descentralizados, que dicte, ordene, ejecute o trate de ejecutar el acto o resolución impugnados; y</w:t>
      </w:r>
    </w:p>
    <w:p w14:paraId="149C9DA9" w14:textId="77777777" w:rsidR="004C42E1" w:rsidRDefault="00504578">
      <w:pPr>
        <w:pBdr>
          <w:top w:val="nil"/>
          <w:left w:val="nil"/>
          <w:bottom w:val="nil"/>
          <w:right w:val="nil"/>
          <w:between w:val="nil"/>
        </w:pBdr>
        <w:spacing w:after="0" w:line="24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t>c) El particular a quien favorezca la resolución cuya modificación o nulidad demande la autoridad administrativa, estatal o municipal.</w:t>
      </w:r>
    </w:p>
    <w:p w14:paraId="575915CA" w14:textId="77777777" w:rsidR="004C42E1" w:rsidRDefault="00504578">
      <w:pPr>
        <w:pBdr>
          <w:top w:val="nil"/>
          <w:left w:val="nil"/>
          <w:bottom w:val="nil"/>
          <w:right w:val="nil"/>
          <w:between w:val="nil"/>
        </w:pBdr>
        <w:spacing w:before="240" w:after="0" w:line="240" w:lineRule="auto"/>
        <w:ind w:left="709" w:right="758"/>
        <w:jc w:val="both"/>
        <w:rPr>
          <w:rFonts w:ascii="Century Gothic" w:eastAsia="Century Gothic" w:hAnsi="Century Gothic" w:cs="Century Gothic"/>
          <w:i/>
          <w:color w:val="000000"/>
          <w:sz w:val="24"/>
          <w:szCs w:val="24"/>
        </w:rPr>
      </w:pPr>
      <w:r>
        <w:rPr>
          <w:rFonts w:ascii="Century Gothic" w:eastAsia="Century Gothic" w:hAnsi="Century Gothic" w:cs="Century Gothic"/>
          <w:i/>
          <w:color w:val="000000"/>
          <w:sz w:val="24"/>
          <w:szCs w:val="24"/>
        </w:rPr>
        <w:t>III. El tercero afectado, pudiendo intervenir con ese carácter cualquier persona física o moral, cuyos intereses puedan resultar incompatibles con las prestaciones del actor y que demuestre interés en que subsista el acto administrativo combatido.”</w:t>
      </w:r>
    </w:p>
    <w:p w14:paraId="0FA5C578" w14:textId="53AB1169" w:rsidR="004C42E1" w:rsidRDefault="00F86A51">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7. </w:t>
      </w:r>
      <w:r w:rsidR="00504578">
        <w:rPr>
          <w:rFonts w:ascii="Century Gothic" w:eastAsia="Century Gothic" w:hAnsi="Century Gothic" w:cs="Century Gothic"/>
          <w:sz w:val="24"/>
          <w:szCs w:val="24"/>
        </w:rPr>
        <w:t xml:space="preserve">De las transcripciones anteriores se desprende que el artículo 236 en sus párrafos primero y segundo, establece que sólo las partes en el juicio podrán impugnar los acuerdos y resoluciones dictados por las Salas Unitarias de Primera Instancia; además, el artículo 163 precisa que son partes en el juicio contencioso administrativo el actor, el demandado y el tercero afectado. - - - - - - - - - - - - - - - - - - - - - - - - - - - - </w:t>
      </w:r>
    </w:p>
    <w:p w14:paraId="65955353" w14:textId="5B9195F7" w:rsidR="004C42E1" w:rsidRDefault="00F86A51">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8. </w:t>
      </w:r>
      <w:r w:rsidR="00504578">
        <w:rPr>
          <w:rFonts w:ascii="Century Gothic" w:eastAsia="Century Gothic" w:hAnsi="Century Gothic" w:cs="Century Gothic"/>
          <w:sz w:val="24"/>
          <w:szCs w:val="24"/>
        </w:rPr>
        <w:t xml:space="preserve">En el caso, quien promueve el presente medio de defensa es </w:t>
      </w:r>
      <w:r w:rsidR="00504578">
        <w:rPr>
          <w:rFonts w:ascii="Century Gothic" w:eastAsia="Century Gothic" w:hAnsi="Century Gothic" w:cs="Century Gothic"/>
          <w:b/>
          <w:sz w:val="24"/>
          <w:szCs w:val="24"/>
        </w:rPr>
        <w:t>Zobeida Rodríguez Vásquez</w:t>
      </w:r>
      <w:r w:rsidR="00504578">
        <w:rPr>
          <w:rFonts w:ascii="Century Gothic" w:eastAsia="Century Gothic" w:hAnsi="Century Gothic" w:cs="Century Gothic"/>
          <w:sz w:val="24"/>
          <w:szCs w:val="24"/>
        </w:rPr>
        <w:t xml:space="preserve">, </w:t>
      </w:r>
      <w:r w:rsidR="00504578">
        <w:rPr>
          <w:rFonts w:ascii="Century Gothic" w:eastAsia="Century Gothic" w:hAnsi="Century Gothic" w:cs="Century Gothic"/>
          <w:b/>
          <w:sz w:val="24"/>
          <w:szCs w:val="24"/>
        </w:rPr>
        <w:t>quien se ostenta como Síndica Municipal del Municipio de Santa Cruz Amilpas, Oaxaca;</w:t>
      </w:r>
      <w:r w:rsidR="00504578">
        <w:rPr>
          <w:rFonts w:ascii="Century Gothic" w:eastAsia="Century Gothic" w:hAnsi="Century Gothic" w:cs="Century Gothic"/>
          <w:sz w:val="24"/>
          <w:szCs w:val="24"/>
        </w:rPr>
        <w:t xml:space="preserve"> en ese sentido, se desprende que en el asunto que nos ocupa, la recurrente no actualiza alguna de las hipótesis previstas por el aludido artículo 163 de la Ley de Procedimiento, al no haber sido señalada como autoridad demandada, lo que como consecuencia deriva en </w:t>
      </w:r>
      <w:r w:rsidR="00504578">
        <w:rPr>
          <w:rFonts w:ascii="Century Gothic" w:eastAsia="Century Gothic" w:hAnsi="Century Gothic" w:cs="Century Gothic"/>
          <w:b/>
          <w:sz w:val="24"/>
          <w:szCs w:val="24"/>
        </w:rPr>
        <w:t>la falta de legitimación de su calidad de parte en el juicio de Primera Instancia</w:t>
      </w:r>
      <w:r w:rsidR="00504578">
        <w:rPr>
          <w:rFonts w:ascii="Century Gothic" w:eastAsia="Century Gothic" w:hAnsi="Century Gothic" w:cs="Century Gothic"/>
          <w:sz w:val="24"/>
          <w:szCs w:val="24"/>
        </w:rPr>
        <w:t xml:space="preserve">; sin que sea impedimento a lo anterior, el hecho de que en el presente recurso de revisión señale que acude en su calidad de Sindica Municipal del Municipio de Santa Cruz Amilpas, Oaxaca, pues en la contienda judicial inicial no ha tenido intervención alguna que le otorgue la posibilidad de promover el  Presente Recurso de Revisión. </w:t>
      </w:r>
    </w:p>
    <w:p w14:paraId="2CAA82FA" w14:textId="5B905CCC" w:rsidR="004C42E1" w:rsidRDefault="00F86A51">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9. </w:t>
      </w:r>
      <w:r w:rsidR="00504578">
        <w:rPr>
          <w:rFonts w:ascii="Century Gothic" w:eastAsia="Century Gothic" w:hAnsi="Century Gothic" w:cs="Century Gothic"/>
          <w:sz w:val="24"/>
          <w:szCs w:val="24"/>
        </w:rPr>
        <w:t xml:space="preserve">Lo anterior, pues como ya se hizo mención, las autoridades demandadas en el juicio de nulidad 58/2023 de la Sala Especializada en Materia de Responsabilidades Administrativas y Combate a la </w:t>
      </w:r>
      <w:r w:rsidR="00504578">
        <w:rPr>
          <w:rFonts w:ascii="Century Gothic" w:eastAsia="Century Gothic" w:hAnsi="Century Gothic" w:cs="Century Gothic"/>
          <w:sz w:val="24"/>
          <w:szCs w:val="24"/>
        </w:rPr>
        <w:lastRenderedPageBreak/>
        <w:t xml:space="preserve">Corrupción del Tribunal de Justicia Administrativa y Combate a la Corrupción del Estado de Oaxaca, antes 114/2022 Quinta Sala Unitaria de Primera Instancia, son el </w:t>
      </w:r>
      <w:r w:rsidR="00504578">
        <w:rPr>
          <w:rFonts w:ascii="Century Gothic" w:eastAsia="Century Gothic" w:hAnsi="Century Gothic" w:cs="Century Gothic"/>
          <w:b/>
          <w:sz w:val="24"/>
          <w:szCs w:val="24"/>
        </w:rPr>
        <w:t>Policía Vial Municipal y el Tesorero Municipal, ambas autoridades del Municipio de Santa Cruz Amilpas, Oaxaca</w:t>
      </w:r>
      <w:r w:rsidR="00504578">
        <w:rPr>
          <w:rFonts w:ascii="Century Gothic" w:eastAsia="Century Gothic" w:hAnsi="Century Gothic" w:cs="Century Gothic"/>
          <w:sz w:val="24"/>
          <w:szCs w:val="24"/>
        </w:rPr>
        <w:t xml:space="preserve"> quienes se apersonaron y dieron contestación a la demanda entablada en su contra dentro del plazo legal concedido. </w:t>
      </w:r>
    </w:p>
    <w:p w14:paraId="246F72E9" w14:textId="44D2BFFE" w:rsidR="004C42E1" w:rsidRDefault="00F86A51">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10. </w:t>
      </w:r>
      <w:r w:rsidR="00504578">
        <w:rPr>
          <w:rFonts w:ascii="Century Gothic" w:eastAsia="Century Gothic" w:hAnsi="Century Gothic" w:cs="Century Gothic"/>
          <w:sz w:val="24"/>
          <w:szCs w:val="24"/>
        </w:rPr>
        <w:t xml:space="preserve">En ese sentido, quien hoy promueve el recurso de revisión </w:t>
      </w:r>
      <w:r w:rsidR="00504578">
        <w:rPr>
          <w:rFonts w:ascii="Century Gothic" w:eastAsia="Century Gothic" w:hAnsi="Century Gothic" w:cs="Century Gothic"/>
          <w:b/>
          <w:sz w:val="24"/>
          <w:szCs w:val="24"/>
        </w:rPr>
        <w:t xml:space="preserve">no cuenta con legitimación </w:t>
      </w:r>
      <w:r w:rsidR="00504578">
        <w:rPr>
          <w:rFonts w:ascii="Century Gothic" w:eastAsia="Century Gothic" w:hAnsi="Century Gothic" w:cs="Century Gothic"/>
          <w:sz w:val="24"/>
          <w:szCs w:val="24"/>
        </w:rPr>
        <w:t xml:space="preserve">para impugnar la determinación contenida en la sentencia de fecha treinta de marzo de dos mil veintitrés, porque en todo caso quien debe acudir a reclamar su ilegalidad, es a quien le afecta directamente lo acordado, que es precisamente el Policía Vial Municipal y el Tesorero Municipal, ambas autoridades del Municipio de Santa Cruz Amilpas, Oaxaca, porque son las autoridades a quienes se les tuvo como emisoras del acto administrativo impugnado. </w:t>
      </w:r>
    </w:p>
    <w:p w14:paraId="62981010" w14:textId="534C0DA5" w:rsidR="004C42E1" w:rsidRDefault="00F86A51">
      <w:pPr>
        <w:spacing w:before="240"/>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 xml:space="preserve">11. </w:t>
      </w:r>
      <w:r w:rsidR="00504578">
        <w:rPr>
          <w:rFonts w:ascii="Century Gothic" w:eastAsia="Century Gothic" w:hAnsi="Century Gothic" w:cs="Century Gothic"/>
          <w:sz w:val="24"/>
          <w:szCs w:val="24"/>
        </w:rPr>
        <w:t xml:space="preserve">Al respecto resulta aplicable al caso el criterio jurisprudencial emitido por el Octavo Tribunal Colegiado en materia Administrativa del Primer Circuito, de número de registro 167181, </w:t>
      </w:r>
      <w:r w:rsidR="00504578">
        <w:rPr>
          <w:rFonts w:ascii="Century Gothic" w:eastAsia="Century Gothic" w:hAnsi="Century Gothic" w:cs="Century Gothic"/>
          <w:color w:val="000000"/>
          <w:sz w:val="24"/>
          <w:szCs w:val="24"/>
        </w:rPr>
        <w:t xml:space="preserve">publicada en la Gaceta del Semanario Judicial de la Federación, </w:t>
      </w:r>
      <w:r w:rsidR="00504578">
        <w:rPr>
          <w:rFonts w:ascii="Century Gothic" w:eastAsia="Century Gothic" w:hAnsi="Century Gothic" w:cs="Century Gothic"/>
          <w:sz w:val="24"/>
          <w:szCs w:val="24"/>
        </w:rPr>
        <w:t>Novena</w:t>
      </w:r>
      <w:r w:rsidR="00504578">
        <w:rPr>
          <w:rFonts w:ascii="Century Gothic" w:eastAsia="Century Gothic" w:hAnsi="Century Gothic" w:cs="Century Gothic"/>
          <w:color w:val="000000"/>
          <w:sz w:val="24"/>
          <w:szCs w:val="24"/>
        </w:rPr>
        <w:t xml:space="preserve"> Época, Tomo XXIX, mayo de 2009, página 1119, cuyo rubro y texto es el siguiente:</w:t>
      </w:r>
    </w:p>
    <w:p w14:paraId="7EAD1139" w14:textId="77777777" w:rsidR="004C42E1" w:rsidRDefault="00504578">
      <w:pPr>
        <w:widowControl w:val="0"/>
        <w:spacing w:before="240" w:after="0" w:line="240" w:lineRule="auto"/>
        <w:ind w:left="709" w:right="758"/>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r>
        <w:rPr>
          <w:rFonts w:ascii="Century Gothic" w:eastAsia="Century Gothic" w:hAnsi="Century Gothic" w:cs="Century Gothic"/>
          <w:b/>
          <w:i/>
          <w:sz w:val="24"/>
          <w:szCs w:val="24"/>
        </w:rPr>
        <w:t>REVISIÓN CONTENCIOSA ADMINISTRATIVA. LA LEGITIMACIÓN PARA INTERPONER DICHO RECURSO NO SÓLO IMPLICA QUE EL PROMOVENTE SEA AUTORIDAD, SINO TAMBIÉN QUE LA SENTENCIA IMPUGNADA LE AGRAVIE</w:t>
      </w:r>
      <w:r>
        <w:rPr>
          <w:rFonts w:ascii="Century Gothic" w:eastAsia="Century Gothic" w:hAnsi="Century Gothic" w:cs="Century Gothic"/>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Century Gothic" w:eastAsia="Century Gothic" w:hAnsi="Century Gothic" w:cs="Century Gothic"/>
          <w:sz w:val="24"/>
          <w:szCs w:val="24"/>
        </w:rPr>
        <w:t>”</w:t>
      </w:r>
    </w:p>
    <w:p w14:paraId="507AA8A0" w14:textId="0A67FDE5" w:rsidR="004C42E1" w:rsidRDefault="00F86A51">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12. </w:t>
      </w:r>
      <w:r w:rsidR="00504578">
        <w:rPr>
          <w:rFonts w:ascii="Century Gothic" w:eastAsia="Century Gothic" w:hAnsi="Century Gothic" w:cs="Century Gothic"/>
          <w:sz w:val="24"/>
          <w:szCs w:val="24"/>
        </w:rPr>
        <w:t>En el presente caso, es pertinente puntualizar que la legitimación respecto de las partes procesales, puede ser de dos tipos: legitimación en la causa y legitimación procesal. La legitimación en la causa</w:t>
      </w:r>
      <w:r w:rsidR="00504578">
        <w:rPr>
          <w:rFonts w:ascii="Century Gothic" w:eastAsia="Century Gothic" w:hAnsi="Century Gothic" w:cs="Century Gothic"/>
          <w:i/>
          <w:sz w:val="24"/>
          <w:szCs w:val="24"/>
        </w:rPr>
        <w:t xml:space="preserve"> </w:t>
      </w:r>
      <w:r w:rsidR="00504578">
        <w:rPr>
          <w:rFonts w:ascii="Century Gothic" w:eastAsia="Century Gothic" w:hAnsi="Century Gothic" w:cs="Century Gothic"/>
          <w:sz w:val="24"/>
          <w:szCs w:val="24"/>
        </w:rPr>
        <w:t xml:space="preserve">se refiere a la identidad del actor, así como a la identidad del </w:t>
      </w:r>
      <w:r w:rsidR="00504578">
        <w:rPr>
          <w:rFonts w:ascii="Century Gothic" w:eastAsia="Century Gothic" w:hAnsi="Century Gothic" w:cs="Century Gothic"/>
          <w:sz w:val="24"/>
          <w:szCs w:val="24"/>
        </w:rPr>
        <w:lastRenderedPageBreak/>
        <w:t xml:space="preserve">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 </w:t>
      </w:r>
    </w:p>
    <w:p w14:paraId="0CA3D1C7" w14:textId="2E80F4A9" w:rsidR="004C42E1" w:rsidRDefault="00F86A51">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13. </w:t>
      </w:r>
      <w:r w:rsidR="00504578">
        <w:rPr>
          <w:rFonts w:ascii="Century Gothic" w:eastAsia="Century Gothic" w:hAnsi="Century Gothic" w:cs="Century Gothic"/>
          <w:sz w:val="24"/>
          <w:szCs w:val="24"/>
        </w:rPr>
        <w:t>La legitimación procesal 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w:t>
      </w:r>
    </w:p>
    <w:p w14:paraId="03B375FF" w14:textId="08F2E8D1" w:rsidR="004C42E1" w:rsidRDefault="00F86A51">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14. </w:t>
      </w:r>
      <w:r w:rsidR="00504578">
        <w:rPr>
          <w:rFonts w:ascii="Century Gothic" w:eastAsia="Century Gothic" w:hAnsi="Century Gothic" w:cs="Century Gothic"/>
          <w:sz w:val="24"/>
          <w:szCs w:val="24"/>
        </w:rPr>
        <w:t>Por ello, al no contar la recurrente con legitimación</w:t>
      </w:r>
      <w:r w:rsidR="00504578">
        <w:rPr>
          <w:rFonts w:ascii="Century Gothic" w:eastAsia="Century Gothic" w:hAnsi="Century Gothic" w:cs="Century Gothic"/>
          <w:sz w:val="24"/>
          <w:szCs w:val="24"/>
          <w:vertAlign w:val="superscript"/>
        </w:rPr>
        <w:footnoteReference w:id="3"/>
      </w:r>
      <w:r w:rsidR="00504578">
        <w:rPr>
          <w:rFonts w:ascii="Century Gothic" w:eastAsia="Century Gothic" w:hAnsi="Century Gothic" w:cs="Century Gothic"/>
          <w:b/>
          <w:sz w:val="24"/>
          <w:szCs w:val="24"/>
        </w:rPr>
        <w:t xml:space="preserve"> </w:t>
      </w:r>
      <w:r w:rsidR="00504578">
        <w:rPr>
          <w:rFonts w:ascii="Century Gothic" w:eastAsia="Century Gothic" w:hAnsi="Century Gothic" w:cs="Century Gothic"/>
          <w:sz w:val="24"/>
          <w:szCs w:val="24"/>
        </w:rPr>
        <w:t xml:space="preserve">para interponer el recurso de revisión, por no actualizar ninguno de los supuestos marcados por el artículo 163 de la Ley de Procedimiento, el presente medio de defensa se torna </w:t>
      </w:r>
      <w:r w:rsidR="00504578">
        <w:rPr>
          <w:rFonts w:ascii="Century Gothic" w:eastAsia="Century Gothic" w:hAnsi="Century Gothic" w:cs="Century Gothic"/>
          <w:b/>
          <w:sz w:val="24"/>
          <w:szCs w:val="24"/>
        </w:rPr>
        <w:t>improcedente</w:t>
      </w:r>
      <w:r w:rsidR="00504578">
        <w:rPr>
          <w:rFonts w:ascii="Century Gothic" w:eastAsia="Century Gothic" w:hAnsi="Century Gothic" w:cs="Century Gothic"/>
          <w:sz w:val="24"/>
          <w:szCs w:val="24"/>
        </w:rPr>
        <w:t>,</w:t>
      </w:r>
      <w:r w:rsidR="00504578">
        <w:rPr>
          <w:rFonts w:ascii="Century Gothic" w:eastAsia="Century Gothic" w:hAnsi="Century Gothic" w:cs="Century Gothic"/>
          <w:b/>
          <w:sz w:val="24"/>
          <w:szCs w:val="24"/>
        </w:rPr>
        <w:t xml:space="preserve"> </w:t>
      </w:r>
      <w:r w:rsidR="00504578">
        <w:rPr>
          <w:rFonts w:ascii="Century Gothic" w:eastAsia="Century Gothic" w:hAnsi="Century Gothic" w:cs="Century Gothic"/>
          <w:sz w:val="24"/>
          <w:szCs w:val="24"/>
        </w:rPr>
        <w:t>pues como ya se manifestó anteriormente la impugnación de los acuerdos y resoluciones dictados por las Salas Unitarias de Primera Instancia, corresponde únicamente a las partes en el juicio, y la promovente no acredita contar con tal carácter de parte en el Juicio de nulidad inicial. Al caso resulta aplicable la siguiente tesis jurisprudencial.</w:t>
      </w:r>
    </w:p>
    <w:p w14:paraId="16C25BAE" w14:textId="77777777" w:rsidR="004C42E1" w:rsidRDefault="00504578">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i/>
          <w:sz w:val="24"/>
          <w:szCs w:val="24"/>
        </w:rPr>
        <w:t>“LEGITIMACION EN LA CAUSA Y LEGITIMACION EN EL PROCESO. DIFERENCIAS”</w:t>
      </w:r>
      <w:r>
        <w:rPr>
          <w:rFonts w:ascii="Century Gothic" w:eastAsia="Century Gothic" w:hAnsi="Century Gothic" w:cs="Century Gothic"/>
          <w:b/>
          <w:i/>
          <w:sz w:val="24"/>
          <w:szCs w:val="24"/>
          <w:vertAlign w:val="superscript"/>
        </w:rPr>
        <w:footnoteReference w:id="4"/>
      </w:r>
    </w:p>
    <w:p w14:paraId="3943E3D9" w14:textId="16C4D84C" w:rsidR="004C42E1" w:rsidRDefault="00F86A51">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15. </w:t>
      </w:r>
      <w:r w:rsidR="00504578">
        <w:rPr>
          <w:rFonts w:ascii="Century Gothic" w:eastAsia="Century Gothic" w:hAnsi="Century Gothic" w:cs="Century Gothic"/>
          <w:sz w:val="24"/>
          <w:szCs w:val="24"/>
        </w:rPr>
        <w:t>No pasa desapercibido para esta Sala Superior advertir que en término de lo dispuesto por el artículo 150</w:t>
      </w:r>
      <w:r w:rsidR="00504578">
        <w:rPr>
          <w:rFonts w:ascii="Century Gothic" w:eastAsia="Century Gothic" w:hAnsi="Century Gothic" w:cs="Century Gothic"/>
          <w:sz w:val="24"/>
          <w:szCs w:val="24"/>
          <w:vertAlign w:val="superscript"/>
        </w:rPr>
        <w:footnoteReference w:id="5"/>
      </w:r>
      <w:r w:rsidR="00504578">
        <w:rPr>
          <w:rFonts w:ascii="Century Gothic" w:eastAsia="Century Gothic" w:hAnsi="Century Gothic" w:cs="Century Gothic"/>
          <w:sz w:val="24"/>
          <w:szCs w:val="24"/>
        </w:rPr>
        <w:t xml:space="preserve"> de la Ley de Procedimiento y Justicia Administrativa para el Estado de Oaxaca, que, del recurso de revisión turnado para la elaboración del proyecto de resolución, no se comprueba la personería de quien promueve, pues no se advierte documento alguno con el que la inconforme acredite el cargo que dice ostentar. - - - - - - - - - - - - - - - - - - - - - - - - - - - - - - - - - - - - - - - - - - - - - - </w:t>
      </w:r>
      <w:r w:rsidR="00FA0454">
        <w:rPr>
          <w:rFonts w:ascii="Century Gothic" w:eastAsia="Century Gothic" w:hAnsi="Century Gothic" w:cs="Century Gothic"/>
          <w:sz w:val="24"/>
          <w:szCs w:val="24"/>
        </w:rPr>
        <w:t>- - - -</w:t>
      </w:r>
    </w:p>
    <w:p w14:paraId="7C88DA2A" w14:textId="32BDDFEE" w:rsidR="004C42E1" w:rsidRDefault="00F86A51">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16. </w:t>
      </w:r>
      <w:r w:rsidR="00504578">
        <w:rPr>
          <w:rFonts w:ascii="Century Gothic" w:eastAsia="Century Gothic" w:hAnsi="Century Gothic" w:cs="Century Gothic"/>
          <w:sz w:val="24"/>
          <w:szCs w:val="24"/>
        </w:rPr>
        <w:t xml:space="preserve">Consecuentemente, lo procedente es </w:t>
      </w:r>
      <w:r w:rsidR="00504578">
        <w:rPr>
          <w:rFonts w:ascii="Century Gothic" w:eastAsia="Century Gothic" w:hAnsi="Century Gothic" w:cs="Century Gothic"/>
          <w:b/>
          <w:sz w:val="24"/>
          <w:szCs w:val="24"/>
        </w:rPr>
        <w:t>DESECHAR</w:t>
      </w:r>
      <w:r w:rsidR="00504578">
        <w:rPr>
          <w:rFonts w:ascii="Century Gothic" w:eastAsia="Century Gothic" w:hAnsi="Century Gothic" w:cs="Century Gothic"/>
          <w:sz w:val="24"/>
          <w:szCs w:val="24"/>
        </w:rPr>
        <w:t xml:space="preserve"> por </w:t>
      </w:r>
      <w:r w:rsidR="00504578">
        <w:rPr>
          <w:rFonts w:ascii="Century Gothic" w:eastAsia="Century Gothic" w:hAnsi="Century Gothic" w:cs="Century Gothic"/>
          <w:b/>
          <w:sz w:val="24"/>
          <w:szCs w:val="24"/>
        </w:rPr>
        <w:t xml:space="preserve">IMPROCEDENTE </w:t>
      </w:r>
      <w:r w:rsidR="00504578">
        <w:rPr>
          <w:rFonts w:ascii="Century Gothic" w:eastAsia="Century Gothic" w:hAnsi="Century Gothic" w:cs="Century Gothic"/>
          <w:sz w:val="24"/>
          <w:szCs w:val="24"/>
        </w:rPr>
        <w:t xml:space="preserve">el recurso de revisión interpuesto por </w:t>
      </w:r>
      <w:r w:rsidR="00504578">
        <w:rPr>
          <w:rFonts w:ascii="Century Gothic" w:eastAsia="Century Gothic" w:hAnsi="Century Gothic" w:cs="Century Gothic"/>
          <w:b/>
          <w:sz w:val="24"/>
          <w:szCs w:val="24"/>
        </w:rPr>
        <w:t>Zobeida Rodríguez Vásquez</w:t>
      </w:r>
      <w:r w:rsidR="00504578">
        <w:rPr>
          <w:rFonts w:ascii="Century Gothic" w:eastAsia="Century Gothic" w:hAnsi="Century Gothic" w:cs="Century Gothic"/>
          <w:sz w:val="24"/>
          <w:szCs w:val="24"/>
        </w:rPr>
        <w:t xml:space="preserve">, </w:t>
      </w:r>
      <w:r w:rsidR="00504578">
        <w:rPr>
          <w:rFonts w:ascii="Century Gothic" w:eastAsia="Century Gothic" w:hAnsi="Century Gothic" w:cs="Century Gothic"/>
          <w:b/>
          <w:sz w:val="24"/>
          <w:szCs w:val="24"/>
        </w:rPr>
        <w:t>quien se ostenta como</w:t>
      </w:r>
      <w:r w:rsidR="00504578">
        <w:rPr>
          <w:rFonts w:ascii="Century Gothic" w:eastAsia="Century Gothic" w:hAnsi="Century Gothic" w:cs="Century Gothic"/>
          <w:sz w:val="24"/>
          <w:szCs w:val="24"/>
        </w:rPr>
        <w:t xml:space="preserve"> Síndica Municipal del Municipio de Santa Cruz Amilpas, Oaxaca,</w:t>
      </w:r>
      <w:r w:rsidR="00504578">
        <w:rPr>
          <w:rFonts w:ascii="Century Gothic" w:eastAsia="Century Gothic" w:hAnsi="Century Gothic" w:cs="Century Gothic"/>
          <w:b/>
          <w:sz w:val="24"/>
          <w:szCs w:val="24"/>
        </w:rPr>
        <w:t xml:space="preserve"> </w:t>
      </w:r>
      <w:r w:rsidR="00504578">
        <w:rPr>
          <w:rFonts w:ascii="Century Gothic" w:eastAsia="Century Gothic" w:hAnsi="Century Gothic" w:cs="Century Gothic"/>
          <w:sz w:val="24"/>
          <w:szCs w:val="24"/>
        </w:rPr>
        <w:t xml:space="preserve">en contra de la sentencia de fecha </w:t>
      </w:r>
      <w:r w:rsidR="00504578">
        <w:rPr>
          <w:rFonts w:ascii="Century Gothic" w:eastAsia="Century Gothic" w:hAnsi="Century Gothic" w:cs="Century Gothic"/>
          <w:b/>
          <w:sz w:val="24"/>
          <w:szCs w:val="24"/>
        </w:rPr>
        <w:t>veintitrés de marzo de dos mil veintitrés</w:t>
      </w:r>
      <w:r w:rsidR="00504578">
        <w:rPr>
          <w:rFonts w:ascii="Century Gothic" w:eastAsia="Century Gothic" w:hAnsi="Century Gothic" w:cs="Century Gothic"/>
          <w:sz w:val="24"/>
          <w:szCs w:val="24"/>
        </w:rPr>
        <w:t xml:space="preserve">, la cual no obra dentro de los autos del expediente del juicio de nulidad al rubro indicado, pues es importante precisar que la sentencia emitida dentro de dicho juicio es de fecha </w:t>
      </w:r>
      <w:r w:rsidR="00504578">
        <w:rPr>
          <w:rFonts w:ascii="Century Gothic" w:eastAsia="Century Gothic" w:hAnsi="Century Gothic" w:cs="Century Gothic"/>
          <w:b/>
          <w:sz w:val="24"/>
          <w:szCs w:val="24"/>
        </w:rPr>
        <w:t>treinta de marzo de la presente anualidad</w:t>
      </w:r>
      <w:r w:rsidR="00504578">
        <w:rPr>
          <w:rFonts w:ascii="Century Gothic" w:eastAsia="Century Gothic" w:hAnsi="Century Gothic" w:cs="Century Gothic"/>
          <w:sz w:val="24"/>
          <w:szCs w:val="24"/>
        </w:rPr>
        <w:t>, dictada en el juicio de nulidad con número de expediente 0114/2022 de la Quinta Sala Unitaria de Primera Instancia del entonces Tribunal de Justicia Administrativa del Estado de Oaxaca, ahora radicado en el expediente 58/2023 del índice de la Sala Especializada en Materia de Responsabilidades Administrativas del Tribunal de Justicia Administrativas y Combate a la Corrupción del Estado de Oaxaca, por lo que, con fundamento en los artículos 236 y 238 de la Ley de Procedimiento y Justicia Administrativa para el Estado de Oaxaca, se:</w:t>
      </w:r>
    </w:p>
    <w:p w14:paraId="29267166" w14:textId="77777777" w:rsidR="004C42E1" w:rsidRDefault="00504578">
      <w:pPr>
        <w:spacing w:after="120" w:line="360" w:lineRule="auto"/>
        <w:jc w:val="center"/>
        <w:rPr>
          <w:rFonts w:ascii="Century Gothic" w:eastAsia="Century Gothic" w:hAnsi="Century Gothic" w:cs="Century Gothic"/>
          <w:sz w:val="24"/>
          <w:szCs w:val="24"/>
        </w:rPr>
      </w:pPr>
      <w:r>
        <w:rPr>
          <w:rFonts w:ascii="Century Gothic" w:eastAsia="Century Gothic" w:hAnsi="Century Gothic" w:cs="Century Gothic"/>
          <w:b/>
          <w:sz w:val="24"/>
          <w:szCs w:val="24"/>
        </w:rPr>
        <w:t>R E S U E L V E</w:t>
      </w:r>
    </w:p>
    <w:p w14:paraId="42D91E83" w14:textId="77777777" w:rsidR="004C42E1" w:rsidRDefault="00504578">
      <w:pPr>
        <w:spacing w:after="120" w:line="360" w:lineRule="auto"/>
        <w:ind w:firstLine="708"/>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PRIMERO</w:t>
      </w:r>
      <w:r>
        <w:rPr>
          <w:rFonts w:ascii="Century Gothic" w:eastAsia="Century Gothic" w:hAnsi="Century Gothic" w:cs="Century Gothic"/>
          <w:color w:val="000000"/>
          <w:sz w:val="24"/>
          <w:szCs w:val="24"/>
        </w:rPr>
        <w:t xml:space="preserve">. Se </w:t>
      </w:r>
      <w:r>
        <w:rPr>
          <w:rFonts w:ascii="Century Gothic" w:eastAsia="Century Gothic" w:hAnsi="Century Gothic" w:cs="Century Gothic"/>
          <w:b/>
          <w:color w:val="000000"/>
          <w:sz w:val="24"/>
          <w:szCs w:val="24"/>
        </w:rPr>
        <w:t xml:space="preserve">DESECHA </w:t>
      </w:r>
      <w:r>
        <w:rPr>
          <w:rFonts w:ascii="Century Gothic" w:eastAsia="Century Gothic" w:hAnsi="Century Gothic" w:cs="Century Gothic"/>
          <w:sz w:val="24"/>
          <w:szCs w:val="24"/>
        </w:rPr>
        <w:t xml:space="preserve">por </w:t>
      </w:r>
      <w:r>
        <w:rPr>
          <w:rFonts w:ascii="Century Gothic" w:eastAsia="Century Gothic" w:hAnsi="Century Gothic" w:cs="Century Gothic"/>
          <w:b/>
          <w:sz w:val="24"/>
          <w:szCs w:val="24"/>
        </w:rPr>
        <w:t xml:space="preserve">IMPROCEDENTE </w:t>
      </w:r>
      <w:r>
        <w:rPr>
          <w:rFonts w:ascii="Century Gothic" w:eastAsia="Century Gothic" w:hAnsi="Century Gothic" w:cs="Century Gothic"/>
          <w:sz w:val="24"/>
          <w:szCs w:val="24"/>
        </w:rPr>
        <w:t xml:space="preserve">el recurso de revisión interpuesto por la </w:t>
      </w:r>
      <w:r>
        <w:rPr>
          <w:rFonts w:ascii="Century Gothic" w:eastAsia="Century Gothic" w:hAnsi="Century Gothic" w:cs="Century Gothic"/>
          <w:b/>
          <w:sz w:val="24"/>
          <w:szCs w:val="24"/>
        </w:rPr>
        <w:t>C. Zobeida Rodríguez Vásquez</w:t>
      </w:r>
      <w:r>
        <w:rPr>
          <w:rFonts w:ascii="Century Gothic" w:eastAsia="Century Gothic" w:hAnsi="Century Gothic" w:cs="Century Gothic"/>
          <w:sz w:val="24"/>
          <w:szCs w:val="24"/>
        </w:rPr>
        <w:t>, quien se ostenta como Síndica Municipal del Municipio de Santa Cruz Amilpas, Oaxaca,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en contra de la sentencia emitida dentro del juicio de nulidad con número de expediente 58/2023 del índice de la Sala Especializada en Materia de Responsabilidades Administrativas del Tribunal de Justicia </w:t>
      </w:r>
      <w:r>
        <w:rPr>
          <w:rFonts w:ascii="Century Gothic" w:eastAsia="Century Gothic" w:hAnsi="Century Gothic" w:cs="Century Gothic"/>
          <w:sz w:val="24"/>
          <w:szCs w:val="24"/>
        </w:rPr>
        <w:lastRenderedPageBreak/>
        <w:t xml:space="preserve">Administrativas y Combate a la Corrupción del Estado de Oaxaca, antes 0114/2022 de la Quinta Sala Unitaria de Primera Instancia del entonces Tribunal de Justicia Administrativa del Estado de Oaxaca, </w:t>
      </w:r>
      <w:r>
        <w:rPr>
          <w:rFonts w:ascii="Century Gothic" w:eastAsia="Century Gothic" w:hAnsi="Century Gothic" w:cs="Century Gothic"/>
          <w:color w:val="000000"/>
          <w:sz w:val="24"/>
          <w:szCs w:val="24"/>
        </w:rPr>
        <w:t xml:space="preserve"> por las razones expuestas en el considerando que antecede. - - - - - - - - - - - - - - - - - - - - - </w:t>
      </w:r>
    </w:p>
    <w:p w14:paraId="1E7453DF" w14:textId="77777777" w:rsidR="004C42E1" w:rsidRDefault="00504578">
      <w:pPr>
        <w:widowControl w:val="0"/>
        <w:tabs>
          <w:tab w:val="left" w:pos="7938"/>
        </w:tabs>
        <w:spacing w:after="120" w:line="360" w:lineRule="auto"/>
        <w:ind w:right="17" w:firstLine="709"/>
        <w:jc w:val="both"/>
        <w:rPr>
          <w:rFonts w:ascii="Century Gothic" w:eastAsia="Century Gothic" w:hAnsi="Century Gothic" w:cs="Century Gothic"/>
          <w:sz w:val="24"/>
          <w:szCs w:val="24"/>
        </w:rPr>
      </w:pPr>
      <w:r>
        <w:rPr>
          <w:rFonts w:ascii="Century Gothic" w:eastAsia="Century Gothic" w:hAnsi="Century Gothic" w:cs="Century Gothic"/>
          <w:b/>
          <w:sz w:val="24"/>
          <w:szCs w:val="24"/>
        </w:rPr>
        <w:t>SEGUNDO</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 xml:space="preserve">NOTIFÍQUESE Y CÚMPLASE. </w:t>
      </w:r>
      <w:r>
        <w:rPr>
          <w:rFonts w:ascii="Century Gothic" w:eastAsia="Century Gothic" w:hAnsi="Century Gothic" w:cs="Century Gothic"/>
          <w:sz w:val="24"/>
          <w:szCs w:val="24"/>
        </w:rPr>
        <w:t>Con copia certificada de la presente resolución, devuélvase el expediente a la Sala Especializada en Materia de Responsabilidades Administrativas de Primera Instancia de este Tribunal, y en su oportunidad archívese el presente cuaderno de revisión como asunto concluido. - - - - - - - - - - - - - - - - - - - - - - - - - - - - - - -</w:t>
      </w:r>
    </w:p>
    <w:p w14:paraId="6FC2420A" w14:textId="3010714D" w:rsidR="004C42E1" w:rsidRDefault="00504578">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Por unanimidad de votos, lo resolvieron y firmaron los Magistrados integrantes de la Sala Superior Mateo Martínez </w:t>
      </w:r>
      <w:proofErr w:type="spellStart"/>
      <w:r>
        <w:rPr>
          <w:rFonts w:ascii="Century Gothic" w:eastAsia="Century Gothic" w:hAnsi="Century Gothic" w:cs="Century Gothic"/>
          <w:sz w:val="24"/>
          <w:szCs w:val="24"/>
        </w:rPr>
        <w:t>Martínez</w:t>
      </w:r>
      <w:proofErr w:type="spellEnd"/>
      <w:r>
        <w:rPr>
          <w:rFonts w:ascii="Century Gothic" w:eastAsia="Century Gothic" w:hAnsi="Century Gothic" w:cs="Century Gothic"/>
          <w:sz w:val="24"/>
          <w:szCs w:val="24"/>
        </w:rPr>
        <w:t xml:space="preserve">, Cruz Itzel Espinosa Rojas </w:t>
      </w:r>
      <w:r w:rsidRPr="00EB5D1F">
        <w:rPr>
          <w:rFonts w:ascii="Century Gothic" w:eastAsia="Century Gothic" w:hAnsi="Century Gothic" w:cs="Century Gothic"/>
          <w:b/>
          <w:bCs/>
          <w:sz w:val="24"/>
          <w:szCs w:val="24"/>
        </w:rPr>
        <w:t>(ponente)</w:t>
      </w:r>
      <w:r>
        <w:rPr>
          <w:rFonts w:ascii="Century Gothic" w:eastAsia="Century Gothic" w:hAnsi="Century Gothic" w:cs="Century Gothic"/>
          <w:sz w:val="24"/>
          <w:szCs w:val="24"/>
        </w:rPr>
        <w:t xml:space="preserve"> y Manuel de Jesús López </w:t>
      </w:r>
      <w:proofErr w:type="spellStart"/>
      <w:r>
        <w:rPr>
          <w:rFonts w:ascii="Century Gothic" w:eastAsia="Century Gothic" w:hAnsi="Century Gothic" w:cs="Century Gothic"/>
          <w:sz w:val="24"/>
          <w:szCs w:val="24"/>
        </w:rPr>
        <w:t>López</w:t>
      </w:r>
      <w:proofErr w:type="spellEnd"/>
      <w:r>
        <w:rPr>
          <w:rFonts w:ascii="Century Gothic" w:eastAsia="Century Gothic" w:hAnsi="Century Gothic" w:cs="Century Gothic"/>
          <w:sz w:val="24"/>
          <w:szCs w:val="24"/>
        </w:rPr>
        <w:t xml:space="preserve">; quienes actúan con la </w:t>
      </w:r>
      <w:r w:rsidR="00A7731E">
        <w:rPr>
          <w:rFonts w:ascii="Century Gothic" w:eastAsia="Century Gothic" w:hAnsi="Century Gothic" w:cs="Century Gothic"/>
          <w:sz w:val="24"/>
          <w:szCs w:val="24"/>
        </w:rPr>
        <w:t>Maestra</w:t>
      </w:r>
      <w:r>
        <w:rPr>
          <w:rFonts w:ascii="Century Gothic" w:eastAsia="Century Gothic" w:hAnsi="Century Gothic" w:cs="Century Gothic"/>
          <w:sz w:val="24"/>
          <w:szCs w:val="24"/>
        </w:rPr>
        <w:t xml:space="preserve"> Lizbeth Jessica Gallardo Martínez, Secretaria General de Acuerdos de este Tribunal, que autoriza y da </w:t>
      </w:r>
      <w:proofErr w:type="gramStart"/>
      <w:r>
        <w:rPr>
          <w:rFonts w:ascii="Century Gothic" w:eastAsia="Century Gothic" w:hAnsi="Century Gothic" w:cs="Century Gothic"/>
          <w:sz w:val="24"/>
          <w:szCs w:val="24"/>
        </w:rPr>
        <w:t>fe.-</w:t>
      </w:r>
      <w:proofErr w:type="gramEnd"/>
      <w:r>
        <w:rPr>
          <w:rFonts w:ascii="Century Gothic" w:eastAsia="Century Gothic" w:hAnsi="Century Gothic" w:cs="Century Gothic"/>
          <w:sz w:val="24"/>
          <w:szCs w:val="24"/>
        </w:rPr>
        <w:t xml:space="preserve"> - - - - - - - - - </w:t>
      </w:r>
    </w:p>
    <w:p w14:paraId="7FBE2ACC" w14:textId="77777777" w:rsidR="00EB5D1F" w:rsidRDefault="00EB5D1F" w:rsidP="0057150E">
      <w:pPr>
        <w:spacing w:before="240"/>
        <w:jc w:val="both"/>
        <w:rPr>
          <w:rFonts w:ascii="Century Gothic" w:eastAsia="Century Gothic" w:hAnsi="Century Gothic" w:cs="Century Gothic"/>
          <w:sz w:val="24"/>
          <w:szCs w:val="24"/>
        </w:rPr>
      </w:pPr>
    </w:p>
    <w:p w14:paraId="0A6C6409" w14:textId="77777777" w:rsidR="004C42E1" w:rsidRDefault="004C42E1">
      <w:pPr>
        <w:pBdr>
          <w:top w:val="nil"/>
          <w:left w:val="nil"/>
          <w:bottom w:val="nil"/>
          <w:right w:val="nil"/>
          <w:between w:val="nil"/>
        </w:pBdr>
        <w:spacing w:after="0"/>
        <w:jc w:val="center"/>
        <w:rPr>
          <w:rFonts w:ascii="Century Gothic" w:eastAsia="Century Gothic" w:hAnsi="Century Gothic" w:cs="Century Gothic"/>
          <w:b/>
          <w:color w:val="000000"/>
          <w:sz w:val="24"/>
          <w:szCs w:val="24"/>
        </w:rPr>
      </w:pPr>
    </w:p>
    <w:p w14:paraId="5592D5B7" w14:textId="435D1D8C" w:rsidR="004C42E1" w:rsidRDefault="00504578" w:rsidP="0044647B">
      <w:pPr>
        <w:pBdr>
          <w:top w:val="nil"/>
          <w:left w:val="nil"/>
          <w:bottom w:val="nil"/>
          <w:right w:val="nil"/>
          <w:between w:val="nil"/>
        </w:pBdr>
        <w:spacing w:after="0"/>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MAGISTRADO MATEO MARTÍNEZ </w:t>
      </w:r>
      <w:proofErr w:type="spellStart"/>
      <w:r>
        <w:rPr>
          <w:rFonts w:ascii="Century Gothic" w:eastAsia="Century Gothic" w:hAnsi="Century Gothic" w:cs="Century Gothic"/>
          <w:b/>
          <w:color w:val="000000"/>
          <w:sz w:val="24"/>
          <w:szCs w:val="24"/>
        </w:rPr>
        <w:t>MARTÍNEZ</w:t>
      </w:r>
      <w:proofErr w:type="spellEnd"/>
      <w:r>
        <w:rPr>
          <w:rFonts w:ascii="Century Gothic" w:eastAsia="Century Gothic" w:hAnsi="Century Gothic" w:cs="Century Gothic"/>
          <w:b/>
          <w:color w:val="000000"/>
          <w:sz w:val="24"/>
          <w:szCs w:val="24"/>
        </w:rPr>
        <w:t>.</w:t>
      </w:r>
    </w:p>
    <w:p w14:paraId="7D1DA1EC" w14:textId="77777777" w:rsidR="004C42E1" w:rsidRDefault="00504578">
      <w:pPr>
        <w:pBdr>
          <w:top w:val="nil"/>
          <w:left w:val="nil"/>
          <w:bottom w:val="nil"/>
          <w:right w:val="nil"/>
          <w:between w:val="nil"/>
        </w:pBdr>
        <w:spacing w:after="0"/>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PRESIDENTE</w:t>
      </w:r>
    </w:p>
    <w:p w14:paraId="6304AE47" w14:textId="77777777" w:rsidR="004C42E1" w:rsidRDefault="004C42E1" w:rsidP="0057150E">
      <w:pPr>
        <w:tabs>
          <w:tab w:val="center" w:pos="4135"/>
          <w:tab w:val="left" w:pos="7515"/>
        </w:tabs>
        <w:rPr>
          <w:rFonts w:ascii="Century Gothic" w:eastAsia="Century Gothic" w:hAnsi="Century Gothic" w:cs="Century Gothic"/>
          <w:b/>
          <w:sz w:val="24"/>
          <w:szCs w:val="24"/>
        </w:rPr>
      </w:pPr>
    </w:p>
    <w:p w14:paraId="459EC16B" w14:textId="77777777" w:rsidR="004C42E1" w:rsidRDefault="004C42E1">
      <w:pPr>
        <w:tabs>
          <w:tab w:val="center" w:pos="4135"/>
          <w:tab w:val="left" w:pos="7515"/>
        </w:tabs>
        <w:jc w:val="center"/>
        <w:rPr>
          <w:rFonts w:ascii="Century Gothic" w:eastAsia="Century Gothic" w:hAnsi="Century Gothic" w:cs="Century Gothic"/>
          <w:b/>
          <w:sz w:val="24"/>
          <w:szCs w:val="24"/>
        </w:rPr>
      </w:pPr>
    </w:p>
    <w:p w14:paraId="766F07B9" w14:textId="77777777" w:rsidR="004C42E1" w:rsidRDefault="00504578" w:rsidP="0044647B">
      <w:pPr>
        <w:tabs>
          <w:tab w:val="center" w:pos="4135"/>
          <w:tab w:val="left" w:pos="751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MAGISTRADA CRUZ ITZEL ESPINOSA ROJAS.</w:t>
      </w:r>
    </w:p>
    <w:p w14:paraId="79290FF6" w14:textId="7F3A6775" w:rsidR="00EB5D1F" w:rsidRDefault="00186711" w:rsidP="0057150E">
      <w:pPr>
        <w:tabs>
          <w:tab w:val="center" w:pos="4135"/>
          <w:tab w:val="left" w:pos="7515"/>
        </w:tabs>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INTEGRANTE</w:t>
      </w:r>
    </w:p>
    <w:p w14:paraId="0A08CFBA" w14:textId="77777777" w:rsidR="004C42E1" w:rsidRDefault="004C42E1">
      <w:pPr>
        <w:tabs>
          <w:tab w:val="center" w:pos="4135"/>
          <w:tab w:val="left" w:pos="7515"/>
        </w:tabs>
        <w:jc w:val="center"/>
        <w:rPr>
          <w:rFonts w:ascii="Century Gothic" w:eastAsia="Century Gothic" w:hAnsi="Century Gothic" w:cs="Century Gothic"/>
          <w:b/>
          <w:sz w:val="24"/>
          <w:szCs w:val="24"/>
        </w:rPr>
      </w:pPr>
    </w:p>
    <w:p w14:paraId="0F15BAA9" w14:textId="77777777" w:rsidR="004C42E1" w:rsidRDefault="00504578" w:rsidP="0044647B">
      <w:pPr>
        <w:tabs>
          <w:tab w:val="center" w:pos="4135"/>
          <w:tab w:val="left" w:pos="751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MANUEL DE JESÚS LÓPEZ </w:t>
      </w:r>
      <w:proofErr w:type="spellStart"/>
      <w:r>
        <w:rPr>
          <w:rFonts w:ascii="Century Gothic" w:eastAsia="Century Gothic" w:hAnsi="Century Gothic" w:cs="Century Gothic"/>
          <w:b/>
          <w:sz w:val="24"/>
          <w:szCs w:val="24"/>
        </w:rPr>
        <w:t>LÓPEZ</w:t>
      </w:r>
      <w:proofErr w:type="spellEnd"/>
      <w:r>
        <w:rPr>
          <w:rFonts w:ascii="Century Gothic" w:eastAsia="Century Gothic" w:hAnsi="Century Gothic" w:cs="Century Gothic"/>
          <w:b/>
          <w:sz w:val="24"/>
          <w:szCs w:val="24"/>
        </w:rPr>
        <w:t>.</w:t>
      </w:r>
    </w:p>
    <w:p w14:paraId="4FA69FB0" w14:textId="77777777" w:rsidR="004C42E1" w:rsidRDefault="00186711">
      <w:pPr>
        <w:tabs>
          <w:tab w:val="center" w:pos="4135"/>
          <w:tab w:val="left" w:pos="7515"/>
        </w:tabs>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INTEGRANTE</w:t>
      </w:r>
    </w:p>
    <w:p w14:paraId="7AE7DB03" w14:textId="77777777" w:rsidR="004C42E1" w:rsidRDefault="004C42E1" w:rsidP="0057150E">
      <w:pPr>
        <w:tabs>
          <w:tab w:val="center" w:pos="4135"/>
          <w:tab w:val="left" w:pos="7515"/>
        </w:tabs>
        <w:rPr>
          <w:rFonts w:ascii="Century Gothic" w:eastAsia="Century Gothic" w:hAnsi="Century Gothic" w:cs="Century Gothic"/>
          <w:b/>
          <w:sz w:val="24"/>
          <w:szCs w:val="24"/>
        </w:rPr>
      </w:pPr>
    </w:p>
    <w:p w14:paraId="2BC9F269" w14:textId="1743C26D" w:rsidR="004C42E1" w:rsidRDefault="0044647B" w:rsidP="0044647B">
      <w:pPr>
        <w:tabs>
          <w:tab w:val="left" w:pos="1925"/>
          <w:tab w:val="center" w:pos="413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MAESTRA</w:t>
      </w:r>
      <w:r w:rsidR="00504578">
        <w:rPr>
          <w:rFonts w:ascii="Century Gothic" w:eastAsia="Century Gothic" w:hAnsi="Century Gothic" w:cs="Century Gothic"/>
          <w:b/>
          <w:sz w:val="24"/>
          <w:szCs w:val="24"/>
        </w:rPr>
        <w:t xml:space="preserve"> LIZBETH JESSICA GALLARDO MARTÍNEZ.</w:t>
      </w:r>
    </w:p>
    <w:p w14:paraId="7D656468" w14:textId="77777777" w:rsidR="004C42E1" w:rsidRDefault="00504578">
      <w:pPr>
        <w:pBdr>
          <w:top w:val="nil"/>
          <w:left w:val="nil"/>
          <w:bottom w:val="nil"/>
          <w:right w:val="nil"/>
          <w:between w:val="nil"/>
        </w:pBdr>
        <w:spacing w:after="0"/>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SECRETARIA GENERAL DE ACUERDOS</w:t>
      </w:r>
    </w:p>
    <w:p w14:paraId="35C9E7D0" w14:textId="77777777" w:rsidR="004C42E1" w:rsidRDefault="004C42E1">
      <w:pPr>
        <w:tabs>
          <w:tab w:val="center" w:pos="4135"/>
          <w:tab w:val="left" w:pos="7515"/>
        </w:tabs>
        <w:jc w:val="center"/>
        <w:rPr>
          <w:rFonts w:ascii="Century Gothic" w:eastAsia="Century Gothic" w:hAnsi="Century Gothic" w:cs="Century Gothic"/>
          <w:sz w:val="24"/>
          <w:szCs w:val="24"/>
        </w:rPr>
      </w:pPr>
    </w:p>
    <w:p w14:paraId="1DCEDE1F" w14:textId="77777777" w:rsidR="004C42E1" w:rsidRDefault="004C42E1">
      <w:pPr>
        <w:jc w:val="center"/>
        <w:rPr>
          <w:rFonts w:ascii="Century Gothic" w:eastAsia="Century Gothic" w:hAnsi="Century Gothic" w:cs="Century Gothic"/>
          <w:sz w:val="24"/>
          <w:szCs w:val="24"/>
        </w:rPr>
      </w:pPr>
    </w:p>
    <w:sectPr w:rsidR="004C42E1" w:rsidSect="0057150E">
      <w:headerReference w:type="even" r:id="rId8"/>
      <w:headerReference w:type="default" r:id="rId9"/>
      <w:footerReference w:type="default" r:id="rId10"/>
      <w:headerReference w:type="first" r:id="rId11"/>
      <w:pgSz w:w="12240" w:h="20160"/>
      <w:pgMar w:top="1843" w:right="1469" w:bottom="1985" w:left="2410" w:header="992"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C6361" w14:textId="77777777" w:rsidR="00903B6C" w:rsidRDefault="00903B6C">
      <w:pPr>
        <w:spacing w:after="0" w:line="240" w:lineRule="auto"/>
      </w:pPr>
      <w:r>
        <w:separator/>
      </w:r>
    </w:p>
  </w:endnote>
  <w:endnote w:type="continuationSeparator" w:id="0">
    <w:p w14:paraId="7ABDBCDF" w14:textId="77777777" w:rsidR="00903B6C" w:rsidRDefault="00903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92ECD" w14:textId="77777777" w:rsidR="004C42E1" w:rsidRDefault="00504578">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B4D84">
      <w:rPr>
        <w:noProof/>
        <w:color w:val="000000"/>
      </w:rPr>
      <w:t>10</w:t>
    </w:r>
    <w:r>
      <w:rPr>
        <w:color w:val="000000"/>
      </w:rPr>
      <w:fldChar w:fldCharType="end"/>
    </w:r>
  </w:p>
  <w:p w14:paraId="66D56023" w14:textId="77777777" w:rsidR="004C42E1" w:rsidRDefault="004C42E1">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BCF19" w14:textId="77777777" w:rsidR="00903B6C" w:rsidRDefault="00903B6C">
      <w:pPr>
        <w:spacing w:after="0" w:line="240" w:lineRule="auto"/>
      </w:pPr>
      <w:r>
        <w:separator/>
      </w:r>
    </w:p>
  </w:footnote>
  <w:footnote w:type="continuationSeparator" w:id="0">
    <w:p w14:paraId="1F8C66A6" w14:textId="77777777" w:rsidR="00903B6C" w:rsidRDefault="00903B6C">
      <w:pPr>
        <w:spacing w:after="0" w:line="240" w:lineRule="auto"/>
      </w:pPr>
      <w:r>
        <w:continuationSeparator/>
      </w:r>
    </w:p>
  </w:footnote>
  <w:footnote w:id="1">
    <w:p w14:paraId="2B5198F4" w14:textId="77777777" w:rsidR="004C42E1" w:rsidRDefault="0050457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Publicado en el Periódico Oficial del Gobierno del Estado y con entrada en vigor el veintidós de julio del dos mi veintitrés cuya lectura literal es: “CAPÍTULO III DEL TRIBUNAL DE JUSTICIA ADMINISTRATIVA Y COMBATE A LA CORRUPCIÓN DEL ESTADO DE OAXACA. Artículo 114 </w:t>
      </w:r>
      <w:proofErr w:type="spellStart"/>
      <w:r>
        <w:rPr>
          <w:color w:val="000000"/>
          <w:sz w:val="20"/>
          <w:szCs w:val="20"/>
        </w:rPr>
        <w:t>Quáter</w:t>
      </w:r>
      <w:proofErr w:type="spellEnd"/>
      <w:r>
        <w:rPr>
          <w:color w:val="000000"/>
          <w:sz w:val="20"/>
          <w:szCs w:val="20"/>
        </w:rPr>
        <w:t>.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74658029" w14:textId="77777777" w:rsidR="004C42E1" w:rsidRDefault="00504578">
      <w:pPr>
        <w:pBdr>
          <w:top w:val="nil"/>
          <w:left w:val="nil"/>
          <w:bottom w:val="nil"/>
          <w:right w:val="nil"/>
          <w:between w:val="nil"/>
        </w:pBdr>
        <w:spacing w:after="0" w:line="240" w:lineRule="auto"/>
        <w:rPr>
          <w:color w:val="000000"/>
          <w:sz w:val="20"/>
          <w:szCs w:val="20"/>
        </w:rPr>
      </w:pPr>
      <w:r>
        <w:rPr>
          <w:color w:val="000000"/>
          <w:sz w:val="20"/>
          <w:szCs w:val="20"/>
        </w:rPr>
        <w:t>(…)</w:t>
      </w:r>
    </w:p>
    <w:p w14:paraId="74F29595" w14:textId="77777777" w:rsidR="004C42E1" w:rsidRDefault="00504578">
      <w:pPr>
        <w:pBdr>
          <w:top w:val="nil"/>
          <w:left w:val="nil"/>
          <w:bottom w:val="nil"/>
          <w:right w:val="nil"/>
          <w:between w:val="nil"/>
        </w:pBdr>
        <w:spacing w:after="0" w:line="240" w:lineRule="auto"/>
        <w:rPr>
          <w:color w:val="000000"/>
          <w:sz w:val="20"/>
          <w:szCs w:val="20"/>
        </w:rPr>
      </w:pPr>
      <w:r>
        <w:rPr>
          <w:color w:val="000000"/>
          <w:sz w:val="20"/>
          <w:szCs w:val="20"/>
        </w:rPr>
        <w:t>La Sala Superior del Tribunal se compondrá de tres Magistrados y actuará en Pleno” (…)</w:t>
      </w:r>
    </w:p>
  </w:footnote>
  <w:footnote w:id="2">
    <w:p w14:paraId="19617C87" w14:textId="77777777" w:rsidR="004C42E1" w:rsidRDefault="00504578">
      <w:pPr>
        <w:pBdr>
          <w:top w:val="nil"/>
          <w:left w:val="nil"/>
          <w:bottom w:val="nil"/>
          <w:right w:val="nil"/>
          <w:between w:val="nil"/>
        </w:pBdr>
        <w:spacing w:after="0" w:line="240" w:lineRule="auto"/>
        <w:jc w:val="both"/>
        <w:rPr>
          <w:rFonts w:ascii="Arial" w:eastAsia="Arial" w:hAnsi="Arial" w:cs="Arial"/>
          <w:i/>
          <w:color w:val="000000"/>
          <w:sz w:val="16"/>
          <w:szCs w:val="16"/>
        </w:rPr>
      </w:pPr>
      <w:r>
        <w:rPr>
          <w:vertAlign w:val="superscript"/>
        </w:rPr>
        <w:footnoteRef/>
      </w:r>
      <w:r>
        <w:rPr>
          <w:rFonts w:ascii="Arial" w:eastAsia="Arial" w:hAnsi="Arial" w:cs="Arial"/>
          <w:i/>
          <w:color w:val="000000"/>
          <w:sz w:val="16"/>
          <w:szCs w:val="16"/>
        </w:rPr>
        <w:t xml:space="preserve"> “</w:t>
      </w:r>
      <w:r>
        <w:rPr>
          <w:rFonts w:ascii="Arial" w:eastAsia="Arial" w:hAnsi="Arial" w:cs="Arial"/>
          <w:b/>
          <w:i/>
          <w:color w:val="000000"/>
          <w:sz w:val="16"/>
          <w:szCs w:val="16"/>
        </w:rPr>
        <w:t xml:space="preserve">ARTÍCULO 203.- </w:t>
      </w:r>
      <w:r>
        <w:rPr>
          <w:rFonts w:ascii="Arial" w:eastAsia="Arial" w:hAnsi="Arial" w:cs="Arial"/>
          <w:i/>
          <w:color w:val="000000"/>
          <w:sz w:val="16"/>
          <w:szCs w:val="16"/>
        </w:rPr>
        <w:t>La valoración de las pruebas se hará de acuerdo con las siguientes reglas:</w:t>
      </w:r>
    </w:p>
    <w:p w14:paraId="4BF30336" w14:textId="77777777" w:rsidR="004C42E1" w:rsidRDefault="00504578">
      <w:pPr>
        <w:pBdr>
          <w:top w:val="nil"/>
          <w:left w:val="nil"/>
          <w:bottom w:val="nil"/>
          <w:right w:val="nil"/>
          <w:between w:val="nil"/>
        </w:pBdr>
        <w:spacing w:after="0" w:line="240" w:lineRule="auto"/>
        <w:jc w:val="both"/>
        <w:rPr>
          <w:rFonts w:ascii="Arial" w:eastAsia="Arial" w:hAnsi="Arial" w:cs="Arial"/>
          <w:i/>
          <w:color w:val="000000"/>
          <w:sz w:val="16"/>
          <w:szCs w:val="16"/>
        </w:rPr>
      </w:pPr>
      <w:r>
        <w:rPr>
          <w:rFonts w:ascii="Arial" w:eastAsia="Arial" w:hAnsi="Arial" w:cs="Arial"/>
          <w:i/>
          <w:color w:val="000000"/>
          <w:sz w:val="16"/>
          <w:szCs w:val="16"/>
        </w:rPr>
        <w:t xml:space="preserve">   I. Harán prueba plena la confesión expresa de las partes y los actos contenidos en documentos públicos, si en éstos últimos se contienen declaraciones de verdad o manifestaciones de hechos de particulares; y</w:t>
      </w:r>
    </w:p>
    <w:p w14:paraId="44CF02FD" w14:textId="77777777" w:rsidR="004C42E1" w:rsidRDefault="00504578">
      <w:pPr>
        <w:pBdr>
          <w:top w:val="nil"/>
          <w:left w:val="nil"/>
          <w:bottom w:val="nil"/>
          <w:right w:val="nil"/>
          <w:between w:val="nil"/>
        </w:pBdr>
        <w:spacing w:after="0" w:line="240" w:lineRule="auto"/>
        <w:jc w:val="both"/>
        <w:rPr>
          <w:color w:val="000000"/>
          <w:sz w:val="20"/>
          <w:szCs w:val="20"/>
        </w:rPr>
      </w:pPr>
      <w:r>
        <w:rPr>
          <w:rFonts w:ascii="Arial" w:eastAsia="Arial" w:hAnsi="Arial" w:cs="Arial"/>
          <w:i/>
          <w:color w:val="000000"/>
          <w:sz w:val="16"/>
          <w:szCs w:val="16"/>
        </w:rPr>
        <w:t xml:space="preserve">   …”</w:t>
      </w:r>
    </w:p>
  </w:footnote>
  <w:footnote w:id="3">
    <w:p w14:paraId="54B26B9E" w14:textId="77777777" w:rsidR="004C42E1" w:rsidRDefault="00504578">
      <w:pPr>
        <w:pBdr>
          <w:top w:val="nil"/>
          <w:left w:val="nil"/>
          <w:bottom w:val="nil"/>
          <w:right w:val="nil"/>
          <w:between w:val="nil"/>
        </w:pBdr>
        <w:spacing w:after="0" w:line="240" w:lineRule="auto"/>
        <w:rPr>
          <w:rFonts w:ascii="Arial" w:eastAsia="Arial" w:hAnsi="Arial" w:cs="Arial"/>
          <w:i/>
          <w:color w:val="000000"/>
          <w:sz w:val="16"/>
          <w:szCs w:val="16"/>
        </w:rPr>
      </w:pPr>
      <w:r>
        <w:rPr>
          <w:vertAlign w:val="superscript"/>
        </w:rPr>
        <w:footnoteRef/>
      </w:r>
      <w:r>
        <w:rPr>
          <w:rFonts w:ascii="Arial" w:eastAsia="Arial" w:hAnsi="Arial" w:cs="Arial"/>
          <w:i/>
          <w:color w:val="000000"/>
          <w:sz w:val="16"/>
          <w:szCs w:val="16"/>
        </w:rPr>
        <w:t xml:space="preserve"> </w:t>
      </w:r>
      <w:r>
        <w:rPr>
          <w:rFonts w:ascii="Arial" w:eastAsia="Arial" w:hAnsi="Arial" w:cs="Arial"/>
          <w:b/>
          <w:i/>
          <w:color w:val="000000"/>
          <w:sz w:val="16"/>
          <w:szCs w:val="16"/>
        </w:rPr>
        <w:t>Registro digital: </w:t>
      </w:r>
      <w:r>
        <w:rPr>
          <w:rFonts w:ascii="Arial" w:eastAsia="Arial" w:hAnsi="Arial" w:cs="Arial"/>
          <w:i/>
          <w:color w:val="000000"/>
          <w:sz w:val="16"/>
          <w:szCs w:val="16"/>
        </w:rPr>
        <w:t>193267</w:t>
      </w:r>
    </w:p>
    <w:p w14:paraId="5BD75FB8" w14:textId="77777777" w:rsidR="004C42E1" w:rsidRDefault="00504578">
      <w:pPr>
        <w:spacing w:after="0" w:line="240" w:lineRule="auto"/>
        <w:rPr>
          <w:rFonts w:ascii="Arial" w:eastAsia="Arial" w:hAnsi="Arial" w:cs="Arial"/>
          <w:i/>
          <w:sz w:val="16"/>
          <w:szCs w:val="16"/>
        </w:rPr>
      </w:pPr>
      <w:r>
        <w:rPr>
          <w:rFonts w:ascii="Arial" w:eastAsia="Arial" w:hAnsi="Arial" w:cs="Arial"/>
          <w:b/>
          <w:i/>
          <w:sz w:val="16"/>
          <w:szCs w:val="16"/>
        </w:rPr>
        <w:t>Instancia: </w:t>
      </w:r>
      <w:r>
        <w:rPr>
          <w:rFonts w:ascii="Arial" w:eastAsia="Arial" w:hAnsi="Arial" w:cs="Arial"/>
          <w:i/>
          <w:sz w:val="16"/>
          <w:szCs w:val="16"/>
        </w:rPr>
        <w:t>Pleno</w:t>
      </w:r>
    </w:p>
    <w:p w14:paraId="707FEF15" w14:textId="77777777" w:rsidR="004C42E1" w:rsidRDefault="00504578">
      <w:pPr>
        <w:spacing w:after="0" w:line="240" w:lineRule="auto"/>
        <w:rPr>
          <w:rFonts w:ascii="Arial" w:eastAsia="Arial" w:hAnsi="Arial" w:cs="Arial"/>
          <w:i/>
          <w:sz w:val="16"/>
          <w:szCs w:val="16"/>
        </w:rPr>
      </w:pPr>
      <w:r>
        <w:rPr>
          <w:rFonts w:ascii="Arial" w:eastAsia="Arial" w:hAnsi="Arial" w:cs="Arial"/>
          <w:b/>
          <w:i/>
          <w:sz w:val="16"/>
          <w:szCs w:val="16"/>
        </w:rPr>
        <w:t>Novena Época</w:t>
      </w:r>
    </w:p>
    <w:p w14:paraId="7703DF47" w14:textId="77777777" w:rsidR="004C42E1" w:rsidRDefault="00504578">
      <w:pPr>
        <w:spacing w:after="0" w:line="240" w:lineRule="auto"/>
        <w:rPr>
          <w:rFonts w:ascii="Arial" w:eastAsia="Arial" w:hAnsi="Arial" w:cs="Arial"/>
          <w:i/>
          <w:sz w:val="16"/>
          <w:szCs w:val="16"/>
        </w:rPr>
      </w:pPr>
      <w:r>
        <w:rPr>
          <w:rFonts w:ascii="Arial" w:eastAsia="Arial" w:hAnsi="Arial" w:cs="Arial"/>
          <w:b/>
          <w:i/>
          <w:sz w:val="16"/>
          <w:szCs w:val="16"/>
        </w:rPr>
        <w:t>Materia(s): </w:t>
      </w:r>
      <w:r>
        <w:rPr>
          <w:rFonts w:ascii="Arial" w:eastAsia="Arial" w:hAnsi="Arial" w:cs="Arial"/>
          <w:i/>
          <w:sz w:val="16"/>
          <w:szCs w:val="16"/>
        </w:rPr>
        <w:t>Constitucional</w:t>
      </w:r>
    </w:p>
    <w:p w14:paraId="6A99A14C" w14:textId="77777777" w:rsidR="004C42E1" w:rsidRDefault="00504578">
      <w:pPr>
        <w:spacing w:after="0" w:line="240" w:lineRule="auto"/>
        <w:rPr>
          <w:rFonts w:ascii="Arial" w:eastAsia="Arial" w:hAnsi="Arial" w:cs="Arial"/>
          <w:i/>
          <w:sz w:val="16"/>
          <w:szCs w:val="16"/>
        </w:rPr>
      </w:pPr>
      <w:r>
        <w:rPr>
          <w:rFonts w:ascii="Arial" w:eastAsia="Arial" w:hAnsi="Arial" w:cs="Arial"/>
          <w:b/>
          <w:i/>
          <w:sz w:val="16"/>
          <w:szCs w:val="16"/>
        </w:rPr>
        <w:t>Tesis: </w:t>
      </w:r>
      <w:r>
        <w:rPr>
          <w:rFonts w:ascii="Arial" w:eastAsia="Arial" w:hAnsi="Arial" w:cs="Arial"/>
          <w:i/>
          <w:sz w:val="16"/>
          <w:szCs w:val="16"/>
        </w:rPr>
        <w:t>P./J. 91/99</w:t>
      </w:r>
    </w:p>
    <w:p w14:paraId="22CDE037" w14:textId="77777777" w:rsidR="004C42E1" w:rsidRDefault="00504578">
      <w:pPr>
        <w:spacing w:after="0" w:line="240" w:lineRule="auto"/>
        <w:rPr>
          <w:rFonts w:ascii="Arial" w:eastAsia="Arial" w:hAnsi="Arial" w:cs="Arial"/>
          <w:i/>
          <w:sz w:val="16"/>
          <w:szCs w:val="16"/>
        </w:rPr>
      </w:pPr>
      <w:r>
        <w:rPr>
          <w:rFonts w:ascii="Arial" w:eastAsia="Arial" w:hAnsi="Arial" w:cs="Arial"/>
          <w:b/>
          <w:i/>
          <w:sz w:val="16"/>
          <w:szCs w:val="16"/>
        </w:rPr>
        <w:t>Fuente: </w:t>
      </w:r>
      <w:r>
        <w:rPr>
          <w:rFonts w:ascii="Arial" w:eastAsia="Arial" w:hAnsi="Arial" w:cs="Arial"/>
          <w:i/>
          <w:sz w:val="16"/>
          <w:szCs w:val="16"/>
        </w:rPr>
        <w:t>Semanario Judicial de la Federación y su Gaceta.</w:t>
      </w:r>
      <w:r>
        <w:rPr>
          <w:rFonts w:ascii="Arial" w:eastAsia="Arial" w:hAnsi="Arial" w:cs="Arial"/>
          <w:i/>
          <w:sz w:val="16"/>
          <w:szCs w:val="16"/>
        </w:rPr>
        <w:br/>
        <w:t xml:space="preserve">Tomo X, </w:t>
      </w:r>
      <w:proofErr w:type="gramStart"/>
      <w:r>
        <w:rPr>
          <w:rFonts w:ascii="Arial" w:eastAsia="Arial" w:hAnsi="Arial" w:cs="Arial"/>
          <w:i/>
          <w:sz w:val="16"/>
          <w:szCs w:val="16"/>
        </w:rPr>
        <w:t>Septiembre</w:t>
      </w:r>
      <w:proofErr w:type="gramEnd"/>
      <w:r>
        <w:rPr>
          <w:rFonts w:ascii="Arial" w:eastAsia="Arial" w:hAnsi="Arial" w:cs="Arial"/>
          <w:i/>
          <w:sz w:val="16"/>
          <w:szCs w:val="16"/>
        </w:rPr>
        <w:t xml:space="preserve"> de 1999, página 706</w:t>
      </w:r>
    </w:p>
    <w:p w14:paraId="4F1F5E45" w14:textId="77777777" w:rsidR="004C42E1" w:rsidRDefault="00504578">
      <w:pPr>
        <w:spacing w:after="0" w:line="240" w:lineRule="auto"/>
        <w:rPr>
          <w:rFonts w:ascii="Arial" w:eastAsia="Arial" w:hAnsi="Arial" w:cs="Arial"/>
          <w:i/>
          <w:sz w:val="16"/>
          <w:szCs w:val="16"/>
        </w:rPr>
      </w:pPr>
      <w:r>
        <w:rPr>
          <w:rFonts w:ascii="Arial" w:eastAsia="Arial" w:hAnsi="Arial" w:cs="Arial"/>
          <w:b/>
          <w:i/>
          <w:sz w:val="16"/>
          <w:szCs w:val="16"/>
        </w:rPr>
        <w:t>Tipo: </w:t>
      </w:r>
      <w:r>
        <w:rPr>
          <w:rFonts w:ascii="Arial" w:eastAsia="Arial" w:hAnsi="Arial" w:cs="Arial"/>
          <w:i/>
          <w:sz w:val="16"/>
          <w:szCs w:val="16"/>
        </w:rPr>
        <w:t>Jurisprudencia</w:t>
      </w:r>
    </w:p>
    <w:p w14:paraId="01705111" w14:textId="77777777" w:rsidR="004C42E1" w:rsidRDefault="00504578">
      <w:pPr>
        <w:spacing w:after="0" w:line="240" w:lineRule="auto"/>
        <w:jc w:val="both"/>
        <w:rPr>
          <w:rFonts w:ascii="Arial" w:eastAsia="Arial" w:hAnsi="Arial" w:cs="Arial"/>
          <w:i/>
          <w:color w:val="212529"/>
          <w:sz w:val="16"/>
          <w:szCs w:val="16"/>
        </w:rPr>
      </w:pPr>
      <w:r>
        <w:rPr>
          <w:rFonts w:ascii="Arial" w:eastAsia="Arial" w:hAnsi="Arial" w:cs="Arial"/>
          <w:b/>
          <w:i/>
          <w:color w:val="212529"/>
          <w:sz w:val="16"/>
          <w:szCs w:val="16"/>
        </w:rPr>
        <w:t xml:space="preserve">CONTROVERSIA CONSTITUCIONAL. LA FALTA DE LEGITIMACIÓN PROCESAL DE LOS SERVIDORES PÚBLICOS PROMOVENTES DEL JUICIO NO LLEVA A SOBRESEER SINO A DECLARAR QUE CARECEN DE ELLA. </w:t>
      </w:r>
      <w:r>
        <w:rPr>
          <w:rFonts w:ascii="Arial" w:eastAsia="Arial" w:hAnsi="Arial" w:cs="Arial"/>
          <w:i/>
          <w:color w:val="212529"/>
          <w:sz w:val="16"/>
          <w:szCs w:val="16"/>
        </w:rPr>
        <w:t>Esta Suprema Corte ha establecido que la legitimación en la causa es la vinculación que existe entre quien invoca un derecho sustantivo y el derecho mismo que hace valer ante los órganos jurisdiccionales, cuando ese derecho es violado o desconocido; mientras que la legitimación en el proceso es un presupuesto procesal que se refiere a la capacidad de las partes para ejecutar válidamente actos procesales y, por tanto, es condición para la validez formal del juicio. En consecuencia, siendo el sobreseimiento una declaratoria referida a la legitimación en la causa, por cuanto produce el efecto jurídico de dejar sin resolver la acción intentada, tal decisión no puede dirigirse a los servidores públicos que no han justificado la representación con que se ostentan, porque las determinaciones que lleguen a tomarse en la controversia constitucional deberán tener efectos solamente en relación con las entidades demandante y demandadas, mas no pueden alcanzar también a quienes, sin acreditarlo, promueven en nombre de la primera, dado que éstas no tienen un derecho sustantivo propio que deducir y, por tanto, no son parte en el juicio, debiendo declararse que carecen de legitimación procesal.</w:t>
      </w:r>
    </w:p>
  </w:footnote>
  <w:footnote w:id="4">
    <w:p w14:paraId="4CE29E0A" w14:textId="77777777" w:rsidR="004C42E1" w:rsidRDefault="00504578">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tesis que aparece publicada en el Semanario Judicial de la Federación, perteneciente a la Octava Época, Tomo XI, febrero de 1993, página 275, que a la letra dice: </w:t>
      </w:r>
    </w:p>
    <w:p w14:paraId="2CD5CD90" w14:textId="77777777" w:rsidR="004C42E1" w:rsidRDefault="00504578">
      <w:pPr>
        <w:pBdr>
          <w:top w:val="nil"/>
          <w:left w:val="nil"/>
          <w:bottom w:val="nil"/>
          <w:right w:val="nil"/>
          <w:between w:val="nil"/>
        </w:pBdr>
        <w:spacing w:after="0" w:line="240" w:lineRule="auto"/>
        <w:jc w:val="both"/>
        <w:rPr>
          <w:color w:val="000000"/>
          <w:sz w:val="20"/>
          <w:szCs w:val="20"/>
        </w:rPr>
      </w:pPr>
      <w:r>
        <w:rPr>
          <w:color w:val="000000"/>
          <w:sz w:val="20"/>
          <w:szCs w:val="20"/>
        </w:rPr>
        <w:t xml:space="preserve">“LEGITIMACION EN LA CAUSA Y LEGITIMACION EN EL PROCESO. DIFERENCIAS. La </w:t>
      </w:r>
      <w:proofErr w:type="spellStart"/>
      <w:r>
        <w:rPr>
          <w:color w:val="000000"/>
          <w:sz w:val="20"/>
          <w:szCs w:val="20"/>
        </w:rPr>
        <w:t>legitimatio</w:t>
      </w:r>
      <w:proofErr w:type="spellEnd"/>
      <w:r>
        <w:rPr>
          <w:color w:val="000000"/>
          <w:sz w:val="20"/>
          <w:szCs w:val="20"/>
        </w:rPr>
        <w:t xml:space="preserve"> ad </w:t>
      </w:r>
      <w:proofErr w:type="spellStart"/>
      <w:r>
        <w:rPr>
          <w:color w:val="000000"/>
          <w:sz w:val="20"/>
          <w:szCs w:val="20"/>
        </w:rPr>
        <w:t>causam</w:t>
      </w:r>
      <w:proofErr w:type="spellEnd"/>
      <w:r>
        <w:rPr>
          <w:color w:val="000000"/>
          <w:sz w:val="20"/>
          <w:szCs w:val="20"/>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Pr>
          <w:color w:val="000000"/>
          <w:sz w:val="20"/>
          <w:szCs w:val="20"/>
        </w:rPr>
        <w:t>legitimatio</w:t>
      </w:r>
      <w:proofErr w:type="spellEnd"/>
      <w:r>
        <w:rPr>
          <w:color w:val="000000"/>
          <w:sz w:val="20"/>
          <w:szCs w:val="20"/>
        </w:rPr>
        <w:t xml:space="preserve"> ad </w:t>
      </w:r>
      <w:proofErr w:type="spellStart"/>
      <w:r>
        <w:rPr>
          <w:color w:val="000000"/>
          <w:sz w:val="20"/>
          <w:szCs w:val="20"/>
        </w:rPr>
        <w:t>procesum</w:t>
      </w:r>
      <w:proofErr w:type="spellEnd"/>
      <w:r>
        <w:rPr>
          <w:color w:val="000000"/>
          <w:sz w:val="20"/>
          <w:szCs w:val="20"/>
        </w:rPr>
        <w:t xml:space="preserve"> sí es un presupuesto procesal pues refiere a la capacidad de las partes para ejecutar válidamente actos procesales y, por tanto, es condición para la validez formal del juicio.”</w:t>
      </w:r>
    </w:p>
  </w:footnote>
  <w:footnote w:id="5">
    <w:p w14:paraId="213BC9C8" w14:textId="77777777" w:rsidR="004C42E1" w:rsidRDefault="00504578">
      <w:pPr>
        <w:spacing w:after="0" w:line="240" w:lineRule="auto"/>
        <w:jc w:val="both"/>
      </w:pPr>
      <w:r>
        <w:rPr>
          <w:vertAlign w:val="superscript"/>
        </w:rPr>
        <w:footnoteRef/>
      </w:r>
      <w:r>
        <w:rPr>
          <w:rFonts w:ascii="Arial" w:eastAsia="Arial" w:hAnsi="Arial" w:cs="Arial"/>
          <w:i/>
          <w:sz w:val="16"/>
          <w:szCs w:val="16"/>
        </w:rPr>
        <w:t xml:space="preserve"> </w:t>
      </w:r>
      <w:r>
        <w:rPr>
          <w:rFonts w:ascii="Arial" w:eastAsia="Arial" w:hAnsi="Arial" w:cs="Arial"/>
          <w:b/>
          <w:i/>
          <w:color w:val="000000"/>
          <w:sz w:val="16"/>
          <w:szCs w:val="16"/>
        </w:rPr>
        <w:t xml:space="preserve">ARTÍCULO 150.- </w:t>
      </w:r>
      <w:r>
        <w:rPr>
          <w:rFonts w:ascii="Arial" w:eastAsia="Arial" w:hAnsi="Arial" w:cs="Arial"/>
          <w:i/>
          <w:color w:val="000000"/>
          <w:sz w:val="16"/>
          <w:szCs w:val="16"/>
        </w:rPr>
        <w:t>La personalidad o legitimación de las partes, deberá ser analizada de oficio por las Salas.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2A61E" w14:textId="43C7419C" w:rsidR="004C42E1" w:rsidRDefault="00504578">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86A5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54EBB7E5" w14:textId="382FD0D0" w:rsidR="004C42E1" w:rsidRDefault="0057150E">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2336" behindDoc="1" locked="0" layoutInCell="1" allowOverlap="1" wp14:anchorId="162B4A7F" wp14:editId="43CF353E">
          <wp:simplePos x="0" y="0"/>
          <wp:positionH relativeFrom="column">
            <wp:posOffset>5504180</wp:posOffset>
          </wp:positionH>
          <wp:positionV relativeFrom="paragraph">
            <wp:posOffset>1004570</wp:posOffset>
          </wp:positionV>
          <wp:extent cx="1030605" cy="1256030"/>
          <wp:effectExtent l="0" t="0" r="0" b="1270"/>
          <wp:wrapNone/>
          <wp:docPr id="1025800175" name="Imagen 102580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r w:rsidR="00504578">
      <w:rPr>
        <w:noProof/>
      </w:rPr>
      <w:drawing>
        <wp:anchor distT="0" distB="0" distL="0" distR="0" simplePos="0" relativeHeight="251660288" behindDoc="1" locked="0" layoutInCell="1" hidden="0" allowOverlap="1" wp14:anchorId="36C1A90C" wp14:editId="3E7F0368">
          <wp:simplePos x="0" y="0"/>
          <wp:positionH relativeFrom="column">
            <wp:posOffset>759777</wp:posOffset>
          </wp:positionH>
          <wp:positionV relativeFrom="paragraph">
            <wp:posOffset>3046248</wp:posOffset>
          </wp:positionV>
          <wp:extent cx="3790950" cy="2609850"/>
          <wp:effectExtent l="0" t="0" r="0" b="0"/>
          <wp:wrapNone/>
          <wp:docPr id="1887745913" name="Imagen 188774591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t="8722" b="8590"/>
                  <a:stretch>
                    <a:fillRect/>
                  </a:stretch>
                </pic:blipFill>
                <pic:spPr>
                  <a:xfrm>
                    <a:off x="0" y="0"/>
                    <a:ext cx="3790950" cy="260985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3B93B" w14:textId="46726BFD" w:rsidR="004C42E1" w:rsidRDefault="00504578">
    <w:pPr>
      <w:pBdr>
        <w:top w:val="nil"/>
        <w:left w:val="nil"/>
        <w:bottom w:val="nil"/>
        <w:right w:val="nil"/>
        <w:between w:val="nil"/>
      </w:pBdr>
      <w:tabs>
        <w:tab w:val="center" w:pos="4252"/>
        <w:tab w:val="right" w:pos="8504"/>
      </w:tabs>
      <w:spacing w:after="0" w:line="240" w:lineRule="auto"/>
      <w:ind w:left="1843"/>
      <w:jc w:val="center"/>
      <w:rPr>
        <w:b/>
        <w:color w:val="000000"/>
        <w:sz w:val="20"/>
        <w:szCs w:val="20"/>
      </w:rPr>
    </w:pPr>
    <w:r>
      <w:rPr>
        <w:b/>
        <w:color w:val="000000"/>
        <w:sz w:val="20"/>
        <w:szCs w:val="20"/>
      </w:rPr>
      <w:t>SALA SUPERIOR DEL TRIBUNAL DE JUSTICIA ADMINISTRATIVA Y COMBATE A LA CORRUPCIÓN DEL ESTADO DE OAXACA.</w:t>
    </w:r>
    <w:r>
      <w:rPr>
        <w:noProof/>
      </w:rPr>
      <w:drawing>
        <wp:anchor distT="0" distB="0" distL="114300" distR="114300" simplePos="0" relativeHeight="251658240" behindDoc="0" locked="0" layoutInCell="1" hidden="0" allowOverlap="1" wp14:anchorId="29B282A7" wp14:editId="404AFA4A">
          <wp:simplePos x="0" y="0"/>
          <wp:positionH relativeFrom="column">
            <wp:posOffset>-525144</wp:posOffset>
          </wp:positionH>
          <wp:positionV relativeFrom="paragraph">
            <wp:posOffset>-133349</wp:posOffset>
          </wp:positionV>
          <wp:extent cx="1620353" cy="495300"/>
          <wp:effectExtent l="0" t="0" r="0" b="0"/>
          <wp:wrapNone/>
          <wp:docPr id="2041538099" name="Imagen 2041538099"/>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5615E3E0" w14:textId="77777777" w:rsidR="004C42E1" w:rsidRDefault="00504578">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R.R. 253/2023</w:t>
    </w:r>
  </w:p>
  <w:p w14:paraId="20D3E13E" w14:textId="12E43962" w:rsidR="004C42E1" w:rsidRDefault="004C42E1">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p>
  <w:p w14:paraId="7B74CB55" w14:textId="58C306C5" w:rsidR="004C42E1" w:rsidRDefault="004C42E1">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p>
  <w:p w14:paraId="4AA9647A" w14:textId="13408090" w:rsidR="004C42E1" w:rsidRDefault="0057150E">
    <w:pPr>
      <w:pBdr>
        <w:top w:val="nil"/>
        <w:left w:val="nil"/>
        <w:bottom w:val="nil"/>
        <w:right w:val="nil"/>
        <w:between w:val="nil"/>
      </w:pBdr>
      <w:tabs>
        <w:tab w:val="center" w:pos="4252"/>
        <w:tab w:val="right" w:pos="8504"/>
        <w:tab w:val="left" w:pos="142"/>
      </w:tabs>
      <w:spacing w:after="0" w:line="240" w:lineRule="auto"/>
      <w:ind w:left="284"/>
      <w:rPr>
        <w:rFonts w:ascii="Times New Roman" w:eastAsia="Times New Roman" w:hAnsi="Times New Roman" w:cs="Times New Roman"/>
        <w:color w:val="000000"/>
        <w:sz w:val="24"/>
        <w:szCs w:val="24"/>
      </w:rPr>
    </w:pPr>
    <w:r>
      <w:rPr>
        <w:noProof/>
      </w:rPr>
      <w:drawing>
        <wp:anchor distT="0" distB="0" distL="114300" distR="114300" simplePos="0" relativeHeight="251661312" behindDoc="1" locked="0" layoutInCell="1" allowOverlap="1" wp14:anchorId="560BAB6B" wp14:editId="569C4161">
          <wp:simplePos x="0" y="0"/>
          <wp:positionH relativeFrom="column">
            <wp:posOffset>-1292225</wp:posOffset>
          </wp:positionH>
          <wp:positionV relativeFrom="paragraph">
            <wp:posOffset>3804920</wp:posOffset>
          </wp:positionV>
          <wp:extent cx="1030605" cy="1256030"/>
          <wp:effectExtent l="0" t="0" r="0" b="1270"/>
          <wp:wrapNone/>
          <wp:docPr id="4955074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4ECEC" w14:textId="43A33A3F" w:rsidR="004C42E1" w:rsidRDefault="00504578">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 xml:space="preserve">SALA SUPERIOR DEL TRIBUNAL DE JUSTICIA ADMINISTRATIVA Y COMBATE A LA CORRUPCIÓN DEL ESTADO DE OAXACA </w:t>
    </w:r>
    <w:r>
      <w:rPr>
        <w:noProof/>
      </w:rPr>
      <w:drawing>
        <wp:anchor distT="0" distB="0" distL="114300" distR="114300" simplePos="0" relativeHeight="251659264" behindDoc="0" locked="0" layoutInCell="1" hidden="0" allowOverlap="1" wp14:anchorId="1770B683" wp14:editId="5A1679F5">
          <wp:simplePos x="0" y="0"/>
          <wp:positionH relativeFrom="column">
            <wp:posOffset>-723899</wp:posOffset>
          </wp:positionH>
          <wp:positionV relativeFrom="paragraph">
            <wp:posOffset>-28574</wp:posOffset>
          </wp:positionV>
          <wp:extent cx="1620353" cy="495300"/>
          <wp:effectExtent l="0" t="0" r="0" b="0"/>
          <wp:wrapNone/>
          <wp:docPr id="1694284040" name="Imagen 1694284040"/>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6B91C5A4" w14:textId="299BB4F5" w:rsidR="004C42E1" w:rsidRDefault="0057150E">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3360" behindDoc="1" locked="0" layoutInCell="1" allowOverlap="1" wp14:anchorId="56741BAA" wp14:editId="17C55AA4">
          <wp:simplePos x="0" y="0"/>
          <wp:positionH relativeFrom="column">
            <wp:posOffset>-1330325</wp:posOffset>
          </wp:positionH>
          <wp:positionV relativeFrom="paragraph">
            <wp:posOffset>4498975</wp:posOffset>
          </wp:positionV>
          <wp:extent cx="1030605" cy="1256030"/>
          <wp:effectExtent l="0" t="0" r="0" b="1270"/>
          <wp:wrapNone/>
          <wp:docPr id="177002448" name="Imagen 17700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97F65"/>
    <w:multiLevelType w:val="multilevel"/>
    <w:tmpl w:val="3AB0C1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8843482"/>
    <w:multiLevelType w:val="multilevel"/>
    <w:tmpl w:val="2536031C"/>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16cid:durableId="1327127629">
    <w:abstractNumId w:val="0"/>
  </w:num>
  <w:num w:numId="2" w16cid:durableId="917522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2E1"/>
    <w:rsid w:val="00034064"/>
    <w:rsid w:val="00186711"/>
    <w:rsid w:val="001D0787"/>
    <w:rsid w:val="0025227E"/>
    <w:rsid w:val="0026242E"/>
    <w:rsid w:val="0044647B"/>
    <w:rsid w:val="004C42E1"/>
    <w:rsid w:val="00504578"/>
    <w:rsid w:val="0057150E"/>
    <w:rsid w:val="005A6956"/>
    <w:rsid w:val="006D360E"/>
    <w:rsid w:val="0089105C"/>
    <w:rsid w:val="008A2AD1"/>
    <w:rsid w:val="00903B6C"/>
    <w:rsid w:val="00A7731E"/>
    <w:rsid w:val="00B52F8C"/>
    <w:rsid w:val="00B6594C"/>
    <w:rsid w:val="00DB4D84"/>
    <w:rsid w:val="00E46BF1"/>
    <w:rsid w:val="00EB5D1F"/>
    <w:rsid w:val="00F86A51"/>
    <w:rsid w:val="00F95A67"/>
    <w:rsid w:val="00FA04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967E1"/>
  <w15:docId w15:val="{0951A35F-52EC-4103-A2D4-8F055A241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CED"/>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Vf0yoYK3Ld+aR2lOfGZ7Zqig5w==">CgMxLjAyCGguZ2pkZ3hzMgloLjMwajB6bGw4AHIhMXhxRERSc3I0YVJzNHZzR3lCakhxNGFVM3ZFYmltQWU5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2822</Words>
  <Characters>15527</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tjao_personal</cp:lastModifiedBy>
  <cp:revision>16</cp:revision>
  <cp:lastPrinted>2023-09-21T20:31:00Z</cp:lastPrinted>
  <dcterms:created xsi:type="dcterms:W3CDTF">2023-09-21T17:15:00Z</dcterms:created>
  <dcterms:modified xsi:type="dcterms:W3CDTF">2023-10-26T16:09:00Z</dcterms:modified>
</cp:coreProperties>
</file>