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E23C1C7" w14:textId="28D572DD" w:rsidR="00896DFE" w:rsidRDefault="00890477">
      <w:pPr>
        <w:spacing w:line="240" w:lineRule="auto"/>
        <w:ind w:left="2552" w:right="51"/>
        <w:jc w:val="both"/>
        <w:rPr>
          <w:rFonts w:ascii="Arial" w:eastAsia="Arial" w:hAnsi="Arial" w:cs="Arial"/>
          <w:b/>
          <w:sz w:val="26"/>
          <w:szCs w:val="26"/>
        </w:rPr>
      </w:pPr>
      <w:r>
        <w:rPr>
          <w:rFonts w:ascii="Times New Roman" w:eastAsia="Times New Roman" w:hAnsi="Times New Roman" w:cs="Times New Roman"/>
          <w:noProof/>
          <w:color w:val="000000"/>
          <w:sz w:val="24"/>
          <w:szCs w:val="24"/>
        </w:rPr>
        <w:drawing>
          <wp:anchor distT="0" distB="0" distL="114300" distR="114300" simplePos="0" relativeHeight="251659264" behindDoc="1" locked="0" layoutInCell="1" allowOverlap="1" wp14:anchorId="40E5CA6A" wp14:editId="2FBE16C7">
            <wp:simplePos x="0" y="0"/>
            <wp:positionH relativeFrom="leftMargin">
              <wp:posOffset>1021080</wp:posOffset>
            </wp:positionH>
            <wp:positionV relativeFrom="paragraph">
              <wp:posOffset>451485</wp:posOffset>
            </wp:positionV>
            <wp:extent cx="1024255" cy="1261745"/>
            <wp:effectExtent l="0" t="0" r="4445"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24255" cy="1261745"/>
                    </a:xfrm>
                    <a:prstGeom prst="rect">
                      <a:avLst/>
                    </a:prstGeom>
                    <a:noFill/>
                  </pic:spPr>
                </pic:pic>
              </a:graphicData>
            </a:graphic>
          </wp:anchor>
        </w:drawing>
      </w:r>
      <w:r w:rsidR="00293DAF">
        <w:rPr>
          <w:rFonts w:ascii="Arial" w:eastAsia="Arial" w:hAnsi="Arial" w:cs="Arial"/>
          <w:b/>
          <w:sz w:val="26"/>
          <w:szCs w:val="26"/>
        </w:rPr>
        <w:t>TRIBUNAL DE JUSTICIA ADMINISTRATIVA Y COMBATE A LA CORRUPCIÓN DEL ESTADO DE OAXACA.</w:t>
      </w:r>
    </w:p>
    <w:p w14:paraId="2CCDAB76" w14:textId="0A505813" w:rsidR="00896DFE" w:rsidRDefault="00293DAF">
      <w:pPr>
        <w:spacing w:line="240" w:lineRule="auto"/>
        <w:ind w:left="2552" w:right="51"/>
        <w:jc w:val="both"/>
        <w:rPr>
          <w:rFonts w:ascii="Arial" w:eastAsia="Arial" w:hAnsi="Arial" w:cs="Arial"/>
          <w:b/>
          <w:sz w:val="26"/>
          <w:szCs w:val="26"/>
        </w:rPr>
      </w:pPr>
      <w:r>
        <w:rPr>
          <w:rFonts w:ascii="Arial" w:eastAsia="Arial" w:hAnsi="Arial" w:cs="Arial"/>
          <w:b/>
          <w:sz w:val="26"/>
          <w:szCs w:val="26"/>
        </w:rPr>
        <w:t>SALA SUPERIOR</w:t>
      </w:r>
    </w:p>
    <w:p w14:paraId="6937A23C" w14:textId="3DFCDDCA" w:rsidR="00896DFE" w:rsidRDefault="00293DAF">
      <w:pPr>
        <w:spacing w:line="240" w:lineRule="auto"/>
        <w:ind w:left="2552" w:right="51"/>
        <w:jc w:val="both"/>
        <w:rPr>
          <w:rFonts w:ascii="Arial" w:eastAsia="Arial" w:hAnsi="Arial" w:cs="Arial"/>
          <w:sz w:val="26"/>
          <w:szCs w:val="26"/>
        </w:rPr>
      </w:pPr>
      <w:r>
        <w:rPr>
          <w:rFonts w:ascii="Arial" w:eastAsia="Arial" w:hAnsi="Arial" w:cs="Arial"/>
          <w:b/>
          <w:sz w:val="26"/>
          <w:szCs w:val="26"/>
        </w:rPr>
        <w:t xml:space="preserve">RECURSO DE REVISIÓN: </w:t>
      </w:r>
      <w:r>
        <w:rPr>
          <w:rFonts w:ascii="Arial" w:eastAsia="Arial" w:hAnsi="Arial" w:cs="Arial"/>
          <w:sz w:val="26"/>
          <w:szCs w:val="26"/>
        </w:rPr>
        <w:t xml:space="preserve">00274/2023. </w:t>
      </w:r>
    </w:p>
    <w:p w14:paraId="1657C5DF" w14:textId="64488C53" w:rsidR="00896DFE" w:rsidRDefault="00293DAF">
      <w:pPr>
        <w:spacing w:line="240" w:lineRule="auto"/>
        <w:ind w:left="2552" w:right="51"/>
        <w:jc w:val="both"/>
        <w:rPr>
          <w:rFonts w:ascii="Arial" w:eastAsia="Arial" w:hAnsi="Arial" w:cs="Arial"/>
          <w:sz w:val="26"/>
          <w:szCs w:val="26"/>
        </w:rPr>
      </w:pPr>
      <w:r>
        <w:rPr>
          <w:rFonts w:ascii="Arial" w:eastAsia="Arial" w:hAnsi="Arial" w:cs="Arial"/>
          <w:b/>
          <w:sz w:val="26"/>
          <w:szCs w:val="26"/>
        </w:rPr>
        <w:t>EXPEDIENTE:</w:t>
      </w:r>
      <w:r>
        <w:rPr>
          <w:rFonts w:ascii="Arial" w:eastAsia="Arial" w:hAnsi="Arial" w:cs="Arial"/>
          <w:sz w:val="26"/>
          <w:szCs w:val="26"/>
        </w:rPr>
        <w:t xml:space="preserve"> 0036/2023 ENTONCES QUINTA SALA UNITARIA Y AHORA </w:t>
      </w:r>
      <w:r w:rsidR="00E01647">
        <w:rPr>
          <w:rFonts w:ascii="Arial" w:eastAsia="Arial" w:hAnsi="Arial" w:cs="Arial"/>
          <w:sz w:val="26"/>
          <w:szCs w:val="26"/>
        </w:rPr>
        <w:t>114</w:t>
      </w:r>
      <w:r>
        <w:rPr>
          <w:rFonts w:ascii="Arial" w:eastAsia="Arial" w:hAnsi="Arial" w:cs="Arial"/>
          <w:sz w:val="26"/>
          <w:szCs w:val="26"/>
        </w:rPr>
        <w:t>/2023 DE LA PRIMERA SALA UNITARI</w:t>
      </w:r>
      <w:bookmarkStart w:id="0" w:name="_GoBack"/>
      <w:bookmarkEnd w:id="0"/>
      <w:r>
        <w:rPr>
          <w:rFonts w:ascii="Arial" w:eastAsia="Arial" w:hAnsi="Arial" w:cs="Arial"/>
          <w:sz w:val="26"/>
          <w:szCs w:val="26"/>
        </w:rPr>
        <w:t>A MIXTA</w:t>
      </w:r>
    </w:p>
    <w:p w14:paraId="404EA8F8" w14:textId="77777777" w:rsidR="00896DFE" w:rsidRDefault="00293DAF">
      <w:pPr>
        <w:spacing w:line="240" w:lineRule="auto"/>
        <w:ind w:left="2552" w:right="51"/>
        <w:jc w:val="both"/>
        <w:rPr>
          <w:rFonts w:ascii="Arial" w:eastAsia="Arial" w:hAnsi="Arial" w:cs="Arial"/>
          <w:sz w:val="26"/>
          <w:szCs w:val="26"/>
        </w:rPr>
      </w:pPr>
      <w:r>
        <w:rPr>
          <w:rFonts w:ascii="Arial" w:eastAsia="Arial" w:hAnsi="Arial" w:cs="Arial"/>
          <w:b/>
          <w:sz w:val="26"/>
          <w:szCs w:val="26"/>
        </w:rPr>
        <w:t xml:space="preserve">ACTOR. </w:t>
      </w:r>
      <w:r>
        <w:rPr>
          <w:rFonts w:ascii="Arial" w:eastAsia="Arial" w:hAnsi="Arial" w:cs="Arial"/>
          <w:sz w:val="26"/>
          <w:szCs w:val="26"/>
        </w:rPr>
        <w:t xml:space="preserve">LICENCIADO DIEGO MIGUEL GREGORIO, JEFE DE DEPARTAMENTO DE CONTENCIOSO Y ADMINISTRATIVO DEPENDIENTE DE LA DIRECCIÓN DE ASUNTOS JURÍDICOS DE LOS SERVICIOS DE SALUD DE OAXACA. </w:t>
      </w:r>
    </w:p>
    <w:p w14:paraId="24B50B56" w14:textId="77777777" w:rsidR="00896DFE" w:rsidRDefault="00293DAF">
      <w:pPr>
        <w:spacing w:line="240" w:lineRule="auto"/>
        <w:ind w:left="2552" w:right="51"/>
        <w:jc w:val="both"/>
        <w:rPr>
          <w:rFonts w:ascii="Arial" w:eastAsia="Arial" w:hAnsi="Arial" w:cs="Arial"/>
          <w:sz w:val="26"/>
          <w:szCs w:val="26"/>
        </w:rPr>
      </w:pPr>
      <w:bookmarkStart w:id="1" w:name="_heading=h.gjdgxs" w:colFirst="0" w:colLast="0"/>
      <w:bookmarkEnd w:id="1"/>
      <w:r>
        <w:rPr>
          <w:rFonts w:ascii="Arial" w:eastAsia="Arial" w:hAnsi="Arial" w:cs="Arial"/>
          <w:b/>
          <w:sz w:val="26"/>
          <w:szCs w:val="26"/>
        </w:rPr>
        <w:t xml:space="preserve">AUTORIDAD DEMANDADA: </w:t>
      </w:r>
      <w:r>
        <w:rPr>
          <w:rFonts w:ascii="Arial" w:eastAsia="Arial" w:hAnsi="Arial" w:cs="Arial"/>
          <w:sz w:val="26"/>
          <w:szCs w:val="26"/>
        </w:rPr>
        <w:t>COORDINADOR DE COBRO COACTIVO DE LA DIRECCIÓN DE INGRESO Y RECAUDACIÓN DE LA SECRETARÍA DE FINANZAS DEL PODER EJECUTIVO Y NOTIFICADOR ADSCRITO A LA COORDINACIÓN.</w:t>
      </w:r>
    </w:p>
    <w:p w14:paraId="5080A288" w14:textId="77777777" w:rsidR="00896DFE" w:rsidRDefault="00293DAF">
      <w:pPr>
        <w:spacing w:line="240" w:lineRule="auto"/>
        <w:ind w:left="2552" w:right="51"/>
        <w:jc w:val="both"/>
        <w:rPr>
          <w:rFonts w:ascii="Arial" w:eastAsia="Arial" w:hAnsi="Arial" w:cs="Arial"/>
          <w:sz w:val="26"/>
          <w:szCs w:val="26"/>
        </w:rPr>
      </w:pPr>
      <w:r>
        <w:rPr>
          <w:rFonts w:ascii="Arial" w:eastAsia="Arial" w:hAnsi="Arial" w:cs="Arial"/>
          <w:b/>
          <w:sz w:val="26"/>
          <w:szCs w:val="26"/>
        </w:rPr>
        <w:t>PONENTE:</w:t>
      </w:r>
      <w:r>
        <w:rPr>
          <w:rFonts w:ascii="Arial" w:eastAsia="Arial" w:hAnsi="Arial" w:cs="Arial"/>
          <w:sz w:val="26"/>
          <w:szCs w:val="26"/>
        </w:rPr>
        <w:t xml:space="preserve"> MAGISTRADO MANUEL DE JESÚS LÓPEZ </w:t>
      </w:r>
      <w:proofErr w:type="spellStart"/>
      <w:r>
        <w:rPr>
          <w:rFonts w:ascii="Arial" w:eastAsia="Arial" w:hAnsi="Arial" w:cs="Arial"/>
          <w:sz w:val="26"/>
          <w:szCs w:val="26"/>
        </w:rPr>
        <w:t>LÓPEZ</w:t>
      </w:r>
      <w:proofErr w:type="spellEnd"/>
    </w:p>
    <w:p w14:paraId="71E80F66" w14:textId="77777777" w:rsidR="00896DFE" w:rsidRDefault="00896DFE">
      <w:pPr>
        <w:spacing w:line="240" w:lineRule="auto"/>
        <w:ind w:left="2835" w:right="51"/>
        <w:jc w:val="both"/>
        <w:rPr>
          <w:rFonts w:ascii="Arial" w:eastAsia="Arial" w:hAnsi="Arial" w:cs="Arial"/>
          <w:sz w:val="18"/>
          <w:szCs w:val="18"/>
        </w:rPr>
      </w:pPr>
    </w:p>
    <w:p w14:paraId="6EA3ADA5" w14:textId="6471E8F8" w:rsidR="00896DFE" w:rsidRDefault="00293DAF">
      <w:pPr>
        <w:widowControl w:val="0"/>
        <w:spacing w:line="360" w:lineRule="auto"/>
        <w:ind w:right="51" w:firstLine="567"/>
        <w:jc w:val="both"/>
        <w:rPr>
          <w:rFonts w:ascii="Arial" w:eastAsia="Arial" w:hAnsi="Arial" w:cs="Arial"/>
          <w:b/>
          <w:sz w:val="26"/>
          <w:szCs w:val="26"/>
        </w:rPr>
      </w:pPr>
      <w:r>
        <w:rPr>
          <w:rFonts w:ascii="Arial" w:eastAsia="Arial" w:hAnsi="Arial" w:cs="Arial"/>
          <w:b/>
          <w:sz w:val="26"/>
          <w:szCs w:val="26"/>
        </w:rPr>
        <w:t>O</w:t>
      </w:r>
      <w:r w:rsidR="00B42851">
        <w:rPr>
          <w:rFonts w:ascii="Arial" w:eastAsia="Arial" w:hAnsi="Arial" w:cs="Arial"/>
          <w:b/>
          <w:sz w:val="26"/>
          <w:szCs w:val="26"/>
        </w:rPr>
        <w:t>AXACA DE JUÁREZ, OAXACA, A VEINTIOCHO</w:t>
      </w:r>
      <w:r>
        <w:rPr>
          <w:rFonts w:ascii="Arial" w:eastAsia="Arial" w:hAnsi="Arial" w:cs="Arial"/>
          <w:b/>
          <w:sz w:val="26"/>
          <w:szCs w:val="26"/>
        </w:rPr>
        <w:t xml:space="preserve"> DE SEPTIEMBRE DE DOS MIL VEINTITRÉS. - - - - - - - - - - - - - - - - - - - - - - - - - - - - - - - - - - - </w:t>
      </w:r>
    </w:p>
    <w:p w14:paraId="55FB6E17" w14:textId="1E4A40B7" w:rsidR="00896DFE" w:rsidRDefault="00293DAF" w:rsidP="0043307C">
      <w:pPr>
        <w:widowControl w:val="0"/>
        <w:spacing w:line="360" w:lineRule="auto"/>
        <w:ind w:right="51" w:firstLine="567"/>
        <w:jc w:val="both"/>
        <w:rPr>
          <w:rFonts w:ascii="Arial" w:eastAsia="Arial" w:hAnsi="Arial" w:cs="Arial"/>
          <w:sz w:val="26"/>
          <w:szCs w:val="26"/>
        </w:rPr>
      </w:pPr>
      <w:r>
        <w:rPr>
          <w:rFonts w:ascii="Arial" w:eastAsia="Arial" w:hAnsi="Arial" w:cs="Arial"/>
          <w:sz w:val="26"/>
          <w:szCs w:val="26"/>
        </w:rPr>
        <w:t xml:space="preserve">Se tiene por recibido el cuaderno de recurso de revisión 274/2023 turnado por la Secretaría General de Acuerdos, con motivo de la interposición del recurso del promovente </w:t>
      </w:r>
      <w:r>
        <w:rPr>
          <w:rFonts w:ascii="Arial" w:eastAsia="Arial" w:hAnsi="Arial" w:cs="Arial"/>
          <w:b/>
          <w:sz w:val="26"/>
          <w:szCs w:val="26"/>
        </w:rPr>
        <w:t xml:space="preserve">licenciado Diego Miguel Gregorio, Jefe de Departamento de lo Contencioso y Administrativo dependiente de la Dirección de Asuntos Jurídicos de los Servicios de Salud de Oaxaca, </w:t>
      </w:r>
      <w:r>
        <w:rPr>
          <w:rFonts w:ascii="Arial" w:eastAsia="Arial" w:hAnsi="Arial" w:cs="Arial"/>
          <w:sz w:val="26"/>
          <w:szCs w:val="26"/>
        </w:rPr>
        <w:t xml:space="preserve">en contra del acuerdo de diecinueve de abril de dos mil veintitrés, emitido por la  entonces Quinta Sala Unitaria de este Tribunal, en el expediente </w:t>
      </w:r>
      <w:r>
        <w:rPr>
          <w:rFonts w:ascii="Arial" w:eastAsia="Arial" w:hAnsi="Arial" w:cs="Arial"/>
          <w:b/>
          <w:sz w:val="26"/>
          <w:szCs w:val="26"/>
        </w:rPr>
        <w:t>0036/2023</w:t>
      </w:r>
      <w:r>
        <w:rPr>
          <w:rFonts w:ascii="Arial" w:eastAsia="Arial" w:hAnsi="Arial" w:cs="Arial"/>
          <w:sz w:val="26"/>
          <w:szCs w:val="26"/>
        </w:rPr>
        <w:t xml:space="preserve"> de su índice, relativo al juicio de nulidad, iniciado en contra del Coordinador de Cobro Coactivo de la Dirección de Ingresos y Recaudación de la Secretaria de Finanzas del Poder Ejecutivo del Estado de Oaxaca y </w:t>
      </w:r>
      <w:r w:rsidRPr="0045445A">
        <w:rPr>
          <w:rFonts w:ascii="Arial" w:eastAsia="Arial" w:hAnsi="Arial" w:cs="Arial"/>
          <w:sz w:val="26"/>
          <w:szCs w:val="26"/>
        </w:rPr>
        <w:t>de</w:t>
      </w:r>
      <w:r w:rsidR="0045445A" w:rsidRPr="0045445A">
        <w:rPr>
          <w:rFonts w:ascii="Arial" w:eastAsia="Arial" w:hAnsi="Arial" w:cs="Arial"/>
          <w:sz w:val="26"/>
          <w:szCs w:val="26"/>
        </w:rPr>
        <w:t xml:space="preserve"> </w:t>
      </w:r>
      <w:r w:rsidRPr="0045445A">
        <w:rPr>
          <w:rFonts w:ascii="Arial" w:eastAsia="Arial" w:hAnsi="Arial" w:cs="Arial"/>
          <w:sz w:val="26"/>
          <w:szCs w:val="26"/>
        </w:rPr>
        <w:t>l</w:t>
      </w:r>
      <w:r w:rsidR="0045445A" w:rsidRPr="0045445A">
        <w:rPr>
          <w:rFonts w:ascii="Arial" w:eastAsia="Arial" w:hAnsi="Arial" w:cs="Arial"/>
          <w:sz w:val="26"/>
          <w:szCs w:val="26"/>
        </w:rPr>
        <w:t>a</w:t>
      </w:r>
      <w:r w:rsidRPr="0045445A">
        <w:rPr>
          <w:rFonts w:ascii="Arial" w:eastAsia="Arial" w:hAnsi="Arial" w:cs="Arial"/>
          <w:sz w:val="26"/>
          <w:szCs w:val="26"/>
        </w:rPr>
        <w:t xml:space="preserve"> Notificadora adscrita</w:t>
      </w:r>
      <w:r>
        <w:rPr>
          <w:rFonts w:ascii="Arial" w:eastAsia="Arial" w:hAnsi="Arial" w:cs="Arial"/>
          <w:sz w:val="26"/>
          <w:szCs w:val="26"/>
        </w:rPr>
        <w:t xml:space="preserve"> a dicha Coordinación. </w:t>
      </w:r>
      <w:r>
        <w:rPr>
          <w:rFonts w:ascii="Arial" w:eastAsia="Arial" w:hAnsi="Arial" w:cs="Arial"/>
          <w:sz w:val="26"/>
          <w:szCs w:val="26"/>
          <w:highlight w:val="white"/>
        </w:rPr>
        <w:t>Con</w:t>
      </w:r>
      <w:r>
        <w:rPr>
          <w:rFonts w:ascii="Arial" w:eastAsia="Arial" w:hAnsi="Arial" w:cs="Arial"/>
          <w:sz w:val="26"/>
          <w:szCs w:val="26"/>
        </w:rPr>
        <w:t xml:space="preserve"> fundamento en los artículos 1°, 147 primer párrafo 236 y 238 de la Ley de Procedimiento y Justicia Administrativa para el Estado de Oaxaca y 24 fracciones I y III de la Ley Orgánica del Tribunal de Justicia Administrativa y Combate a la Corrupción del Estado de Oaxaca</w:t>
      </w:r>
      <w:r>
        <w:rPr>
          <w:rFonts w:ascii="Arial" w:eastAsia="Arial" w:hAnsi="Arial" w:cs="Arial"/>
          <w:sz w:val="26"/>
          <w:szCs w:val="26"/>
          <w:vertAlign w:val="superscript"/>
        </w:rPr>
        <w:footnoteReference w:id="1"/>
      </w:r>
      <w:r>
        <w:rPr>
          <w:rFonts w:ascii="Arial" w:eastAsia="Arial" w:hAnsi="Arial" w:cs="Arial"/>
          <w:sz w:val="26"/>
          <w:szCs w:val="26"/>
        </w:rPr>
        <w:t xml:space="preserve">, se da trámite, por consiguiente, se procede a dictar resolución en los siguientes términos: - - - - - - - - - - - - - - - - </w:t>
      </w:r>
    </w:p>
    <w:p w14:paraId="29BB4139" w14:textId="7AA8AD26" w:rsidR="00896DFE" w:rsidRDefault="00293DAF">
      <w:pPr>
        <w:jc w:val="center"/>
        <w:rPr>
          <w:rFonts w:ascii="Arial" w:eastAsia="Arial" w:hAnsi="Arial" w:cs="Arial"/>
          <w:b/>
          <w:sz w:val="26"/>
          <w:szCs w:val="26"/>
        </w:rPr>
      </w:pPr>
      <w:r>
        <w:rPr>
          <w:rFonts w:ascii="Arial" w:eastAsia="Arial" w:hAnsi="Arial" w:cs="Arial"/>
          <w:b/>
          <w:sz w:val="26"/>
          <w:szCs w:val="26"/>
        </w:rPr>
        <w:lastRenderedPageBreak/>
        <w:t>R E S U L T A N D O</w:t>
      </w:r>
    </w:p>
    <w:p w14:paraId="0FC1EB85" w14:textId="566527C0" w:rsidR="00896DFE" w:rsidRDefault="00890477">
      <w:pPr>
        <w:spacing w:line="360" w:lineRule="auto"/>
        <w:jc w:val="both"/>
        <w:rPr>
          <w:rFonts w:ascii="Arial" w:eastAsia="Arial" w:hAnsi="Arial" w:cs="Arial"/>
          <w:sz w:val="26"/>
          <w:szCs w:val="26"/>
        </w:rPr>
      </w:pPr>
      <w:r>
        <w:rPr>
          <w:rFonts w:ascii="Times New Roman" w:eastAsia="Times New Roman" w:hAnsi="Times New Roman" w:cs="Times New Roman"/>
          <w:noProof/>
          <w:color w:val="000000"/>
          <w:sz w:val="24"/>
          <w:szCs w:val="24"/>
        </w:rPr>
        <w:drawing>
          <wp:anchor distT="0" distB="0" distL="114300" distR="114300" simplePos="0" relativeHeight="251661312" behindDoc="1" locked="0" layoutInCell="1" allowOverlap="1" wp14:anchorId="4BCCC0CD" wp14:editId="7CEE7DE0">
            <wp:simplePos x="0" y="0"/>
            <wp:positionH relativeFrom="leftMargin">
              <wp:posOffset>6406515</wp:posOffset>
            </wp:positionH>
            <wp:positionV relativeFrom="paragraph">
              <wp:posOffset>390525</wp:posOffset>
            </wp:positionV>
            <wp:extent cx="1024255" cy="1261745"/>
            <wp:effectExtent l="0" t="0" r="4445" b="0"/>
            <wp:wrapNone/>
            <wp:docPr id="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24255" cy="1261745"/>
                    </a:xfrm>
                    <a:prstGeom prst="rect">
                      <a:avLst/>
                    </a:prstGeom>
                    <a:noFill/>
                  </pic:spPr>
                </pic:pic>
              </a:graphicData>
            </a:graphic>
          </wp:anchor>
        </w:drawing>
      </w:r>
      <w:r w:rsidR="00293DAF">
        <w:rPr>
          <w:rFonts w:ascii="Arial" w:eastAsia="Arial" w:hAnsi="Arial" w:cs="Arial"/>
          <w:b/>
          <w:sz w:val="26"/>
          <w:szCs w:val="26"/>
        </w:rPr>
        <w:t>PRIMERO.</w:t>
      </w:r>
      <w:r w:rsidR="00293DAF">
        <w:rPr>
          <w:rFonts w:ascii="Arial" w:eastAsia="Arial" w:hAnsi="Arial" w:cs="Arial"/>
          <w:sz w:val="26"/>
          <w:szCs w:val="26"/>
        </w:rPr>
        <w:t xml:space="preserve"> </w:t>
      </w:r>
      <w:r w:rsidR="00293DAF">
        <w:rPr>
          <w:rFonts w:ascii="Arial" w:eastAsia="Arial" w:hAnsi="Arial" w:cs="Arial"/>
          <w:b/>
          <w:sz w:val="26"/>
          <w:szCs w:val="26"/>
        </w:rPr>
        <w:t>RECURSO DE REVISIÓN.</w:t>
      </w:r>
    </w:p>
    <w:p w14:paraId="1D750F8E" w14:textId="420F0CA7" w:rsidR="00896DFE" w:rsidRDefault="00293DAF">
      <w:pPr>
        <w:numPr>
          <w:ilvl w:val="0"/>
          <w:numId w:val="4"/>
        </w:numPr>
        <w:pBdr>
          <w:top w:val="nil"/>
          <w:left w:val="nil"/>
          <w:bottom w:val="nil"/>
          <w:right w:val="nil"/>
          <w:between w:val="nil"/>
        </w:pBdr>
        <w:spacing w:after="0" w:line="360" w:lineRule="auto"/>
        <w:ind w:left="0" w:firstLine="851"/>
        <w:jc w:val="both"/>
        <w:rPr>
          <w:rFonts w:ascii="Arial" w:eastAsia="Arial" w:hAnsi="Arial" w:cs="Arial"/>
          <w:color w:val="000000"/>
          <w:sz w:val="26"/>
          <w:szCs w:val="26"/>
        </w:rPr>
      </w:pPr>
      <w:r>
        <w:rPr>
          <w:rFonts w:ascii="Arial" w:eastAsia="Arial" w:hAnsi="Arial" w:cs="Arial"/>
          <w:color w:val="000000"/>
          <w:sz w:val="26"/>
          <w:szCs w:val="26"/>
        </w:rPr>
        <w:t xml:space="preserve">Por escrito presentado el cuatro de mayo de dos mil veintitrés, en la Oficialía de Partes Común de este Tribunal, con residencia en esta ciudad, por propio derecho el </w:t>
      </w:r>
      <w:r>
        <w:rPr>
          <w:rFonts w:ascii="Arial" w:eastAsia="Arial" w:hAnsi="Arial" w:cs="Arial"/>
          <w:b/>
          <w:color w:val="000000"/>
          <w:sz w:val="26"/>
          <w:szCs w:val="26"/>
        </w:rPr>
        <w:t>licenciado Diego Miguel Gregorio, Jefe de Departamento de lo Contencioso y Administrativo dependiente de la Dirección de Asuntos Jurídicos de los Servicios de Salud de Oaxaca</w:t>
      </w:r>
      <w:r>
        <w:rPr>
          <w:rFonts w:ascii="Arial" w:eastAsia="Arial" w:hAnsi="Arial" w:cs="Arial"/>
          <w:color w:val="000000"/>
          <w:sz w:val="26"/>
          <w:szCs w:val="26"/>
        </w:rPr>
        <w:t xml:space="preserve">, promovió recurso de revisión en contra del acuerdo de diecinueve de abril de dos mil veintitrés, dictado por la otrora Quinta Sala Unitaria de este Tribunal. </w:t>
      </w:r>
    </w:p>
    <w:p w14:paraId="2EE283F1" w14:textId="77777777" w:rsidR="00896DFE" w:rsidRDefault="00896DFE">
      <w:pPr>
        <w:pBdr>
          <w:top w:val="nil"/>
          <w:left w:val="nil"/>
          <w:bottom w:val="nil"/>
          <w:right w:val="nil"/>
          <w:between w:val="nil"/>
        </w:pBdr>
        <w:spacing w:after="0" w:line="360" w:lineRule="auto"/>
        <w:ind w:left="567"/>
        <w:jc w:val="both"/>
        <w:rPr>
          <w:rFonts w:ascii="Arial" w:eastAsia="Arial" w:hAnsi="Arial" w:cs="Arial"/>
          <w:b/>
          <w:color w:val="000000"/>
          <w:sz w:val="26"/>
          <w:szCs w:val="26"/>
        </w:rPr>
      </w:pPr>
    </w:p>
    <w:p w14:paraId="42EC87B9" w14:textId="77777777" w:rsidR="00896DFE" w:rsidRDefault="00293DAF">
      <w:pPr>
        <w:pBdr>
          <w:top w:val="nil"/>
          <w:left w:val="nil"/>
          <w:bottom w:val="nil"/>
          <w:right w:val="nil"/>
          <w:between w:val="nil"/>
        </w:pBdr>
        <w:spacing w:after="0" w:line="360" w:lineRule="auto"/>
        <w:ind w:left="567" w:firstLine="283"/>
        <w:jc w:val="both"/>
        <w:rPr>
          <w:rFonts w:ascii="Arial" w:eastAsia="Arial" w:hAnsi="Arial" w:cs="Arial"/>
          <w:b/>
          <w:color w:val="000000"/>
          <w:sz w:val="26"/>
          <w:szCs w:val="26"/>
        </w:rPr>
      </w:pPr>
      <w:r>
        <w:rPr>
          <w:rFonts w:ascii="Arial" w:eastAsia="Arial" w:hAnsi="Arial" w:cs="Arial"/>
          <w:b/>
          <w:color w:val="000000"/>
          <w:sz w:val="26"/>
          <w:szCs w:val="26"/>
        </w:rPr>
        <w:t>SEGUNDO.</w:t>
      </w:r>
      <w:r>
        <w:rPr>
          <w:rFonts w:ascii="Arial" w:eastAsia="Arial" w:hAnsi="Arial" w:cs="Arial"/>
          <w:color w:val="000000"/>
          <w:sz w:val="26"/>
          <w:szCs w:val="26"/>
        </w:rPr>
        <w:t xml:space="preserve"> </w:t>
      </w:r>
      <w:r>
        <w:rPr>
          <w:rFonts w:ascii="Arial" w:eastAsia="Arial" w:hAnsi="Arial" w:cs="Arial"/>
          <w:b/>
          <w:color w:val="000000"/>
          <w:sz w:val="26"/>
          <w:szCs w:val="26"/>
        </w:rPr>
        <w:t>ACUERDO RECURRIDO.</w:t>
      </w:r>
    </w:p>
    <w:p w14:paraId="071F8F84" w14:textId="3F589817" w:rsidR="00896DFE" w:rsidRDefault="00293DAF">
      <w:pPr>
        <w:numPr>
          <w:ilvl w:val="0"/>
          <w:numId w:val="4"/>
        </w:numPr>
        <w:pBdr>
          <w:top w:val="nil"/>
          <w:left w:val="nil"/>
          <w:bottom w:val="nil"/>
          <w:right w:val="nil"/>
          <w:between w:val="nil"/>
        </w:pBdr>
        <w:spacing w:after="0" w:line="360" w:lineRule="auto"/>
        <w:ind w:left="0" w:right="48" w:firstLine="851"/>
        <w:jc w:val="both"/>
        <w:rPr>
          <w:rFonts w:ascii="Arial" w:eastAsia="Arial" w:hAnsi="Arial" w:cs="Arial"/>
          <w:color w:val="000000"/>
          <w:sz w:val="26"/>
          <w:szCs w:val="26"/>
        </w:rPr>
      </w:pPr>
      <w:r>
        <w:rPr>
          <w:rFonts w:ascii="Arial" w:eastAsia="Arial" w:hAnsi="Arial" w:cs="Arial"/>
          <w:color w:val="000000"/>
          <w:sz w:val="26"/>
          <w:szCs w:val="26"/>
        </w:rPr>
        <w:t xml:space="preserve">Por auto de diecinueve de abril del dos mil veintitrés, la Quinta Sala Unitaria </w:t>
      </w:r>
      <w:r>
        <w:rPr>
          <w:rFonts w:ascii="Arial" w:eastAsia="Arial" w:hAnsi="Arial" w:cs="Arial"/>
          <w:b/>
          <w:color w:val="000000"/>
          <w:sz w:val="26"/>
          <w:szCs w:val="26"/>
        </w:rPr>
        <w:t>desechó la demanda</w:t>
      </w:r>
      <w:r>
        <w:rPr>
          <w:rFonts w:ascii="Arial" w:eastAsia="Arial" w:hAnsi="Arial" w:cs="Arial"/>
          <w:color w:val="000000"/>
          <w:sz w:val="26"/>
          <w:szCs w:val="26"/>
        </w:rPr>
        <w:t xml:space="preserve">, con base, en lo que importa, en lo siguiente:  - - - - - - - - - - - - - - - - - - - - - - - - - - - - - - - - - - - - - - - - - - - - - - - - </w:t>
      </w:r>
    </w:p>
    <w:p w14:paraId="60D15D1E" w14:textId="77777777" w:rsidR="00896DFE" w:rsidRDefault="00293DAF">
      <w:pPr>
        <w:pBdr>
          <w:top w:val="nil"/>
          <w:left w:val="nil"/>
          <w:bottom w:val="nil"/>
          <w:right w:val="nil"/>
          <w:between w:val="nil"/>
        </w:pBdr>
        <w:spacing w:line="360" w:lineRule="auto"/>
        <w:ind w:left="851" w:right="615"/>
        <w:jc w:val="both"/>
        <w:rPr>
          <w:rFonts w:ascii="Arial" w:eastAsia="Arial" w:hAnsi="Arial" w:cs="Arial"/>
          <w:i/>
          <w:color w:val="000000"/>
        </w:rPr>
      </w:pPr>
      <w:r>
        <w:rPr>
          <w:rFonts w:ascii="Arial" w:eastAsia="Arial" w:hAnsi="Arial" w:cs="Arial"/>
          <w:i/>
          <w:color w:val="000000"/>
        </w:rPr>
        <w:t xml:space="preserve">“Por las razones antes vertidas, y toda vez que esta juzgadora advierte motivo manifiesto e indudable de improcedencia para la tramitación del presente Juicio de Nulidad, de conformidad con lo establecido en la fracción I del artículo 182 de la Ley de Procedimiento y Justicia Administrativa, se </w:t>
      </w:r>
      <w:r>
        <w:rPr>
          <w:rFonts w:ascii="Arial" w:eastAsia="Arial" w:hAnsi="Arial" w:cs="Arial"/>
          <w:b/>
          <w:i/>
          <w:color w:val="000000"/>
        </w:rPr>
        <w:t>DESECHA</w:t>
      </w:r>
      <w:r>
        <w:rPr>
          <w:rFonts w:ascii="Arial" w:eastAsia="Arial" w:hAnsi="Arial" w:cs="Arial"/>
          <w:i/>
          <w:color w:val="000000"/>
        </w:rPr>
        <w:t xml:space="preserve"> la presente demanda por notoriamente </w:t>
      </w:r>
      <w:r>
        <w:rPr>
          <w:rFonts w:ascii="Arial" w:eastAsia="Arial" w:hAnsi="Arial" w:cs="Arial"/>
          <w:b/>
          <w:i/>
          <w:color w:val="000000"/>
        </w:rPr>
        <w:t>IMPROCEDENTE,</w:t>
      </w:r>
      <w:r>
        <w:rPr>
          <w:rFonts w:ascii="Arial" w:eastAsia="Arial" w:hAnsi="Arial" w:cs="Arial"/>
          <w:i/>
          <w:color w:val="000000"/>
        </w:rPr>
        <w:t xml:space="preserve"> de conformidad con lo establecido en el artículo 161, fracciones de I X de la Ley de Procedimiento y Justicia Administrativa para el Estado de Oaxaca, ordenándose, en su oportunidad, enviar los presentes autos al ARCHIVO GENERAL de este órgano jurisdiccional como ASUNTO TOTAL Y DEFINITIVAMENTE CONCLUIDO.”</w:t>
      </w:r>
    </w:p>
    <w:p w14:paraId="5AEE4181" w14:textId="77777777" w:rsidR="00896DFE" w:rsidRDefault="00293DAF">
      <w:pPr>
        <w:spacing w:line="360" w:lineRule="auto"/>
        <w:jc w:val="center"/>
        <w:rPr>
          <w:rFonts w:ascii="Arial" w:eastAsia="Arial" w:hAnsi="Arial" w:cs="Arial"/>
          <w:b/>
          <w:sz w:val="26"/>
          <w:szCs w:val="26"/>
        </w:rPr>
      </w:pPr>
      <w:r>
        <w:rPr>
          <w:rFonts w:ascii="Arial" w:eastAsia="Arial" w:hAnsi="Arial" w:cs="Arial"/>
          <w:b/>
          <w:sz w:val="26"/>
          <w:szCs w:val="26"/>
        </w:rPr>
        <w:t>C O N S I D E R A N D O</w:t>
      </w:r>
    </w:p>
    <w:p w14:paraId="0153EA81" w14:textId="77777777" w:rsidR="00896DFE" w:rsidRDefault="00293DAF">
      <w:pPr>
        <w:spacing w:line="360" w:lineRule="auto"/>
        <w:ind w:firstLine="567"/>
        <w:jc w:val="both"/>
        <w:rPr>
          <w:rFonts w:ascii="Arial" w:eastAsia="Arial" w:hAnsi="Arial" w:cs="Arial"/>
          <w:b/>
          <w:sz w:val="26"/>
          <w:szCs w:val="26"/>
        </w:rPr>
      </w:pPr>
      <w:r>
        <w:rPr>
          <w:rFonts w:ascii="Arial" w:eastAsia="Arial" w:hAnsi="Arial" w:cs="Arial"/>
          <w:b/>
          <w:sz w:val="26"/>
          <w:szCs w:val="26"/>
        </w:rPr>
        <w:t xml:space="preserve">PRIMERO. JURISDICCIÓN Y COMPETENCIA LEGAL. </w:t>
      </w:r>
    </w:p>
    <w:p w14:paraId="77C06D7A" w14:textId="4B55EB1D" w:rsidR="007E65E6" w:rsidRDefault="00812564">
      <w:pPr>
        <w:numPr>
          <w:ilvl w:val="0"/>
          <w:numId w:val="4"/>
        </w:numPr>
        <w:pBdr>
          <w:top w:val="nil"/>
          <w:left w:val="nil"/>
          <w:bottom w:val="nil"/>
          <w:right w:val="nil"/>
          <w:between w:val="nil"/>
        </w:pBdr>
        <w:spacing w:line="360" w:lineRule="auto"/>
        <w:ind w:left="567" w:firstLine="567"/>
        <w:jc w:val="both"/>
        <w:rPr>
          <w:rFonts w:ascii="Arial" w:eastAsia="Arial" w:hAnsi="Arial" w:cs="Arial"/>
          <w:color w:val="000000"/>
          <w:sz w:val="26"/>
          <w:szCs w:val="26"/>
        </w:rPr>
      </w:pPr>
      <w:r w:rsidRPr="0037427B">
        <w:rPr>
          <w:rFonts w:ascii="Arial" w:hAnsi="Arial" w:cs="Arial"/>
          <w:sz w:val="26"/>
          <w:szCs w:val="26"/>
        </w:rPr>
        <w:t>Esta Sala Superior del Tribunal de Justicia Administrativa y Combate a la Corrupción del Estado de Oaxaca ejerce jurisdicción y es competente para conocer del presente asunto, conforme a lo dispuesto por los artículos 114 Quáter de la Constitución Política del Estado Libre y Soberano de Oaxaca</w:t>
      </w:r>
      <w:r>
        <w:rPr>
          <w:rStyle w:val="Refdenotaalpie"/>
          <w:rFonts w:ascii="Arial" w:hAnsi="Arial" w:cs="Arial"/>
          <w:sz w:val="26"/>
          <w:szCs w:val="26"/>
        </w:rPr>
        <w:footnoteReference w:id="2"/>
      </w:r>
      <w:r w:rsidRPr="0037427B">
        <w:rPr>
          <w:rFonts w:ascii="Arial" w:hAnsi="Arial" w:cs="Arial"/>
          <w:sz w:val="26"/>
          <w:szCs w:val="26"/>
        </w:rPr>
        <w:t>; 1, 2, 4, fracción VII, 23, 24, fracciones I, y 27 de la Ley Orgánica del Tribunal de Justicia Administrativa</w:t>
      </w:r>
      <w:r>
        <w:rPr>
          <w:rFonts w:ascii="Arial" w:hAnsi="Arial" w:cs="Arial"/>
          <w:sz w:val="26"/>
          <w:szCs w:val="26"/>
        </w:rPr>
        <w:t xml:space="preserve"> y Combate a la Corrupción </w:t>
      </w:r>
      <w:r w:rsidRPr="0037427B">
        <w:rPr>
          <w:rFonts w:ascii="Arial" w:hAnsi="Arial" w:cs="Arial"/>
          <w:sz w:val="26"/>
          <w:szCs w:val="26"/>
        </w:rPr>
        <w:t>del Estado de Oaxaca, vigente; 120, 125, 127, 129,130, fracción l, 131, 236, fracción I y 238 de la Ley de Procedimiento y Justicia Administrativa para el Estado de Oaxaca</w:t>
      </w:r>
      <w:r w:rsidR="00293DAF">
        <w:rPr>
          <w:rFonts w:ascii="Arial" w:eastAsia="Arial" w:hAnsi="Arial" w:cs="Arial"/>
          <w:color w:val="000000"/>
          <w:sz w:val="26"/>
          <w:szCs w:val="26"/>
        </w:rPr>
        <w:t>.</w:t>
      </w:r>
      <w:r>
        <w:rPr>
          <w:rFonts w:ascii="Arial" w:eastAsia="Arial" w:hAnsi="Arial" w:cs="Arial"/>
          <w:color w:val="000000"/>
          <w:sz w:val="26"/>
          <w:szCs w:val="26"/>
        </w:rPr>
        <w:t xml:space="preserve"> </w:t>
      </w:r>
      <w:r w:rsidR="00293DAF">
        <w:rPr>
          <w:rFonts w:ascii="Arial" w:eastAsia="Arial" w:hAnsi="Arial" w:cs="Arial"/>
          <w:color w:val="000000"/>
          <w:sz w:val="26"/>
          <w:szCs w:val="26"/>
        </w:rPr>
        <w:t xml:space="preserve">- - </w:t>
      </w:r>
      <w:r>
        <w:rPr>
          <w:rFonts w:ascii="Arial" w:eastAsia="Arial" w:hAnsi="Arial" w:cs="Arial"/>
          <w:color w:val="000000"/>
          <w:sz w:val="26"/>
          <w:szCs w:val="26"/>
        </w:rPr>
        <w:t xml:space="preserve">- - - - - - - - - - - - - - - - - - - - </w:t>
      </w:r>
    </w:p>
    <w:p w14:paraId="0B57F4EA" w14:textId="4A94CFD1" w:rsidR="00896DFE" w:rsidRDefault="00890477" w:rsidP="007E65E6">
      <w:pPr>
        <w:pBdr>
          <w:top w:val="nil"/>
          <w:left w:val="nil"/>
          <w:bottom w:val="nil"/>
          <w:right w:val="nil"/>
          <w:between w:val="nil"/>
        </w:pBdr>
        <w:spacing w:line="360" w:lineRule="auto"/>
        <w:ind w:left="567"/>
        <w:jc w:val="both"/>
        <w:rPr>
          <w:rFonts w:ascii="Arial" w:eastAsia="Arial" w:hAnsi="Arial" w:cs="Arial"/>
          <w:color w:val="000000"/>
          <w:sz w:val="26"/>
          <w:szCs w:val="26"/>
        </w:rPr>
      </w:pPr>
      <w:r>
        <w:rPr>
          <w:rFonts w:ascii="Times New Roman" w:eastAsia="Times New Roman" w:hAnsi="Times New Roman" w:cs="Times New Roman"/>
          <w:noProof/>
          <w:color w:val="000000"/>
          <w:sz w:val="24"/>
          <w:szCs w:val="24"/>
        </w:rPr>
        <w:lastRenderedPageBreak/>
        <w:drawing>
          <wp:anchor distT="0" distB="0" distL="114300" distR="114300" simplePos="0" relativeHeight="251663360" behindDoc="1" locked="0" layoutInCell="1" allowOverlap="1" wp14:anchorId="49F573D2" wp14:editId="16992CC1">
            <wp:simplePos x="0" y="0"/>
            <wp:positionH relativeFrom="leftMargin">
              <wp:posOffset>415925</wp:posOffset>
            </wp:positionH>
            <wp:positionV relativeFrom="paragraph">
              <wp:posOffset>533400</wp:posOffset>
            </wp:positionV>
            <wp:extent cx="1024255" cy="1261745"/>
            <wp:effectExtent l="0" t="0" r="4445" b="0"/>
            <wp:wrapNone/>
            <wp:docPr id="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24255" cy="1261745"/>
                    </a:xfrm>
                    <a:prstGeom prst="rect">
                      <a:avLst/>
                    </a:prstGeom>
                    <a:noFill/>
                  </pic:spPr>
                </pic:pic>
              </a:graphicData>
            </a:graphic>
          </wp:anchor>
        </w:drawing>
      </w:r>
      <w:r w:rsidR="00293DAF">
        <w:rPr>
          <w:rFonts w:ascii="Arial" w:eastAsia="Arial" w:hAnsi="Arial" w:cs="Arial"/>
          <w:b/>
          <w:color w:val="000000"/>
          <w:sz w:val="26"/>
          <w:szCs w:val="26"/>
        </w:rPr>
        <w:t>SEGUNDO. REQUISITOS DE PROCEDENCIA</w:t>
      </w:r>
      <w:r w:rsidR="00293DAF">
        <w:rPr>
          <w:rFonts w:ascii="Arial" w:eastAsia="Arial" w:hAnsi="Arial" w:cs="Arial"/>
          <w:color w:val="000000"/>
          <w:sz w:val="26"/>
          <w:szCs w:val="26"/>
        </w:rPr>
        <w:t xml:space="preserve">. - - - - - - - </w:t>
      </w:r>
    </w:p>
    <w:p w14:paraId="485B6244" w14:textId="77777777" w:rsidR="00896DFE" w:rsidRDefault="00293DAF">
      <w:pPr>
        <w:spacing w:line="360" w:lineRule="auto"/>
        <w:ind w:firstLine="567"/>
        <w:jc w:val="both"/>
        <w:rPr>
          <w:rFonts w:ascii="Arial" w:eastAsia="Arial" w:hAnsi="Arial" w:cs="Arial"/>
          <w:sz w:val="26"/>
          <w:szCs w:val="26"/>
        </w:rPr>
      </w:pPr>
      <w:r>
        <w:rPr>
          <w:rFonts w:ascii="Arial" w:eastAsia="Arial" w:hAnsi="Arial" w:cs="Arial"/>
          <w:sz w:val="26"/>
          <w:szCs w:val="26"/>
        </w:rPr>
        <w:t xml:space="preserve">4. Se tienen por satisfechos los requisitos de procedencia previstos en los artículos 236 y 237 de la Ley de Procedimiento y Justicia Administrativa para el Estado de Oaxaca. - - - - - - - - - - - - - - - - - - - - - - - - - - - - - - - - - - - - </w:t>
      </w:r>
    </w:p>
    <w:p w14:paraId="74D5A4F4" w14:textId="77777777" w:rsidR="00896DFE" w:rsidRDefault="00293DAF">
      <w:pPr>
        <w:pBdr>
          <w:top w:val="nil"/>
          <w:left w:val="nil"/>
          <w:bottom w:val="nil"/>
          <w:right w:val="nil"/>
          <w:between w:val="nil"/>
        </w:pBdr>
        <w:spacing w:after="0" w:line="360" w:lineRule="auto"/>
        <w:ind w:left="927"/>
        <w:jc w:val="both"/>
        <w:rPr>
          <w:rFonts w:ascii="Arial" w:eastAsia="Arial" w:hAnsi="Arial" w:cs="Arial"/>
          <w:color w:val="000000"/>
          <w:sz w:val="26"/>
          <w:szCs w:val="26"/>
        </w:rPr>
      </w:pPr>
      <w:r>
        <w:rPr>
          <w:rFonts w:ascii="Arial" w:eastAsia="Arial" w:hAnsi="Arial" w:cs="Arial"/>
          <w:color w:val="000000"/>
          <w:sz w:val="26"/>
          <w:szCs w:val="26"/>
        </w:rPr>
        <w:t>a)</w:t>
      </w:r>
      <w:r>
        <w:rPr>
          <w:rFonts w:ascii="Arial" w:eastAsia="Arial" w:hAnsi="Arial" w:cs="Arial"/>
          <w:color w:val="000000"/>
          <w:sz w:val="26"/>
          <w:szCs w:val="26"/>
        </w:rPr>
        <w:tab/>
      </w:r>
      <w:r>
        <w:rPr>
          <w:rFonts w:ascii="Arial" w:eastAsia="Arial" w:hAnsi="Arial" w:cs="Arial"/>
          <w:b/>
          <w:color w:val="000000"/>
          <w:sz w:val="26"/>
          <w:szCs w:val="26"/>
        </w:rPr>
        <w:t>Forma</w:t>
      </w:r>
      <w:r>
        <w:rPr>
          <w:rFonts w:ascii="Arial" w:eastAsia="Arial" w:hAnsi="Arial" w:cs="Arial"/>
          <w:color w:val="000000"/>
          <w:sz w:val="26"/>
          <w:szCs w:val="26"/>
        </w:rPr>
        <w:t xml:space="preserve">. Se observa que el recurso se efectuó conforme a los lineamientos que exige el artículo 237 de la Ley de Procedimiento y Justicia Administrativa para el Estado de Oaxaca, ya que se presentó por escrito, con la expresión de agravios ante la Sala que dictó el acuerdo que se impugna. -- - - - - - - - - - - - - - - - - - - - - - - - - - - - - - - </w:t>
      </w:r>
    </w:p>
    <w:p w14:paraId="4326097F" w14:textId="36BEDF53" w:rsidR="00896DFE" w:rsidRDefault="00293DAF">
      <w:pPr>
        <w:pBdr>
          <w:top w:val="nil"/>
          <w:left w:val="nil"/>
          <w:bottom w:val="nil"/>
          <w:right w:val="nil"/>
          <w:between w:val="nil"/>
        </w:pBdr>
        <w:spacing w:after="0" w:line="360" w:lineRule="auto"/>
        <w:ind w:left="927"/>
        <w:jc w:val="both"/>
        <w:rPr>
          <w:rFonts w:ascii="Arial" w:eastAsia="Arial" w:hAnsi="Arial" w:cs="Arial"/>
          <w:color w:val="000000"/>
          <w:sz w:val="26"/>
          <w:szCs w:val="26"/>
        </w:rPr>
      </w:pPr>
      <w:r>
        <w:rPr>
          <w:rFonts w:ascii="Arial" w:eastAsia="Arial" w:hAnsi="Arial" w:cs="Arial"/>
          <w:color w:val="000000"/>
          <w:sz w:val="26"/>
          <w:szCs w:val="26"/>
        </w:rPr>
        <w:t>b)</w:t>
      </w:r>
      <w:r>
        <w:rPr>
          <w:rFonts w:ascii="Arial" w:eastAsia="Arial" w:hAnsi="Arial" w:cs="Arial"/>
          <w:color w:val="000000"/>
          <w:sz w:val="26"/>
          <w:szCs w:val="26"/>
        </w:rPr>
        <w:tab/>
      </w:r>
      <w:r>
        <w:rPr>
          <w:rFonts w:ascii="Arial" w:eastAsia="Arial" w:hAnsi="Arial" w:cs="Arial"/>
          <w:b/>
          <w:color w:val="000000"/>
          <w:sz w:val="26"/>
          <w:szCs w:val="26"/>
        </w:rPr>
        <w:t>Oportunidad</w:t>
      </w:r>
      <w:r>
        <w:rPr>
          <w:rFonts w:ascii="Arial" w:eastAsia="Arial" w:hAnsi="Arial" w:cs="Arial"/>
          <w:color w:val="000000"/>
          <w:sz w:val="26"/>
          <w:szCs w:val="26"/>
        </w:rPr>
        <w:t>. Se cumple tal requisito, toda vez que el acto impugnado fue notificado al recurrente, el veintiséis de abril de dos mil veintitrés, en tanto el correspondiente recurso se interpuso el cuatro de mayo del dos mil veintitrés, siendo éste dentro del plazo de cinco días previsto en el artículo 237 de la Ley de Procedimiento y Justicia Administrativa para el Estado de Oaxaca, en virtud que el jueves veintisiete del mes en cita surtió efectos, empezando a correr el cómputo a partir</w:t>
      </w:r>
      <w:r w:rsidR="004D567A">
        <w:rPr>
          <w:rFonts w:ascii="Arial" w:eastAsia="Arial" w:hAnsi="Arial" w:cs="Arial"/>
          <w:color w:val="000000"/>
          <w:sz w:val="26"/>
          <w:szCs w:val="26"/>
        </w:rPr>
        <w:t xml:space="preserve"> del viernes veintiocho de abril</w:t>
      </w:r>
      <w:r>
        <w:rPr>
          <w:rFonts w:ascii="Arial" w:eastAsia="Arial" w:hAnsi="Arial" w:cs="Arial"/>
          <w:color w:val="000000"/>
          <w:sz w:val="26"/>
          <w:szCs w:val="26"/>
        </w:rPr>
        <w:t xml:space="preserve">, </w:t>
      </w:r>
      <w:r w:rsidRPr="004D567A">
        <w:rPr>
          <w:rFonts w:ascii="Arial" w:eastAsia="Arial" w:hAnsi="Arial" w:cs="Arial"/>
          <w:color w:val="000000"/>
          <w:sz w:val="26"/>
          <w:szCs w:val="26"/>
        </w:rPr>
        <w:t xml:space="preserve">martes dos, miércoles tres, jueves cuatro </w:t>
      </w:r>
      <w:r w:rsidR="004D567A" w:rsidRPr="004D567A">
        <w:rPr>
          <w:rFonts w:ascii="Arial" w:eastAsia="Arial" w:hAnsi="Arial" w:cs="Arial"/>
          <w:color w:val="000000"/>
          <w:sz w:val="26"/>
          <w:szCs w:val="26"/>
        </w:rPr>
        <w:t>y lunes ocho</w:t>
      </w:r>
      <w:r w:rsidRPr="004D567A">
        <w:rPr>
          <w:rFonts w:ascii="Arial" w:eastAsia="Arial" w:hAnsi="Arial" w:cs="Arial"/>
          <w:color w:val="000000"/>
          <w:sz w:val="26"/>
          <w:szCs w:val="26"/>
        </w:rPr>
        <w:t xml:space="preserve"> de mayo</w:t>
      </w:r>
      <w:r w:rsidR="004D567A">
        <w:rPr>
          <w:rFonts w:ascii="Arial" w:eastAsia="Arial" w:hAnsi="Arial" w:cs="Arial"/>
          <w:color w:val="000000"/>
          <w:sz w:val="26"/>
          <w:szCs w:val="26"/>
        </w:rPr>
        <w:t>;</w:t>
      </w:r>
      <w:r w:rsidRPr="0024211E">
        <w:rPr>
          <w:rFonts w:ascii="Arial" w:eastAsia="Arial" w:hAnsi="Arial" w:cs="Arial"/>
          <w:color w:val="FF0000"/>
          <w:sz w:val="26"/>
          <w:szCs w:val="26"/>
        </w:rPr>
        <w:t xml:space="preserve"> </w:t>
      </w:r>
      <w:r>
        <w:rPr>
          <w:rFonts w:ascii="Arial" w:eastAsia="Arial" w:hAnsi="Arial" w:cs="Arial"/>
          <w:color w:val="000000"/>
          <w:sz w:val="26"/>
          <w:szCs w:val="26"/>
        </w:rPr>
        <w:t xml:space="preserve">todos del dos mil veintitrés (sin ser contados los días veintinueve y treinta </w:t>
      </w:r>
      <w:r w:rsidR="000F5D29">
        <w:rPr>
          <w:rFonts w:ascii="Arial" w:eastAsia="Arial" w:hAnsi="Arial" w:cs="Arial"/>
          <w:color w:val="000000"/>
          <w:sz w:val="26"/>
          <w:szCs w:val="26"/>
        </w:rPr>
        <w:t xml:space="preserve">de abril, seis y siete de mayo </w:t>
      </w:r>
      <w:r>
        <w:rPr>
          <w:rFonts w:ascii="Arial" w:eastAsia="Arial" w:hAnsi="Arial" w:cs="Arial"/>
          <w:color w:val="000000"/>
          <w:sz w:val="26"/>
          <w:szCs w:val="26"/>
        </w:rPr>
        <w:t>por ser sábado y domingo</w:t>
      </w:r>
      <w:r w:rsidR="000F5D29">
        <w:rPr>
          <w:rFonts w:ascii="Arial" w:eastAsia="Arial" w:hAnsi="Arial" w:cs="Arial"/>
          <w:color w:val="000000"/>
          <w:sz w:val="26"/>
          <w:szCs w:val="26"/>
        </w:rPr>
        <w:t>, el lunes uno y viernes cinco de mayo por haber sido declarados días inhábiles, con motivo del Día del Trabajo, y el Aniversario de la Batalla de Puebla, respectivamente</w:t>
      </w:r>
      <w:r>
        <w:rPr>
          <w:rFonts w:ascii="Arial" w:eastAsia="Arial" w:hAnsi="Arial" w:cs="Arial"/>
          <w:color w:val="000000"/>
          <w:sz w:val="26"/>
          <w:szCs w:val="26"/>
        </w:rPr>
        <w:t xml:space="preserve">). - - - - - - - - - - - - - - - - - - - - - - - - - - - - - - - - - - - </w:t>
      </w:r>
      <w:r w:rsidR="000F5D29">
        <w:rPr>
          <w:rFonts w:ascii="Arial" w:eastAsia="Arial" w:hAnsi="Arial" w:cs="Arial"/>
          <w:color w:val="000000"/>
          <w:sz w:val="26"/>
          <w:szCs w:val="26"/>
        </w:rPr>
        <w:t>- -</w:t>
      </w:r>
    </w:p>
    <w:p w14:paraId="2547137F" w14:textId="77777777" w:rsidR="00896DFE" w:rsidRDefault="00293DAF">
      <w:pPr>
        <w:pBdr>
          <w:top w:val="nil"/>
          <w:left w:val="nil"/>
          <w:bottom w:val="nil"/>
          <w:right w:val="nil"/>
          <w:between w:val="nil"/>
        </w:pBdr>
        <w:spacing w:after="0" w:line="360" w:lineRule="auto"/>
        <w:ind w:left="927"/>
        <w:jc w:val="both"/>
        <w:rPr>
          <w:rFonts w:ascii="Arial" w:eastAsia="Arial" w:hAnsi="Arial" w:cs="Arial"/>
          <w:color w:val="FF0000"/>
          <w:sz w:val="26"/>
          <w:szCs w:val="26"/>
        </w:rPr>
      </w:pPr>
      <w:r>
        <w:rPr>
          <w:rFonts w:ascii="Arial" w:eastAsia="Arial" w:hAnsi="Arial" w:cs="Arial"/>
          <w:color w:val="000000"/>
          <w:sz w:val="26"/>
          <w:szCs w:val="26"/>
        </w:rPr>
        <w:t>c)</w:t>
      </w:r>
      <w:r>
        <w:rPr>
          <w:rFonts w:ascii="Arial" w:eastAsia="Arial" w:hAnsi="Arial" w:cs="Arial"/>
          <w:color w:val="000000"/>
          <w:sz w:val="26"/>
          <w:szCs w:val="26"/>
        </w:rPr>
        <w:tab/>
      </w:r>
      <w:r>
        <w:rPr>
          <w:rFonts w:ascii="Arial" w:eastAsia="Arial" w:hAnsi="Arial" w:cs="Arial"/>
          <w:b/>
          <w:color w:val="000000"/>
          <w:sz w:val="26"/>
          <w:szCs w:val="26"/>
        </w:rPr>
        <w:t>Legitimación</w:t>
      </w:r>
      <w:r>
        <w:rPr>
          <w:rFonts w:ascii="Arial" w:eastAsia="Arial" w:hAnsi="Arial" w:cs="Arial"/>
          <w:color w:val="000000"/>
          <w:sz w:val="26"/>
          <w:szCs w:val="26"/>
        </w:rPr>
        <w:t xml:space="preserve">. El presente recurso fue interpuesto por parte legitimada. Ello, de conformidad con lo señalado en el artículo 148, segundo párrafo, de la Ley de Procedimiento y Justicia Administrativa para el Estado de Oaxaca. Acreditando su personalidad el promovente con su nombramiento como Jefe del Departamento de lo Contencioso Administrativo dependiente de la Dirección de Asuntos Jurídicos de los Servicios de Salud de Oaxaca, en términos del artículo 14 bis de la Ley de Entidades Paraestatales del Estado de Oaxaca y 20 fracción I del Reglamento Interno de los Servicios de Salud de Oaxaca. - - - - - - - - - - - - - - - - - - - - - - - - - - - - - - - - - - - - - </w:t>
      </w:r>
    </w:p>
    <w:p w14:paraId="32C3B81E" w14:textId="34BAB1BA" w:rsidR="00896DFE" w:rsidRDefault="00293DAF">
      <w:pPr>
        <w:pBdr>
          <w:top w:val="nil"/>
          <w:left w:val="nil"/>
          <w:bottom w:val="nil"/>
          <w:right w:val="nil"/>
          <w:between w:val="nil"/>
        </w:pBdr>
        <w:spacing w:after="0" w:line="360" w:lineRule="auto"/>
        <w:ind w:left="927"/>
        <w:jc w:val="both"/>
        <w:rPr>
          <w:rFonts w:ascii="Arial" w:eastAsia="Arial" w:hAnsi="Arial" w:cs="Arial"/>
          <w:color w:val="000000"/>
          <w:sz w:val="26"/>
          <w:szCs w:val="26"/>
        </w:rPr>
      </w:pPr>
      <w:r>
        <w:rPr>
          <w:rFonts w:ascii="Arial" w:eastAsia="Arial" w:hAnsi="Arial" w:cs="Arial"/>
          <w:color w:val="000000"/>
          <w:sz w:val="26"/>
          <w:szCs w:val="26"/>
        </w:rPr>
        <w:t>d)</w:t>
      </w:r>
      <w:r>
        <w:rPr>
          <w:rFonts w:ascii="Arial" w:eastAsia="Arial" w:hAnsi="Arial" w:cs="Arial"/>
          <w:color w:val="000000"/>
          <w:sz w:val="26"/>
          <w:szCs w:val="26"/>
        </w:rPr>
        <w:tab/>
      </w:r>
      <w:r>
        <w:rPr>
          <w:rFonts w:ascii="Arial" w:eastAsia="Arial" w:hAnsi="Arial" w:cs="Arial"/>
          <w:b/>
          <w:color w:val="000000"/>
          <w:sz w:val="26"/>
          <w:szCs w:val="26"/>
        </w:rPr>
        <w:t>Idoneidad</w:t>
      </w:r>
      <w:r>
        <w:rPr>
          <w:rFonts w:ascii="Arial" w:eastAsia="Arial" w:hAnsi="Arial" w:cs="Arial"/>
          <w:color w:val="000000"/>
          <w:sz w:val="26"/>
          <w:szCs w:val="26"/>
        </w:rPr>
        <w:t xml:space="preserve">. Se cumple con este requisito, en virtud que la determinación recurrida de la entonces Quinta Sala Unitaria, deviene del acuerdo de diecinueve de abril de dos mil veintitrés, emitido en el juicio de nulidad 0036/2023, donde desechó la demanda, por tanto, </w:t>
      </w:r>
      <w:r>
        <w:rPr>
          <w:rFonts w:ascii="Arial" w:eastAsia="Arial" w:hAnsi="Arial" w:cs="Arial"/>
          <w:color w:val="000000"/>
          <w:sz w:val="26"/>
          <w:szCs w:val="26"/>
        </w:rPr>
        <w:lastRenderedPageBreak/>
        <w:t xml:space="preserve">se actualiza el supuesto previsto por el artículo 236, fracción I de la </w:t>
      </w:r>
      <w:r w:rsidR="00890477">
        <w:rPr>
          <w:rFonts w:ascii="Times New Roman" w:eastAsia="Times New Roman" w:hAnsi="Times New Roman" w:cs="Times New Roman"/>
          <w:noProof/>
          <w:color w:val="000000"/>
          <w:sz w:val="24"/>
          <w:szCs w:val="24"/>
        </w:rPr>
        <w:drawing>
          <wp:anchor distT="0" distB="0" distL="114300" distR="114300" simplePos="0" relativeHeight="251665408" behindDoc="1" locked="0" layoutInCell="1" allowOverlap="1" wp14:anchorId="3D8E9900" wp14:editId="1B5CC810">
            <wp:simplePos x="0" y="0"/>
            <wp:positionH relativeFrom="leftMargin">
              <wp:posOffset>6456680</wp:posOffset>
            </wp:positionH>
            <wp:positionV relativeFrom="paragraph">
              <wp:posOffset>456565</wp:posOffset>
            </wp:positionV>
            <wp:extent cx="1024255" cy="1261745"/>
            <wp:effectExtent l="0" t="0" r="4445" b="0"/>
            <wp:wrapNone/>
            <wp:docPr id="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24255" cy="1261745"/>
                    </a:xfrm>
                    <a:prstGeom prst="rect">
                      <a:avLst/>
                    </a:prstGeom>
                    <a:noFill/>
                  </pic:spPr>
                </pic:pic>
              </a:graphicData>
            </a:graphic>
          </wp:anchor>
        </w:drawing>
      </w:r>
      <w:r>
        <w:rPr>
          <w:rFonts w:ascii="Arial" w:eastAsia="Arial" w:hAnsi="Arial" w:cs="Arial"/>
          <w:color w:val="000000"/>
          <w:sz w:val="26"/>
          <w:szCs w:val="26"/>
        </w:rPr>
        <w:t xml:space="preserve">Ley de Procedimiento y Justicia Administrativa para el Estado de Oaxaca.- - - - - - - - - - - - - - - - - - - - - - - - - - - - - - - - - - - - - - - - - - - -   </w:t>
      </w:r>
    </w:p>
    <w:p w14:paraId="40FEFADC" w14:textId="77777777" w:rsidR="00896DFE" w:rsidRDefault="00896DFE">
      <w:pPr>
        <w:pBdr>
          <w:top w:val="nil"/>
          <w:left w:val="nil"/>
          <w:bottom w:val="nil"/>
          <w:right w:val="nil"/>
          <w:between w:val="nil"/>
        </w:pBdr>
        <w:spacing w:after="0" w:line="360" w:lineRule="auto"/>
        <w:ind w:left="927"/>
        <w:jc w:val="both"/>
        <w:rPr>
          <w:rFonts w:ascii="Arial" w:eastAsia="Arial" w:hAnsi="Arial" w:cs="Arial"/>
          <w:b/>
          <w:color w:val="000000"/>
          <w:sz w:val="26"/>
          <w:szCs w:val="26"/>
        </w:rPr>
      </w:pPr>
    </w:p>
    <w:p w14:paraId="10EAAEC7" w14:textId="77777777" w:rsidR="00896DFE" w:rsidRDefault="00293DAF">
      <w:pPr>
        <w:pBdr>
          <w:top w:val="nil"/>
          <w:left w:val="nil"/>
          <w:bottom w:val="nil"/>
          <w:right w:val="nil"/>
          <w:between w:val="nil"/>
        </w:pBdr>
        <w:spacing w:after="0" w:line="360" w:lineRule="auto"/>
        <w:ind w:left="927"/>
        <w:jc w:val="both"/>
        <w:rPr>
          <w:rFonts w:ascii="Arial" w:eastAsia="Arial" w:hAnsi="Arial" w:cs="Arial"/>
          <w:color w:val="000000"/>
          <w:sz w:val="32"/>
          <w:szCs w:val="32"/>
        </w:rPr>
      </w:pPr>
      <w:r>
        <w:rPr>
          <w:rFonts w:ascii="Arial" w:eastAsia="Arial" w:hAnsi="Arial" w:cs="Arial"/>
          <w:b/>
          <w:color w:val="000000"/>
          <w:sz w:val="26"/>
          <w:szCs w:val="26"/>
        </w:rPr>
        <w:t>TERCERO. DETERMINACIÓN EN PRIMERA INSTANCIA.</w:t>
      </w:r>
    </w:p>
    <w:p w14:paraId="163FCE81" w14:textId="77777777" w:rsidR="00896DFE" w:rsidRDefault="00293DAF">
      <w:pPr>
        <w:numPr>
          <w:ilvl w:val="0"/>
          <w:numId w:val="1"/>
        </w:numPr>
        <w:pBdr>
          <w:top w:val="nil"/>
          <w:left w:val="nil"/>
          <w:bottom w:val="nil"/>
          <w:right w:val="nil"/>
          <w:between w:val="nil"/>
        </w:pBdr>
        <w:spacing w:line="360" w:lineRule="auto"/>
        <w:ind w:left="0" w:firstLine="927"/>
        <w:jc w:val="both"/>
        <w:rPr>
          <w:rFonts w:ascii="Arial" w:eastAsia="Arial" w:hAnsi="Arial" w:cs="Arial"/>
          <w:color w:val="000000"/>
          <w:sz w:val="26"/>
          <w:szCs w:val="26"/>
        </w:rPr>
      </w:pPr>
      <w:r>
        <w:rPr>
          <w:rFonts w:ascii="Arial" w:eastAsia="Arial" w:hAnsi="Arial" w:cs="Arial"/>
          <w:color w:val="000000"/>
          <w:sz w:val="26"/>
          <w:szCs w:val="26"/>
        </w:rPr>
        <w:t xml:space="preserve">Por acuerdo de diecinueve de abril de dos mil veintitrés, la Titular de la entonces Quinta Sala Unitaria, desechó por improcedente la demanda de nulidad, en virtud que las constancias que obran en el expediente no son susceptibles de ser combatidos y carecen de </w:t>
      </w:r>
      <w:proofErr w:type="spellStart"/>
      <w:r>
        <w:rPr>
          <w:rFonts w:ascii="Arial" w:eastAsia="Arial" w:hAnsi="Arial" w:cs="Arial"/>
          <w:color w:val="000000"/>
          <w:sz w:val="26"/>
          <w:szCs w:val="26"/>
        </w:rPr>
        <w:t>definitividad</w:t>
      </w:r>
      <w:proofErr w:type="spellEnd"/>
      <w:r>
        <w:rPr>
          <w:rFonts w:ascii="Arial" w:eastAsia="Arial" w:hAnsi="Arial" w:cs="Arial"/>
          <w:color w:val="000000"/>
          <w:sz w:val="26"/>
          <w:szCs w:val="26"/>
        </w:rPr>
        <w:t xml:space="preserve"> en un juicio de nulidad. Con fundamento en los artículos 158</w:t>
      </w:r>
      <w:r>
        <w:rPr>
          <w:rFonts w:ascii="Arial" w:eastAsia="Arial" w:hAnsi="Arial" w:cs="Arial"/>
          <w:color w:val="000000"/>
          <w:sz w:val="26"/>
          <w:szCs w:val="26"/>
          <w:vertAlign w:val="superscript"/>
        </w:rPr>
        <w:footnoteReference w:id="3"/>
      </w:r>
      <w:r>
        <w:rPr>
          <w:rFonts w:ascii="Arial" w:eastAsia="Arial" w:hAnsi="Arial" w:cs="Arial"/>
          <w:color w:val="000000"/>
          <w:sz w:val="26"/>
          <w:szCs w:val="26"/>
        </w:rPr>
        <w:t>, 161 fracción X</w:t>
      </w:r>
      <w:r>
        <w:rPr>
          <w:rFonts w:ascii="Arial" w:eastAsia="Arial" w:hAnsi="Arial" w:cs="Arial"/>
          <w:color w:val="000000"/>
          <w:sz w:val="26"/>
          <w:szCs w:val="26"/>
          <w:vertAlign w:val="superscript"/>
        </w:rPr>
        <w:footnoteReference w:id="4"/>
      </w:r>
      <w:r>
        <w:rPr>
          <w:rFonts w:ascii="Arial" w:eastAsia="Arial" w:hAnsi="Arial" w:cs="Arial"/>
          <w:color w:val="000000"/>
          <w:sz w:val="26"/>
          <w:szCs w:val="26"/>
        </w:rPr>
        <w:t xml:space="preserve"> y 182 fracción I</w:t>
      </w:r>
      <w:r>
        <w:rPr>
          <w:rFonts w:ascii="Arial" w:eastAsia="Arial" w:hAnsi="Arial" w:cs="Arial"/>
          <w:color w:val="000000"/>
          <w:sz w:val="26"/>
          <w:szCs w:val="26"/>
          <w:vertAlign w:val="superscript"/>
        </w:rPr>
        <w:footnoteReference w:id="5"/>
      </w:r>
      <w:r>
        <w:rPr>
          <w:rFonts w:ascii="Arial" w:eastAsia="Arial" w:hAnsi="Arial" w:cs="Arial"/>
          <w:color w:val="000000"/>
          <w:sz w:val="26"/>
          <w:szCs w:val="26"/>
        </w:rPr>
        <w:t xml:space="preserve"> de la Ley de Procedimiento y Justicia Administrativa para el Estado de Oaxaca, mismo que le fue notificado al promovente el veintiséis de abril de dos mil veintitrés. - - - - - - - - - - - - - - - - - - - - - - - - - - - - - - - - - - - - - - - - - - - </w:t>
      </w:r>
    </w:p>
    <w:p w14:paraId="28E1E5E9" w14:textId="77777777" w:rsidR="00896DFE" w:rsidRDefault="00293DAF">
      <w:pPr>
        <w:spacing w:line="360" w:lineRule="auto"/>
        <w:ind w:firstLine="708"/>
        <w:jc w:val="both"/>
        <w:rPr>
          <w:rFonts w:ascii="Arial" w:eastAsia="Arial" w:hAnsi="Arial" w:cs="Arial"/>
          <w:b/>
          <w:sz w:val="26"/>
          <w:szCs w:val="26"/>
        </w:rPr>
      </w:pPr>
      <w:r>
        <w:rPr>
          <w:rFonts w:ascii="Arial" w:eastAsia="Arial" w:hAnsi="Arial" w:cs="Arial"/>
          <w:b/>
          <w:sz w:val="26"/>
          <w:szCs w:val="26"/>
        </w:rPr>
        <w:t>CUARTO. AGRAVIOS.</w:t>
      </w:r>
    </w:p>
    <w:p w14:paraId="7D3DD436" w14:textId="77777777" w:rsidR="00896DFE" w:rsidRDefault="00293DAF">
      <w:pPr>
        <w:spacing w:line="360" w:lineRule="auto"/>
        <w:ind w:firstLine="708"/>
        <w:jc w:val="both"/>
        <w:rPr>
          <w:rFonts w:ascii="Arial" w:eastAsia="Arial" w:hAnsi="Arial" w:cs="Arial"/>
          <w:sz w:val="32"/>
          <w:szCs w:val="32"/>
        </w:rPr>
      </w:pPr>
      <w:r>
        <w:rPr>
          <w:rFonts w:ascii="Arial" w:eastAsia="Arial" w:hAnsi="Arial" w:cs="Arial"/>
          <w:sz w:val="26"/>
          <w:szCs w:val="26"/>
        </w:rPr>
        <w:t xml:space="preserve">6.  Los agravios hechos valer se encuentran expuestos en el escrito respectivo del recurrente, por lo que no existe necesidad de transcribirlos al no transgredírsele derecho alguno, como tampoco se vulnera disposición expresa que imponga tal obligación. </w:t>
      </w:r>
      <w:r>
        <w:rPr>
          <w:rFonts w:ascii="Arial" w:eastAsia="Arial" w:hAnsi="Arial" w:cs="Arial"/>
          <w:color w:val="000000"/>
          <w:sz w:val="26"/>
          <w:szCs w:val="26"/>
        </w:rPr>
        <w:t xml:space="preserve">Se invoca en apoyo, la Tesis con registro 254280, publicada en la Gaceta del Semanario Judicial de la Federación, Volumen 81, Sexta Parte, Séptima Época, pagina 23, bajo el rubro </w:t>
      </w:r>
      <w:r>
        <w:rPr>
          <w:rFonts w:ascii="Arial" w:eastAsia="Arial" w:hAnsi="Arial" w:cs="Arial"/>
          <w:b/>
          <w:i/>
          <w:color w:val="000000"/>
          <w:sz w:val="20"/>
          <w:szCs w:val="20"/>
        </w:rPr>
        <w:t>“CONCEPTOS DE VIOLACIÓN. NO ES OBLIGATORIO TRANSCRIBIRLOS EN LA SENTENCIA</w:t>
      </w:r>
      <w:r>
        <w:rPr>
          <w:rFonts w:ascii="Arial" w:eastAsia="Arial" w:hAnsi="Arial" w:cs="Arial"/>
          <w:b/>
          <w:i/>
          <w:color w:val="000000"/>
          <w:sz w:val="20"/>
          <w:szCs w:val="20"/>
          <w:vertAlign w:val="superscript"/>
        </w:rPr>
        <w:footnoteReference w:id="6"/>
      </w:r>
      <w:r>
        <w:rPr>
          <w:rFonts w:ascii="Arial" w:eastAsia="Arial" w:hAnsi="Arial" w:cs="Arial"/>
          <w:b/>
          <w:i/>
          <w:color w:val="000000"/>
          <w:sz w:val="20"/>
          <w:szCs w:val="20"/>
        </w:rPr>
        <w:t xml:space="preserve">”. - - - - - - - - - -  - - - - - - - - - - - - - - - - - - - - - - - - - - - - - - - - - - - - - - - - - - - - - - - - - - </w:t>
      </w:r>
    </w:p>
    <w:p w14:paraId="48032124" w14:textId="77777777" w:rsidR="00896DFE" w:rsidRDefault="00293DAF">
      <w:pPr>
        <w:spacing w:line="360" w:lineRule="auto"/>
        <w:ind w:firstLine="567"/>
        <w:jc w:val="both"/>
        <w:rPr>
          <w:rFonts w:ascii="Arial" w:eastAsia="Arial" w:hAnsi="Arial" w:cs="Arial"/>
          <w:sz w:val="26"/>
          <w:szCs w:val="26"/>
        </w:rPr>
      </w:pPr>
      <w:r>
        <w:rPr>
          <w:rFonts w:ascii="Arial" w:eastAsia="Arial" w:hAnsi="Arial" w:cs="Arial"/>
          <w:sz w:val="26"/>
          <w:szCs w:val="26"/>
        </w:rPr>
        <w:t xml:space="preserve">7. Aun cuando no es necesaria la transcripción íntegra de los agravios formulados; es importante observar que, en esencia, el recurrente expone dos agravios, refiriendo en su parte sustantiva, lo siguiente: - - - - - - - - - - - - </w:t>
      </w:r>
    </w:p>
    <w:p w14:paraId="3B1B2FEE" w14:textId="77777777" w:rsidR="00896DFE" w:rsidRDefault="00293DAF">
      <w:pPr>
        <w:spacing w:line="360" w:lineRule="auto"/>
        <w:ind w:firstLine="567"/>
        <w:jc w:val="both"/>
        <w:rPr>
          <w:rFonts w:ascii="Arial" w:eastAsia="Arial" w:hAnsi="Arial" w:cs="Arial"/>
          <w:sz w:val="26"/>
          <w:szCs w:val="26"/>
        </w:rPr>
      </w:pPr>
      <w:r>
        <w:rPr>
          <w:rFonts w:ascii="Arial" w:eastAsia="Arial" w:hAnsi="Arial" w:cs="Arial"/>
          <w:sz w:val="26"/>
          <w:szCs w:val="26"/>
        </w:rPr>
        <w:t xml:space="preserve">a) </w:t>
      </w:r>
      <w:r>
        <w:rPr>
          <w:rFonts w:ascii="Arial" w:eastAsia="Arial" w:hAnsi="Arial" w:cs="Arial"/>
          <w:b/>
          <w:sz w:val="26"/>
          <w:szCs w:val="26"/>
        </w:rPr>
        <w:t>En el primer agravio:</w:t>
      </w:r>
      <w:r>
        <w:rPr>
          <w:rFonts w:ascii="Arial" w:eastAsia="Arial" w:hAnsi="Arial" w:cs="Arial"/>
          <w:sz w:val="26"/>
          <w:szCs w:val="26"/>
        </w:rPr>
        <w:t xml:space="preserve"> </w:t>
      </w:r>
    </w:p>
    <w:p w14:paraId="1D0A8CBD" w14:textId="77777777" w:rsidR="00896DFE" w:rsidRDefault="00293DAF">
      <w:pPr>
        <w:numPr>
          <w:ilvl w:val="0"/>
          <w:numId w:val="3"/>
        </w:numPr>
        <w:pBdr>
          <w:top w:val="nil"/>
          <w:left w:val="nil"/>
          <w:bottom w:val="nil"/>
          <w:right w:val="nil"/>
          <w:between w:val="nil"/>
        </w:pBdr>
        <w:spacing w:line="360" w:lineRule="auto"/>
        <w:ind w:left="142" w:hanging="142"/>
        <w:jc w:val="both"/>
        <w:rPr>
          <w:rFonts w:ascii="Arial" w:eastAsia="Arial" w:hAnsi="Arial" w:cs="Arial"/>
          <w:color w:val="000000"/>
          <w:sz w:val="26"/>
          <w:szCs w:val="26"/>
        </w:rPr>
      </w:pPr>
      <w:r>
        <w:rPr>
          <w:rFonts w:ascii="Arial" w:eastAsia="Arial" w:hAnsi="Arial" w:cs="Arial"/>
          <w:color w:val="000000"/>
          <w:sz w:val="26"/>
          <w:szCs w:val="26"/>
        </w:rPr>
        <w:t xml:space="preserve"> Manifiesta que es ilegal que la Quinta Sala Unitaria determinara desechar la demanda, toda vez que es un Organismo Descentralizado de la Administración Pública Paraestatal, por ende, le es aplicable los artículos 4 </w:t>
      </w:r>
      <w:r>
        <w:rPr>
          <w:rFonts w:ascii="Arial" w:eastAsia="Arial" w:hAnsi="Arial" w:cs="Arial"/>
          <w:color w:val="000000"/>
          <w:sz w:val="26"/>
          <w:szCs w:val="26"/>
        </w:rPr>
        <w:lastRenderedPageBreak/>
        <w:t>del Código Federal de Procedimientos Civiles</w:t>
      </w:r>
      <w:r>
        <w:rPr>
          <w:rFonts w:ascii="Arial" w:eastAsia="Arial" w:hAnsi="Arial" w:cs="Arial"/>
          <w:color w:val="000000"/>
          <w:sz w:val="26"/>
          <w:szCs w:val="26"/>
          <w:vertAlign w:val="superscript"/>
        </w:rPr>
        <w:footnoteReference w:id="7"/>
      </w:r>
      <w:r>
        <w:rPr>
          <w:rFonts w:ascii="Arial" w:eastAsia="Arial" w:hAnsi="Arial" w:cs="Arial"/>
          <w:color w:val="000000"/>
          <w:sz w:val="26"/>
          <w:szCs w:val="26"/>
        </w:rPr>
        <w:t xml:space="preserve"> y 5 de la Ley de Entidades Paraestatales del Estado de Oaxaca</w:t>
      </w:r>
      <w:r>
        <w:rPr>
          <w:rFonts w:ascii="Arial" w:eastAsia="Arial" w:hAnsi="Arial" w:cs="Arial"/>
          <w:color w:val="000000"/>
          <w:sz w:val="26"/>
          <w:szCs w:val="26"/>
          <w:vertAlign w:val="superscript"/>
        </w:rPr>
        <w:footnoteReference w:id="8"/>
      </w:r>
      <w:r>
        <w:rPr>
          <w:rFonts w:ascii="Arial" w:eastAsia="Arial" w:hAnsi="Arial" w:cs="Arial"/>
          <w:color w:val="000000"/>
          <w:sz w:val="26"/>
          <w:szCs w:val="26"/>
        </w:rPr>
        <w:t xml:space="preserve">, puesto que sus bienes son patrimonio del Estado, y por tanto inembargables. - - - - - - - - - - - - - - - - - - - - - - - - - - - </w:t>
      </w:r>
    </w:p>
    <w:p w14:paraId="38C5E8E1" w14:textId="77777777" w:rsidR="00896DFE" w:rsidRDefault="00293DAF">
      <w:pPr>
        <w:spacing w:line="360" w:lineRule="auto"/>
        <w:ind w:firstLine="567"/>
        <w:jc w:val="both"/>
        <w:rPr>
          <w:rFonts w:ascii="Arial" w:eastAsia="Arial" w:hAnsi="Arial" w:cs="Arial"/>
          <w:sz w:val="26"/>
          <w:szCs w:val="26"/>
        </w:rPr>
      </w:pPr>
      <w:r>
        <w:rPr>
          <w:rFonts w:ascii="Arial" w:eastAsia="Arial" w:hAnsi="Arial" w:cs="Arial"/>
          <w:sz w:val="26"/>
          <w:szCs w:val="26"/>
        </w:rPr>
        <w:t xml:space="preserve">b) </w:t>
      </w:r>
      <w:r>
        <w:rPr>
          <w:rFonts w:ascii="Arial" w:eastAsia="Arial" w:hAnsi="Arial" w:cs="Arial"/>
          <w:b/>
          <w:sz w:val="26"/>
          <w:szCs w:val="26"/>
        </w:rPr>
        <w:t>En el segundo agravio:</w:t>
      </w:r>
    </w:p>
    <w:p w14:paraId="1B83DEC0" w14:textId="1C996A11" w:rsidR="00896DFE" w:rsidRDefault="00293DAF">
      <w:pPr>
        <w:numPr>
          <w:ilvl w:val="0"/>
          <w:numId w:val="3"/>
        </w:numPr>
        <w:pBdr>
          <w:top w:val="nil"/>
          <w:left w:val="nil"/>
          <w:bottom w:val="nil"/>
          <w:right w:val="nil"/>
          <w:between w:val="nil"/>
        </w:pBdr>
        <w:spacing w:after="0" w:line="360" w:lineRule="auto"/>
        <w:ind w:left="284" w:hanging="284"/>
        <w:jc w:val="both"/>
        <w:rPr>
          <w:rFonts w:ascii="Arial" w:eastAsia="Arial" w:hAnsi="Arial" w:cs="Arial"/>
          <w:color w:val="000000"/>
          <w:sz w:val="24"/>
          <w:szCs w:val="24"/>
        </w:rPr>
      </w:pPr>
      <w:r>
        <w:rPr>
          <w:rFonts w:ascii="Arial" w:eastAsia="Arial" w:hAnsi="Arial" w:cs="Arial"/>
          <w:color w:val="000000"/>
          <w:sz w:val="26"/>
          <w:szCs w:val="26"/>
        </w:rPr>
        <w:t>Inicia reiterando parte de lo señalado en su primer agravio y realiza un recuento de los antecedentes en el juicio de nulidad, como es el mandamiento de ejecución</w:t>
      </w:r>
      <w:r w:rsidR="00E732F1">
        <w:rPr>
          <w:rFonts w:ascii="Arial" w:eastAsia="Arial" w:hAnsi="Arial" w:cs="Arial"/>
          <w:b/>
          <w:color w:val="000000"/>
          <w:sz w:val="26"/>
          <w:szCs w:val="26"/>
        </w:rPr>
        <w:t xml:space="preserve"> *********** </w:t>
      </w:r>
      <w:r>
        <w:rPr>
          <w:rFonts w:ascii="Arial" w:eastAsia="Arial" w:hAnsi="Arial" w:cs="Arial"/>
          <w:color w:val="000000"/>
          <w:sz w:val="26"/>
          <w:szCs w:val="26"/>
        </w:rPr>
        <w:t xml:space="preserve">de trece de febrero y del acta de requerimiento de pago del uno de marzo, ambos del año corriente, emitidos por el Coordinador de Cobro Coactivo de la Dirección de Ingresos y Recaudación de la Secretaría de Finanzas del Poder Ejecutivo del Estado de Oaxaca. - - - - - - - - - - - - - - - - - - - - - - - - - - - - - - - - - - - - - - - - - - - - - </w:t>
      </w:r>
    </w:p>
    <w:p w14:paraId="2D052B84" w14:textId="77777777" w:rsidR="00896DFE" w:rsidRDefault="00293DAF">
      <w:pPr>
        <w:numPr>
          <w:ilvl w:val="0"/>
          <w:numId w:val="2"/>
        </w:numPr>
        <w:pBdr>
          <w:top w:val="nil"/>
          <w:left w:val="nil"/>
          <w:bottom w:val="nil"/>
          <w:right w:val="nil"/>
          <w:between w:val="nil"/>
        </w:pBdr>
        <w:spacing w:after="0" w:line="360" w:lineRule="auto"/>
        <w:ind w:left="284" w:hanging="284"/>
        <w:jc w:val="both"/>
        <w:rPr>
          <w:rFonts w:ascii="Arial" w:eastAsia="Arial" w:hAnsi="Arial" w:cs="Arial"/>
          <w:b/>
          <w:color w:val="000000"/>
          <w:sz w:val="26"/>
          <w:szCs w:val="26"/>
        </w:rPr>
      </w:pPr>
      <w:r>
        <w:rPr>
          <w:rFonts w:ascii="Arial" w:eastAsia="Arial" w:hAnsi="Arial" w:cs="Arial"/>
          <w:color w:val="000000"/>
          <w:sz w:val="26"/>
          <w:szCs w:val="26"/>
        </w:rPr>
        <w:t>Concluyendo que por las circunstancias que anteceden, los actos administrativos en contra del Mandamiento de Ejecución y acta de Requerimiento de pago, emitidos por la autoridad demandada, no ponen fin al procedimiento administrativo, al no tener la calidad de definitivos, solicitando que sea declarada procedente y admitida la demanda, siendo aplicable el artículo 133, fracción VIII</w:t>
      </w:r>
      <w:r>
        <w:rPr>
          <w:rFonts w:ascii="Arial" w:eastAsia="Arial" w:hAnsi="Arial" w:cs="Arial"/>
          <w:color w:val="000000"/>
          <w:sz w:val="26"/>
          <w:szCs w:val="26"/>
          <w:vertAlign w:val="superscript"/>
        </w:rPr>
        <w:footnoteReference w:id="9"/>
      </w:r>
      <w:r>
        <w:rPr>
          <w:rFonts w:ascii="Arial" w:eastAsia="Arial" w:hAnsi="Arial" w:cs="Arial"/>
          <w:color w:val="000000"/>
          <w:sz w:val="26"/>
          <w:szCs w:val="26"/>
        </w:rPr>
        <w:t xml:space="preserve"> de la Ley de Procedimiento y Justicia Administrativa para el Estado de Oaxaca. - - - - - - - - - - - - - - - - - - - - - - - - </w:t>
      </w:r>
    </w:p>
    <w:p w14:paraId="3A633089" w14:textId="77777777" w:rsidR="00896DFE" w:rsidRDefault="00896DFE">
      <w:pPr>
        <w:pBdr>
          <w:top w:val="nil"/>
          <w:left w:val="nil"/>
          <w:bottom w:val="nil"/>
          <w:right w:val="nil"/>
          <w:between w:val="nil"/>
        </w:pBdr>
        <w:spacing w:after="0" w:line="360" w:lineRule="auto"/>
        <w:ind w:left="709"/>
        <w:jc w:val="both"/>
        <w:rPr>
          <w:rFonts w:ascii="Arial" w:eastAsia="Arial" w:hAnsi="Arial" w:cs="Arial"/>
          <w:color w:val="000000"/>
          <w:sz w:val="26"/>
          <w:szCs w:val="26"/>
        </w:rPr>
      </w:pPr>
    </w:p>
    <w:p w14:paraId="0A49B97C" w14:textId="77777777" w:rsidR="00896DFE" w:rsidRDefault="00293DAF">
      <w:pPr>
        <w:pBdr>
          <w:top w:val="nil"/>
          <w:left w:val="nil"/>
          <w:bottom w:val="nil"/>
          <w:right w:val="nil"/>
          <w:between w:val="nil"/>
        </w:pBdr>
        <w:spacing w:line="360" w:lineRule="auto"/>
        <w:ind w:left="709"/>
        <w:jc w:val="both"/>
        <w:rPr>
          <w:rFonts w:ascii="Arial" w:eastAsia="Arial" w:hAnsi="Arial" w:cs="Arial"/>
          <w:b/>
          <w:color w:val="000000"/>
          <w:sz w:val="26"/>
          <w:szCs w:val="26"/>
        </w:rPr>
      </w:pPr>
      <w:r>
        <w:rPr>
          <w:rFonts w:ascii="Arial" w:eastAsia="Arial" w:hAnsi="Arial" w:cs="Arial"/>
          <w:b/>
          <w:color w:val="000000"/>
          <w:sz w:val="26"/>
          <w:szCs w:val="26"/>
        </w:rPr>
        <w:t>QUINTO. CONTESTACIÓN DE AGRAVIOS</w:t>
      </w:r>
    </w:p>
    <w:p w14:paraId="495D88FD" w14:textId="77777777" w:rsidR="00896DFE" w:rsidRDefault="00293DAF">
      <w:pPr>
        <w:spacing w:line="360" w:lineRule="auto"/>
        <w:ind w:firstLine="567"/>
        <w:jc w:val="both"/>
        <w:rPr>
          <w:rFonts w:ascii="Arial" w:eastAsia="Arial" w:hAnsi="Arial" w:cs="Arial"/>
          <w:sz w:val="26"/>
          <w:szCs w:val="26"/>
        </w:rPr>
      </w:pPr>
      <w:r>
        <w:rPr>
          <w:rFonts w:ascii="Arial" w:eastAsia="Arial" w:hAnsi="Arial" w:cs="Arial"/>
          <w:sz w:val="26"/>
          <w:szCs w:val="26"/>
        </w:rPr>
        <w:t xml:space="preserve">8. Respecto al </w:t>
      </w:r>
      <w:r>
        <w:rPr>
          <w:rFonts w:ascii="Arial" w:eastAsia="Arial" w:hAnsi="Arial" w:cs="Arial"/>
          <w:b/>
          <w:sz w:val="26"/>
          <w:szCs w:val="26"/>
        </w:rPr>
        <w:t>primer agravio</w:t>
      </w:r>
      <w:r>
        <w:rPr>
          <w:rFonts w:ascii="Arial" w:eastAsia="Arial" w:hAnsi="Arial" w:cs="Arial"/>
          <w:sz w:val="26"/>
          <w:szCs w:val="26"/>
        </w:rPr>
        <w:t>, es FUNDADO lo argumentado por el recurrente. Esto, en virtud que efectivamente los “Servicios de Salud de Oaxaca”, conforme a la Ley Estatal de Salud, es un Organismo Público Descentralizado de la Administración Pública Estatal.</w:t>
      </w:r>
      <w:r>
        <w:rPr>
          <w:rFonts w:ascii="Arial" w:eastAsia="Arial" w:hAnsi="Arial" w:cs="Arial"/>
          <w:strike/>
          <w:sz w:val="26"/>
          <w:szCs w:val="26"/>
        </w:rPr>
        <w:t xml:space="preserve"> </w:t>
      </w:r>
      <w:r>
        <w:rPr>
          <w:rFonts w:ascii="Arial" w:eastAsia="Arial" w:hAnsi="Arial" w:cs="Arial"/>
          <w:sz w:val="26"/>
          <w:szCs w:val="26"/>
        </w:rPr>
        <w:t xml:space="preserve"> - - - - - - - - - - - - -  - - - </w:t>
      </w:r>
    </w:p>
    <w:p w14:paraId="245D1B91" w14:textId="1C970D37" w:rsidR="00896DFE" w:rsidRDefault="00293DAF">
      <w:pPr>
        <w:spacing w:line="360" w:lineRule="auto"/>
        <w:jc w:val="both"/>
        <w:rPr>
          <w:rFonts w:ascii="Arial" w:eastAsia="Arial" w:hAnsi="Arial" w:cs="Arial"/>
          <w:sz w:val="26"/>
          <w:szCs w:val="26"/>
        </w:rPr>
      </w:pPr>
      <w:r>
        <w:rPr>
          <w:rFonts w:ascii="Arial" w:eastAsia="Arial" w:hAnsi="Arial" w:cs="Arial"/>
          <w:sz w:val="18"/>
          <w:szCs w:val="18"/>
        </w:rPr>
        <w:tab/>
      </w:r>
      <w:r>
        <w:rPr>
          <w:rFonts w:ascii="Arial" w:eastAsia="Arial" w:hAnsi="Arial" w:cs="Arial"/>
          <w:sz w:val="26"/>
          <w:szCs w:val="26"/>
        </w:rPr>
        <w:t>9</w:t>
      </w:r>
      <w:r>
        <w:rPr>
          <w:rFonts w:ascii="Arial" w:eastAsia="Arial" w:hAnsi="Arial" w:cs="Arial"/>
          <w:sz w:val="18"/>
          <w:szCs w:val="18"/>
        </w:rPr>
        <w:t xml:space="preserve">. </w:t>
      </w:r>
      <w:r>
        <w:rPr>
          <w:rFonts w:ascii="Arial" w:eastAsia="Arial" w:hAnsi="Arial" w:cs="Arial"/>
          <w:sz w:val="26"/>
          <w:szCs w:val="26"/>
        </w:rPr>
        <w:t xml:space="preserve">Por ende, al ser un Organismo Público Descentralizado, le es aplicable el artículo 5 de la Ley de Entidades Paraestatales del Estado de Oaxaca; sin que sea aplicable el artículo 4 del Código Federal de </w:t>
      </w:r>
      <w:r>
        <w:rPr>
          <w:rFonts w:ascii="Arial" w:eastAsia="Arial" w:hAnsi="Arial" w:cs="Arial"/>
          <w:sz w:val="26"/>
          <w:szCs w:val="26"/>
        </w:rPr>
        <w:lastRenderedPageBreak/>
        <w:t xml:space="preserve">Procedimientos Civiles, toda vez que se trata de un Organismo Público </w:t>
      </w:r>
      <w:r w:rsidR="00890477">
        <w:rPr>
          <w:rFonts w:ascii="Times New Roman" w:eastAsia="Times New Roman" w:hAnsi="Times New Roman" w:cs="Times New Roman"/>
          <w:noProof/>
          <w:color w:val="000000"/>
          <w:sz w:val="24"/>
          <w:szCs w:val="24"/>
        </w:rPr>
        <w:drawing>
          <wp:anchor distT="0" distB="0" distL="114300" distR="114300" simplePos="0" relativeHeight="251667456" behindDoc="1" locked="0" layoutInCell="1" allowOverlap="1" wp14:anchorId="12412747" wp14:editId="1B61FC30">
            <wp:simplePos x="0" y="0"/>
            <wp:positionH relativeFrom="leftMargin">
              <wp:posOffset>6463665</wp:posOffset>
            </wp:positionH>
            <wp:positionV relativeFrom="paragraph">
              <wp:posOffset>636905</wp:posOffset>
            </wp:positionV>
            <wp:extent cx="1024255" cy="1261745"/>
            <wp:effectExtent l="0" t="0" r="4445" b="0"/>
            <wp:wrapNone/>
            <wp:docPr id="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24255" cy="1261745"/>
                    </a:xfrm>
                    <a:prstGeom prst="rect">
                      <a:avLst/>
                    </a:prstGeom>
                    <a:noFill/>
                  </pic:spPr>
                </pic:pic>
              </a:graphicData>
            </a:graphic>
          </wp:anchor>
        </w:drawing>
      </w:r>
      <w:r>
        <w:rPr>
          <w:rFonts w:ascii="Arial" w:eastAsia="Arial" w:hAnsi="Arial" w:cs="Arial"/>
          <w:sz w:val="26"/>
          <w:szCs w:val="26"/>
        </w:rPr>
        <w:t xml:space="preserve">Descentralizado de la Administración Pública Estatal más no federal. </w:t>
      </w:r>
      <w:r>
        <w:rPr>
          <w:rFonts w:ascii="Arial" w:eastAsia="Arial" w:hAnsi="Arial" w:cs="Arial"/>
          <w:strike/>
          <w:sz w:val="26"/>
          <w:szCs w:val="26"/>
        </w:rPr>
        <w:t>-</w:t>
      </w:r>
      <w:r>
        <w:rPr>
          <w:rFonts w:ascii="Arial" w:eastAsia="Arial" w:hAnsi="Arial" w:cs="Arial"/>
          <w:sz w:val="26"/>
          <w:szCs w:val="26"/>
        </w:rPr>
        <w:t xml:space="preserve"> - - - - - </w:t>
      </w:r>
    </w:p>
    <w:p w14:paraId="22F7525C" w14:textId="667E768E" w:rsidR="00896DFE" w:rsidRDefault="00293DAF">
      <w:pPr>
        <w:spacing w:line="360" w:lineRule="auto"/>
        <w:ind w:firstLine="567"/>
        <w:jc w:val="both"/>
        <w:rPr>
          <w:rFonts w:ascii="Arial" w:eastAsia="Arial" w:hAnsi="Arial" w:cs="Arial"/>
        </w:rPr>
      </w:pPr>
      <w:r>
        <w:rPr>
          <w:rFonts w:ascii="Arial" w:eastAsia="Arial" w:hAnsi="Arial" w:cs="Arial"/>
          <w:sz w:val="26"/>
          <w:szCs w:val="26"/>
        </w:rPr>
        <w:t xml:space="preserve">10. Respecto a su </w:t>
      </w:r>
      <w:r>
        <w:rPr>
          <w:rFonts w:ascii="Arial" w:eastAsia="Arial" w:hAnsi="Arial" w:cs="Arial"/>
          <w:b/>
          <w:sz w:val="26"/>
          <w:szCs w:val="26"/>
        </w:rPr>
        <w:t>segundo agravio</w:t>
      </w:r>
      <w:r>
        <w:rPr>
          <w:rFonts w:ascii="Arial" w:eastAsia="Arial" w:hAnsi="Arial" w:cs="Arial"/>
          <w:sz w:val="26"/>
          <w:szCs w:val="26"/>
        </w:rPr>
        <w:t xml:space="preserve">, debe decírsele que este deviene </w:t>
      </w:r>
      <w:r>
        <w:rPr>
          <w:rFonts w:ascii="Arial" w:eastAsia="Arial" w:hAnsi="Arial" w:cs="Arial"/>
          <w:b/>
          <w:sz w:val="26"/>
          <w:szCs w:val="26"/>
        </w:rPr>
        <w:t xml:space="preserve">fundado. </w:t>
      </w:r>
      <w:r>
        <w:rPr>
          <w:rFonts w:ascii="Arial" w:eastAsia="Arial" w:hAnsi="Arial" w:cs="Arial"/>
          <w:sz w:val="26"/>
          <w:szCs w:val="26"/>
        </w:rPr>
        <w:t>Contrario a lo establecido en el acuerdo impugnado, el mandamiento de ejecución, notificación, requerimiento de pago y embargo, en el presente caso, sí es factible de ser impugnable en el juicio contencioso administrativo, toda vez que se actualiza la excepción prevista en el inciso d)</w:t>
      </w:r>
      <w:r>
        <w:rPr>
          <w:rFonts w:ascii="Arial" w:eastAsia="Arial" w:hAnsi="Arial" w:cs="Arial"/>
          <w:sz w:val="26"/>
          <w:szCs w:val="26"/>
          <w:vertAlign w:val="superscript"/>
        </w:rPr>
        <w:footnoteReference w:id="10"/>
      </w:r>
      <w:r>
        <w:rPr>
          <w:rFonts w:ascii="Arial" w:eastAsia="Arial" w:hAnsi="Arial" w:cs="Arial"/>
          <w:sz w:val="26"/>
          <w:szCs w:val="26"/>
        </w:rPr>
        <w:t xml:space="preserve"> de la fracción VIII del citado artículo 133 de la Ley de Procedimiento y Justicia Administrativa para el Estado de Oaxaca. - - - - - - - - - - - - - -- - - - - - </w:t>
      </w:r>
    </w:p>
    <w:p w14:paraId="051F4E3F" w14:textId="77777777" w:rsidR="00896DFE" w:rsidRDefault="00293DAF">
      <w:pPr>
        <w:spacing w:line="360" w:lineRule="auto"/>
        <w:ind w:right="48" w:firstLine="567"/>
        <w:jc w:val="both"/>
        <w:rPr>
          <w:rFonts w:ascii="Arial" w:eastAsia="Arial" w:hAnsi="Arial" w:cs="Arial"/>
          <w:sz w:val="26"/>
          <w:szCs w:val="26"/>
        </w:rPr>
      </w:pPr>
      <w:r>
        <w:rPr>
          <w:rFonts w:ascii="Arial" w:eastAsia="Arial" w:hAnsi="Arial" w:cs="Arial"/>
          <w:sz w:val="26"/>
          <w:szCs w:val="26"/>
        </w:rPr>
        <w:t xml:space="preserve">11. En efecto, la demanda de juicio de nulidad promovida por Servicios de Salud de Oaxaca, se encuentra dentro de la excepción prevista por la porción normativa citada en el párrafo inmediato anterior, toda vez que, al tratarse de un Organismo Público Descentralizado, sus bienes son inembargables, por tanto, el supuesto que prevé dicha disposición normativa </w:t>
      </w:r>
      <w:r>
        <w:rPr>
          <w:rFonts w:ascii="Arial" w:eastAsia="Arial" w:hAnsi="Arial" w:cs="Arial"/>
        </w:rPr>
        <w:t xml:space="preserve">-“… </w:t>
      </w:r>
      <w:r>
        <w:rPr>
          <w:rFonts w:ascii="Arial" w:eastAsia="Arial" w:hAnsi="Arial" w:cs="Arial"/>
          <w:i/>
        </w:rPr>
        <w:t>En este caso, la oposición no se podrá hacer valer, sino contra la resolución que apruebe el remate</w:t>
      </w:r>
      <w:r>
        <w:rPr>
          <w:rFonts w:ascii="Arial" w:eastAsia="Arial" w:hAnsi="Arial" w:cs="Arial"/>
        </w:rPr>
        <w:t>…”-</w:t>
      </w:r>
      <w:r>
        <w:rPr>
          <w:rFonts w:ascii="Arial" w:eastAsia="Arial" w:hAnsi="Arial" w:cs="Arial"/>
          <w:sz w:val="26"/>
          <w:szCs w:val="26"/>
        </w:rPr>
        <w:t xml:space="preserve"> nunca podrá actualizarse como requisito para la procedencia del juicio de nulidad.- - - - - - - - - - - - - - - - - - - - - - - - - - - - - - -  </w:t>
      </w:r>
    </w:p>
    <w:p w14:paraId="1D096A8E" w14:textId="77777777" w:rsidR="00896DFE" w:rsidRDefault="00293DAF">
      <w:pPr>
        <w:spacing w:line="360" w:lineRule="auto"/>
        <w:ind w:right="48" w:firstLine="567"/>
        <w:jc w:val="both"/>
        <w:rPr>
          <w:rFonts w:ascii="Arial" w:eastAsia="Arial" w:hAnsi="Arial" w:cs="Arial"/>
          <w:sz w:val="26"/>
          <w:szCs w:val="26"/>
        </w:rPr>
      </w:pPr>
      <w:r>
        <w:rPr>
          <w:rFonts w:ascii="Arial" w:eastAsia="Arial" w:hAnsi="Arial" w:cs="Arial"/>
          <w:sz w:val="26"/>
          <w:szCs w:val="26"/>
        </w:rPr>
        <w:t>12. A mayor abundamiento, la Ley de Bienes del Estado de Oaxaca</w:t>
      </w:r>
      <w:r>
        <w:rPr>
          <w:rFonts w:ascii="Arial" w:eastAsia="Arial" w:hAnsi="Arial" w:cs="Arial"/>
          <w:sz w:val="26"/>
          <w:szCs w:val="26"/>
          <w:vertAlign w:val="superscript"/>
        </w:rPr>
        <w:footnoteReference w:id="11"/>
      </w:r>
      <w:r>
        <w:rPr>
          <w:rFonts w:ascii="Arial" w:eastAsia="Arial" w:hAnsi="Arial" w:cs="Arial"/>
          <w:sz w:val="26"/>
          <w:szCs w:val="26"/>
        </w:rPr>
        <w:t xml:space="preserve"> en su artículo Sexto, establece que todos los bienes muebles que constituyan el patrimonio del Estado, aun siendo entes </w:t>
      </w:r>
      <w:proofErr w:type="spellStart"/>
      <w:r>
        <w:rPr>
          <w:rFonts w:ascii="Arial" w:eastAsia="Arial" w:hAnsi="Arial" w:cs="Arial"/>
          <w:sz w:val="26"/>
          <w:szCs w:val="26"/>
        </w:rPr>
        <w:t>Paraestales</w:t>
      </w:r>
      <w:proofErr w:type="spellEnd"/>
      <w:r>
        <w:rPr>
          <w:rFonts w:ascii="Arial" w:eastAsia="Arial" w:hAnsi="Arial" w:cs="Arial"/>
          <w:sz w:val="26"/>
          <w:szCs w:val="26"/>
        </w:rPr>
        <w:t xml:space="preserve">, son inembargables.- </w:t>
      </w:r>
    </w:p>
    <w:p w14:paraId="0D498EC0" w14:textId="081C7C2C" w:rsidR="00896DFE" w:rsidRDefault="00293DAF">
      <w:pPr>
        <w:spacing w:line="360" w:lineRule="auto"/>
        <w:ind w:right="48" w:firstLine="567"/>
        <w:jc w:val="both"/>
        <w:rPr>
          <w:rFonts w:ascii="Arial" w:eastAsia="Arial" w:hAnsi="Arial" w:cs="Arial"/>
          <w:sz w:val="26"/>
          <w:szCs w:val="26"/>
        </w:rPr>
      </w:pPr>
      <w:r>
        <w:rPr>
          <w:rFonts w:ascii="Arial" w:eastAsia="Arial" w:hAnsi="Arial" w:cs="Arial"/>
          <w:sz w:val="26"/>
          <w:szCs w:val="26"/>
        </w:rPr>
        <w:t>13. Esta prohibición normativa, también se contempla en la Ley de Entidades Paraestatales, en cuyo artículo 5° segundo párrafo, dispone que los bienes muebles e inmuebles de las Entidades Paraestatales son inembargables.</w:t>
      </w:r>
      <w:r>
        <w:rPr>
          <w:rFonts w:ascii="Arial" w:eastAsia="Arial" w:hAnsi="Arial" w:cs="Arial"/>
          <w:sz w:val="26"/>
          <w:szCs w:val="26"/>
          <w:vertAlign w:val="superscript"/>
        </w:rPr>
        <w:footnoteReference w:id="12"/>
      </w:r>
      <w:r>
        <w:rPr>
          <w:rFonts w:ascii="Arial" w:eastAsia="Arial" w:hAnsi="Arial" w:cs="Arial"/>
          <w:sz w:val="26"/>
          <w:szCs w:val="26"/>
        </w:rPr>
        <w:t xml:space="preserve"> - - - - - - - - - - - - - - - - - - - - - - - - - - - - - - - - - - - - - - - - - - </w:t>
      </w:r>
    </w:p>
    <w:p w14:paraId="59F601F6" w14:textId="77777777" w:rsidR="00896DFE" w:rsidRDefault="00293DAF">
      <w:pPr>
        <w:spacing w:line="360" w:lineRule="auto"/>
        <w:ind w:firstLine="567"/>
        <w:jc w:val="both"/>
        <w:rPr>
          <w:rFonts w:ascii="Arial" w:eastAsia="Arial" w:hAnsi="Arial" w:cs="Arial"/>
          <w:sz w:val="26"/>
          <w:szCs w:val="26"/>
        </w:rPr>
      </w:pPr>
      <w:r>
        <w:rPr>
          <w:rFonts w:ascii="Arial" w:eastAsia="Arial" w:hAnsi="Arial" w:cs="Arial"/>
          <w:sz w:val="26"/>
          <w:szCs w:val="26"/>
        </w:rPr>
        <w:t>14. Por tanto, aun cuando no se impugna la resolución que apruebe el remate, la regla general es inaplicable, en virtud de las consideraciones citadas en párrafos precedentes, puesto que, al tratarse de bienes inembargables, luego entonces tampoco habrá remate que realizar. - - - - - -</w:t>
      </w:r>
    </w:p>
    <w:p w14:paraId="4DB62CA2" w14:textId="56AC6C95" w:rsidR="00896DFE" w:rsidRDefault="00890477">
      <w:pPr>
        <w:spacing w:line="360" w:lineRule="auto"/>
        <w:ind w:right="48" w:firstLine="567"/>
        <w:jc w:val="both"/>
        <w:rPr>
          <w:rFonts w:ascii="Arial" w:eastAsia="Arial" w:hAnsi="Arial" w:cs="Arial"/>
          <w:sz w:val="26"/>
          <w:szCs w:val="26"/>
        </w:rPr>
      </w:pPr>
      <w:r>
        <w:rPr>
          <w:rFonts w:ascii="Times New Roman" w:eastAsia="Times New Roman" w:hAnsi="Times New Roman" w:cs="Times New Roman"/>
          <w:noProof/>
          <w:color w:val="000000"/>
          <w:sz w:val="24"/>
          <w:szCs w:val="24"/>
        </w:rPr>
        <w:lastRenderedPageBreak/>
        <w:drawing>
          <wp:anchor distT="0" distB="0" distL="114300" distR="114300" simplePos="0" relativeHeight="251669504" behindDoc="1" locked="0" layoutInCell="1" allowOverlap="1" wp14:anchorId="5DDA71E6" wp14:editId="558B8B7F">
            <wp:simplePos x="0" y="0"/>
            <wp:positionH relativeFrom="leftMargin">
              <wp:posOffset>316230</wp:posOffset>
            </wp:positionH>
            <wp:positionV relativeFrom="paragraph">
              <wp:posOffset>607695</wp:posOffset>
            </wp:positionV>
            <wp:extent cx="1024255" cy="1261745"/>
            <wp:effectExtent l="0" t="0" r="4445" b="0"/>
            <wp:wrapNone/>
            <wp:docPr id="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24255" cy="1261745"/>
                    </a:xfrm>
                    <a:prstGeom prst="rect">
                      <a:avLst/>
                    </a:prstGeom>
                    <a:noFill/>
                  </pic:spPr>
                </pic:pic>
              </a:graphicData>
            </a:graphic>
          </wp:anchor>
        </w:drawing>
      </w:r>
      <w:r w:rsidR="00293DAF">
        <w:rPr>
          <w:rFonts w:ascii="Arial" w:eastAsia="Arial" w:hAnsi="Arial" w:cs="Arial"/>
          <w:sz w:val="26"/>
          <w:szCs w:val="26"/>
        </w:rPr>
        <w:t xml:space="preserve">15. En este contexto, se actualiza el supuesto de excepción previsto en la disposición normativa examinada, es decir, se está en presencia de actos de ejecución material que son de imposible reparación, toda vez que pueden producir una afectación en alguno de los derechos fundamentales de la parte actora, y que la misma no pueda ser reparada durante el trámite de esta etapa procedimental.  - - - - - - - - - - - - - - - - - - - - - - - - - - - - - - - - - - - - - - - </w:t>
      </w:r>
    </w:p>
    <w:p w14:paraId="60DB1CC4" w14:textId="77777777" w:rsidR="00896DFE" w:rsidRDefault="00293DAF">
      <w:pPr>
        <w:spacing w:line="360" w:lineRule="auto"/>
        <w:ind w:right="48" w:firstLine="567"/>
        <w:jc w:val="both"/>
        <w:rPr>
          <w:rFonts w:ascii="Arial" w:eastAsia="Arial" w:hAnsi="Arial" w:cs="Arial"/>
          <w:sz w:val="26"/>
          <w:szCs w:val="26"/>
        </w:rPr>
      </w:pPr>
      <w:r>
        <w:rPr>
          <w:rFonts w:ascii="Arial" w:eastAsia="Arial" w:hAnsi="Arial" w:cs="Arial"/>
          <w:sz w:val="26"/>
          <w:szCs w:val="26"/>
        </w:rPr>
        <w:t xml:space="preserve">16. Es decir, al tratarse de un mandamiento de ejecución, notificación, requerimiento de pago y embargo, al no concretarse esto último, ello no impide que pueda analizarse la legalidad del acto administrativo, sin que para ello requiera necesariamente que se materialice el embargo, puesto que como se ha señalado, los bienes de los organismos públicos descentralizados son inembargables. - - - - - - - - - - - - - - - - - - - - - - - - - - - - </w:t>
      </w:r>
    </w:p>
    <w:p w14:paraId="50EB63D8" w14:textId="77777777" w:rsidR="00896DFE" w:rsidRDefault="00293DAF">
      <w:pPr>
        <w:spacing w:line="360" w:lineRule="auto"/>
        <w:ind w:right="48" w:firstLine="567"/>
        <w:jc w:val="both"/>
        <w:rPr>
          <w:rFonts w:ascii="Arial" w:eastAsia="Arial" w:hAnsi="Arial" w:cs="Arial"/>
          <w:sz w:val="26"/>
          <w:szCs w:val="26"/>
        </w:rPr>
      </w:pPr>
      <w:r>
        <w:rPr>
          <w:rFonts w:ascii="Arial" w:eastAsia="Arial" w:hAnsi="Arial" w:cs="Arial"/>
          <w:color w:val="FF0000"/>
          <w:sz w:val="26"/>
          <w:szCs w:val="26"/>
        </w:rPr>
        <w:t xml:space="preserve"> </w:t>
      </w:r>
      <w:r>
        <w:rPr>
          <w:rFonts w:ascii="Arial" w:eastAsia="Arial" w:hAnsi="Arial" w:cs="Arial"/>
          <w:sz w:val="26"/>
          <w:szCs w:val="26"/>
        </w:rPr>
        <w:t xml:space="preserve">17. Por todo lo anterior, es factible arribar a la conclusión qué contrario a lo resuelto por la entonces Quinta Sala Unitaria, es procedente el juicio de nulidad promovido en contra de los actos de ejecución descritos. - - - - - - - - </w:t>
      </w:r>
    </w:p>
    <w:p w14:paraId="71622ABC" w14:textId="078DC645" w:rsidR="00896DFE" w:rsidRDefault="00293DAF">
      <w:pPr>
        <w:spacing w:line="360" w:lineRule="auto"/>
        <w:ind w:right="48" w:firstLine="567"/>
        <w:jc w:val="both"/>
        <w:rPr>
          <w:rFonts w:ascii="Arial" w:eastAsia="Arial" w:hAnsi="Arial" w:cs="Arial"/>
          <w:sz w:val="26"/>
          <w:szCs w:val="26"/>
        </w:rPr>
      </w:pPr>
      <w:r>
        <w:rPr>
          <w:rFonts w:ascii="Arial" w:eastAsia="Arial" w:hAnsi="Arial" w:cs="Arial"/>
          <w:sz w:val="26"/>
          <w:szCs w:val="26"/>
        </w:rPr>
        <w:t xml:space="preserve">18. A mayor abundamiento, conforme al artículo 17 constitucional debe garantizar su derecho a la tutela judicial efectiva, de lo contrario lo haría nugatorio, dejándolo en estado de indefensión, por ende, sin ningún mecanismo jurisdiccional tendente a analizar la legalidad del acto administrativo </w:t>
      </w:r>
      <w:r w:rsidR="00C33B7D">
        <w:rPr>
          <w:rFonts w:ascii="Arial" w:eastAsia="Arial" w:hAnsi="Arial" w:cs="Arial"/>
          <w:sz w:val="26"/>
          <w:szCs w:val="26"/>
        </w:rPr>
        <w:t>controvertido. -</w:t>
      </w:r>
      <w:r>
        <w:rPr>
          <w:rFonts w:ascii="Arial" w:eastAsia="Arial" w:hAnsi="Arial" w:cs="Arial"/>
          <w:sz w:val="26"/>
          <w:szCs w:val="26"/>
        </w:rPr>
        <w:t xml:space="preserve"> - - - - - - - - - - - - - - - - - - - - - - - - - - - - - - - - - -</w:t>
      </w:r>
    </w:p>
    <w:p w14:paraId="5E0E6342" w14:textId="77777777" w:rsidR="00896DFE" w:rsidRDefault="00293DAF">
      <w:pPr>
        <w:spacing w:line="360" w:lineRule="auto"/>
        <w:ind w:right="48" w:firstLine="567"/>
        <w:jc w:val="both"/>
        <w:rPr>
          <w:rFonts w:ascii="Arial" w:eastAsia="Arial" w:hAnsi="Arial" w:cs="Arial"/>
          <w:b/>
          <w:sz w:val="26"/>
          <w:szCs w:val="26"/>
        </w:rPr>
      </w:pPr>
      <w:r>
        <w:rPr>
          <w:rFonts w:ascii="Arial" w:eastAsia="Arial" w:hAnsi="Arial" w:cs="Arial"/>
          <w:b/>
          <w:sz w:val="26"/>
          <w:szCs w:val="26"/>
        </w:rPr>
        <w:t>SEXTO. EFECTOS</w:t>
      </w:r>
    </w:p>
    <w:p w14:paraId="6902C9A5" w14:textId="77777777" w:rsidR="00896DFE" w:rsidRDefault="00293DAF">
      <w:pPr>
        <w:spacing w:line="360" w:lineRule="auto"/>
        <w:ind w:firstLine="567"/>
        <w:jc w:val="both"/>
        <w:rPr>
          <w:rFonts w:ascii="Arial" w:eastAsia="Arial" w:hAnsi="Arial" w:cs="Arial"/>
          <w:sz w:val="26"/>
          <w:szCs w:val="26"/>
        </w:rPr>
      </w:pPr>
      <w:r>
        <w:rPr>
          <w:rFonts w:ascii="Arial" w:eastAsia="Arial" w:hAnsi="Arial" w:cs="Arial"/>
          <w:sz w:val="26"/>
          <w:szCs w:val="26"/>
        </w:rPr>
        <w:t>19. Bajo esa consideración, esta Instancia revisora determina que fue contrario a derecho que la entonces Quinta Sala Unitaria desestimara la demanda sometida a su consideración en el caso que es materia de estudio, porque no se actualiza la causal de improcedencia prevista en el numeral 161, fracciones IX y X</w:t>
      </w:r>
      <w:r>
        <w:rPr>
          <w:rFonts w:ascii="Arial" w:eastAsia="Arial" w:hAnsi="Arial" w:cs="Arial"/>
          <w:sz w:val="26"/>
          <w:szCs w:val="26"/>
          <w:vertAlign w:val="superscript"/>
        </w:rPr>
        <w:footnoteReference w:id="13"/>
      </w:r>
      <w:r>
        <w:rPr>
          <w:rFonts w:ascii="Arial" w:eastAsia="Arial" w:hAnsi="Arial" w:cs="Arial"/>
          <w:sz w:val="26"/>
          <w:szCs w:val="26"/>
        </w:rPr>
        <w:t xml:space="preserve"> de la Ley de Procedimiento y Justicia Administrativa para el Estado de Oaxaca y, a fin de reparar el agravio ocasionado al promovente y garantizarle su derecho a la tutela judicial efectiva prevista en el artículo 17 de la Constitución Política de los Estados Unidos Mexicanos, procede a </w:t>
      </w:r>
      <w:r>
        <w:rPr>
          <w:rFonts w:ascii="Arial" w:eastAsia="Arial" w:hAnsi="Arial" w:cs="Arial"/>
          <w:b/>
          <w:sz w:val="26"/>
          <w:szCs w:val="26"/>
        </w:rPr>
        <w:t>REVOCAR</w:t>
      </w:r>
      <w:r>
        <w:rPr>
          <w:rFonts w:ascii="Arial" w:eastAsia="Arial" w:hAnsi="Arial" w:cs="Arial"/>
          <w:sz w:val="26"/>
          <w:szCs w:val="26"/>
        </w:rPr>
        <w:t xml:space="preserve"> el acuerdo de diecinueve de abril de dos mil veintitrés.</w:t>
      </w:r>
    </w:p>
    <w:p w14:paraId="2AFEA3A6" w14:textId="44F591E1" w:rsidR="00896DFE" w:rsidRDefault="00293DAF">
      <w:pPr>
        <w:spacing w:line="360" w:lineRule="auto"/>
        <w:ind w:firstLine="567"/>
        <w:jc w:val="both"/>
        <w:rPr>
          <w:rFonts w:ascii="Arial" w:eastAsia="Arial" w:hAnsi="Arial" w:cs="Arial"/>
          <w:sz w:val="26"/>
          <w:szCs w:val="26"/>
        </w:rPr>
      </w:pPr>
      <w:r>
        <w:rPr>
          <w:rFonts w:ascii="Arial" w:eastAsia="Arial" w:hAnsi="Arial" w:cs="Arial"/>
          <w:sz w:val="26"/>
          <w:szCs w:val="26"/>
        </w:rPr>
        <w:t xml:space="preserve">20. Dado que esta segunda instancia reasume jurisdicción, el efecto se materializa mediante la admisión de la demanda de la parte actora; sin </w:t>
      </w:r>
      <w:r>
        <w:rPr>
          <w:rFonts w:ascii="Arial" w:eastAsia="Arial" w:hAnsi="Arial" w:cs="Arial"/>
          <w:sz w:val="26"/>
          <w:szCs w:val="26"/>
        </w:rPr>
        <w:lastRenderedPageBreak/>
        <w:t xml:space="preserve">embargo, dado que este Cuerpo Colegiado solamente se avocó al </w:t>
      </w:r>
      <w:r w:rsidR="00890477">
        <w:rPr>
          <w:rFonts w:ascii="Times New Roman" w:eastAsia="Times New Roman" w:hAnsi="Times New Roman" w:cs="Times New Roman"/>
          <w:noProof/>
          <w:color w:val="000000"/>
          <w:sz w:val="24"/>
          <w:szCs w:val="24"/>
        </w:rPr>
        <w:drawing>
          <wp:anchor distT="0" distB="0" distL="114300" distR="114300" simplePos="0" relativeHeight="251671552" behindDoc="1" locked="0" layoutInCell="1" allowOverlap="1" wp14:anchorId="7FF41587" wp14:editId="0386BF18">
            <wp:simplePos x="0" y="0"/>
            <wp:positionH relativeFrom="leftMargin">
              <wp:posOffset>6393180</wp:posOffset>
            </wp:positionH>
            <wp:positionV relativeFrom="paragraph">
              <wp:posOffset>415925</wp:posOffset>
            </wp:positionV>
            <wp:extent cx="1024255" cy="1261745"/>
            <wp:effectExtent l="0" t="0" r="4445" b="0"/>
            <wp:wrapNone/>
            <wp:docPr id="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24255" cy="1261745"/>
                    </a:xfrm>
                    <a:prstGeom prst="rect">
                      <a:avLst/>
                    </a:prstGeom>
                    <a:noFill/>
                  </pic:spPr>
                </pic:pic>
              </a:graphicData>
            </a:graphic>
          </wp:anchor>
        </w:drawing>
      </w:r>
      <w:r>
        <w:rPr>
          <w:rFonts w:ascii="Arial" w:eastAsia="Arial" w:hAnsi="Arial" w:cs="Arial"/>
          <w:sz w:val="26"/>
          <w:szCs w:val="26"/>
        </w:rPr>
        <w:t xml:space="preserve">conocimiento de los agravios del recurrente, constreñidos a las causales de improcedencia vertidas por la Sala Unitaria de mérito, por tanto, esta sentencia no puede ir más allá de lo planteado, por ser la materia administrativa de estricto derecho. - - - - -- - - - - - - - - - - - - - - - - - - - - - - - - - </w:t>
      </w:r>
    </w:p>
    <w:p w14:paraId="05D8CF94" w14:textId="77777777" w:rsidR="00896DFE" w:rsidRDefault="00293DAF">
      <w:pPr>
        <w:spacing w:line="360" w:lineRule="auto"/>
        <w:ind w:firstLine="567"/>
        <w:jc w:val="both"/>
        <w:rPr>
          <w:rFonts w:ascii="Arial" w:eastAsia="Arial" w:hAnsi="Arial" w:cs="Arial"/>
          <w:b/>
          <w:sz w:val="24"/>
          <w:szCs w:val="24"/>
        </w:rPr>
      </w:pPr>
      <w:r>
        <w:rPr>
          <w:rFonts w:ascii="Arial" w:eastAsia="Arial" w:hAnsi="Arial" w:cs="Arial"/>
          <w:sz w:val="26"/>
          <w:szCs w:val="26"/>
        </w:rPr>
        <w:t xml:space="preserve">21. En este contexto, lo procedente es por una parte la revocación de acuerdo de </w:t>
      </w:r>
      <w:r>
        <w:rPr>
          <w:rFonts w:ascii="Arial" w:eastAsia="Arial" w:hAnsi="Arial" w:cs="Arial"/>
          <w:b/>
          <w:sz w:val="26"/>
          <w:szCs w:val="26"/>
        </w:rPr>
        <w:t>desechamiento</w:t>
      </w:r>
      <w:r>
        <w:rPr>
          <w:rFonts w:ascii="Arial" w:eastAsia="Arial" w:hAnsi="Arial" w:cs="Arial"/>
          <w:sz w:val="26"/>
          <w:szCs w:val="26"/>
        </w:rPr>
        <w:t xml:space="preserve"> de la entonces Quinta Sala Unitaria, y por la otra, el que analice la demanda de la parte actora, sin tomar en cuenta lo que fue materia de análisis de esta sentencia, es decir, no podrá volver a invocar como causales de improcedencia lo que ahora se revoca, y provea lo conducente conforme a derecho. Es aplicable al caso por analogía, la jurisprudencia de la Segunda Sala de la Suprema Corte de Justicia de la Nación, bajo el rubro</w:t>
      </w:r>
      <w:r>
        <w:rPr>
          <w:rFonts w:ascii="Arial" w:eastAsia="Arial" w:hAnsi="Arial" w:cs="Arial"/>
          <w:b/>
          <w:sz w:val="24"/>
          <w:szCs w:val="24"/>
        </w:rPr>
        <w:t>: RECURSO DE QUEJA CONTRA EL AUTO QUE DESECHA UNA DEMANDA DE AMPARO. DE SER FUNDADO, EL TRIBUNAL COLEGIADO DE CIRCUITO DEBE DEVOLVER LOS AUTOS AL JUEZ DE DISTRITO A EFECTO DE QUE SE PRONUNCIE SOBRE LA ADMISIÓN Y, EN SU CASO, SOBRE LA MEDIDA CAUTELAR.</w:t>
      </w:r>
      <w:r>
        <w:rPr>
          <w:rFonts w:ascii="Arial" w:eastAsia="Arial" w:hAnsi="Arial" w:cs="Arial"/>
          <w:b/>
          <w:sz w:val="24"/>
          <w:szCs w:val="24"/>
          <w:vertAlign w:val="superscript"/>
        </w:rPr>
        <w:footnoteReference w:id="14"/>
      </w:r>
      <w:r>
        <w:rPr>
          <w:rFonts w:ascii="Arial" w:eastAsia="Arial" w:hAnsi="Arial" w:cs="Arial"/>
          <w:sz w:val="24"/>
          <w:szCs w:val="24"/>
        </w:rPr>
        <w:t xml:space="preserve">- - - - - - - - - - - - - - - - - - - - - - - - - - - - </w:t>
      </w:r>
    </w:p>
    <w:p w14:paraId="69A0240D" w14:textId="33270AE6" w:rsidR="00896DFE" w:rsidRDefault="00293DAF">
      <w:pPr>
        <w:spacing w:line="360" w:lineRule="auto"/>
        <w:ind w:firstLine="567"/>
        <w:jc w:val="both"/>
        <w:rPr>
          <w:rFonts w:ascii="Arial" w:eastAsia="Arial" w:hAnsi="Arial" w:cs="Arial"/>
          <w:sz w:val="26"/>
          <w:szCs w:val="26"/>
        </w:rPr>
      </w:pPr>
      <w:r>
        <w:rPr>
          <w:rFonts w:ascii="Arial" w:eastAsia="Arial" w:hAnsi="Arial" w:cs="Arial"/>
          <w:sz w:val="26"/>
          <w:szCs w:val="26"/>
        </w:rPr>
        <w:t>22.</w:t>
      </w:r>
      <w:r w:rsidR="00C33B7D">
        <w:rPr>
          <w:rFonts w:ascii="Arial" w:eastAsia="Arial" w:hAnsi="Arial" w:cs="Arial"/>
          <w:sz w:val="26"/>
          <w:szCs w:val="26"/>
        </w:rPr>
        <w:t xml:space="preserve"> </w:t>
      </w:r>
      <w:r>
        <w:rPr>
          <w:rFonts w:ascii="Arial" w:eastAsia="Arial" w:hAnsi="Arial" w:cs="Arial"/>
          <w:sz w:val="26"/>
          <w:szCs w:val="26"/>
        </w:rPr>
        <w:t xml:space="preserve">Atendiendo a las consideraciones anteriormente expuestas, y ante lo </w:t>
      </w:r>
      <w:r>
        <w:rPr>
          <w:rFonts w:ascii="Arial" w:eastAsia="Arial" w:hAnsi="Arial" w:cs="Arial"/>
          <w:b/>
          <w:sz w:val="26"/>
          <w:szCs w:val="26"/>
        </w:rPr>
        <w:t xml:space="preserve">fundado </w:t>
      </w:r>
      <w:r>
        <w:rPr>
          <w:rFonts w:ascii="Arial" w:eastAsia="Arial" w:hAnsi="Arial" w:cs="Arial"/>
          <w:sz w:val="26"/>
          <w:szCs w:val="26"/>
        </w:rPr>
        <w:t xml:space="preserve">del agravio manifestado, es procedente </w:t>
      </w:r>
      <w:r>
        <w:rPr>
          <w:rFonts w:ascii="Arial" w:eastAsia="Arial" w:hAnsi="Arial" w:cs="Arial"/>
          <w:b/>
          <w:sz w:val="26"/>
          <w:szCs w:val="26"/>
        </w:rPr>
        <w:t>REVOCAR</w:t>
      </w:r>
      <w:r>
        <w:rPr>
          <w:rFonts w:ascii="Arial" w:eastAsia="Arial" w:hAnsi="Arial" w:cs="Arial"/>
          <w:sz w:val="26"/>
          <w:szCs w:val="26"/>
        </w:rPr>
        <w:t xml:space="preserve"> el acuerdo recurrido por las consideraciones expuestas por esta Sala Superior, y se dicte uno nuevo bajo los efectos precisados; por lo que, con fundamento en los artículos 23, fracción IV</w:t>
      </w:r>
      <w:r>
        <w:rPr>
          <w:rFonts w:ascii="Arial" w:eastAsia="Arial" w:hAnsi="Arial" w:cs="Arial"/>
          <w:sz w:val="26"/>
          <w:szCs w:val="26"/>
          <w:vertAlign w:val="superscript"/>
        </w:rPr>
        <w:footnoteReference w:id="15"/>
      </w:r>
      <w:r>
        <w:rPr>
          <w:rFonts w:ascii="Arial" w:eastAsia="Arial" w:hAnsi="Arial" w:cs="Arial"/>
          <w:sz w:val="26"/>
          <w:szCs w:val="26"/>
        </w:rPr>
        <w:t xml:space="preserve"> de la Ley Orgánica del Tribunal de Justicia Administrativa y Combate a la Corrupción del Estado de Oaxaca; 236 y 238 de la Ley de Procedimiento y Justicia administrativa para el Estado de Oaxaca, se:- - - - - - - - - - - - - - - - - - - - - - - - - - - - - - - - - - - - - - - - - - - - - - - </w:t>
      </w:r>
    </w:p>
    <w:p w14:paraId="3F93E4E8" w14:textId="77777777" w:rsidR="00896DFE" w:rsidRDefault="00293DAF">
      <w:pPr>
        <w:spacing w:line="360" w:lineRule="auto"/>
        <w:ind w:firstLine="567"/>
        <w:jc w:val="center"/>
        <w:rPr>
          <w:rFonts w:ascii="Arial" w:eastAsia="Arial" w:hAnsi="Arial" w:cs="Arial"/>
          <w:b/>
          <w:sz w:val="26"/>
          <w:szCs w:val="26"/>
        </w:rPr>
      </w:pPr>
      <w:r>
        <w:rPr>
          <w:rFonts w:ascii="Arial" w:eastAsia="Arial" w:hAnsi="Arial" w:cs="Arial"/>
          <w:b/>
          <w:sz w:val="26"/>
          <w:szCs w:val="26"/>
        </w:rPr>
        <w:t>R E S U E L V E</w:t>
      </w:r>
    </w:p>
    <w:p w14:paraId="27C17E7C" w14:textId="77777777" w:rsidR="00896DFE" w:rsidRDefault="00293DAF">
      <w:pPr>
        <w:spacing w:line="360" w:lineRule="auto"/>
        <w:ind w:firstLine="567"/>
        <w:jc w:val="both"/>
        <w:rPr>
          <w:rFonts w:ascii="Arial" w:eastAsia="Arial" w:hAnsi="Arial" w:cs="Arial"/>
          <w:sz w:val="26"/>
          <w:szCs w:val="26"/>
        </w:rPr>
      </w:pPr>
      <w:r>
        <w:rPr>
          <w:rFonts w:ascii="Arial" w:eastAsia="Arial" w:hAnsi="Arial" w:cs="Arial"/>
          <w:b/>
          <w:sz w:val="26"/>
          <w:szCs w:val="26"/>
        </w:rPr>
        <w:t xml:space="preserve">PRIMERO. </w:t>
      </w:r>
      <w:r>
        <w:rPr>
          <w:rFonts w:ascii="Arial" w:eastAsia="Arial" w:hAnsi="Arial" w:cs="Arial"/>
          <w:sz w:val="26"/>
          <w:szCs w:val="26"/>
        </w:rPr>
        <w:t xml:space="preserve">Se </w:t>
      </w:r>
      <w:r>
        <w:rPr>
          <w:rFonts w:ascii="Arial" w:eastAsia="Arial" w:hAnsi="Arial" w:cs="Arial"/>
          <w:b/>
          <w:sz w:val="26"/>
          <w:szCs w:val="26"/>
        </w:rPr>
        <w:t>REVOCA</w:t>
      </w:r>
      <w:r>
        <w:rPr>
          <w:rFonts w:ascii="Arial" w:eastAsia="Arial" w:hAnsi="Arial" w:cs="Arial"/>
          <w:sz w:val="26"/>
          <w:szCs w:val="26"/>
        </w:rPr>
        <w:t xml:space="preserve"> el acuerdo de diecinueve de abril de dos mil veintitrés, por las razones expuestas por esta Sala Superior y con los efectos precisados en el considerando SEXTO de esta resolución. - - - - - - - - - - - - -  </w:t>
      </w:r>
    </w:p>
    <w:p w14:paraId="451E2B98" w14:textId="33342DE7" w:rsidR="00896DFE" w:rsidRDefault="00890477">
      <w:pPr>
        <w:spacing w:line="360" w:lineRule="auto"/>
        <w:ind w:firstLine="567"/>
        <w:jc w:val="both"/>
        <w:rPr>
          <w:rFonts w:ascii="Arial" w:eastAsia="Arial" w:hAnsi="Arial" w:cs="Arial"/>
          <w:sz w:val="26"/>
          <w:szCs w:val="26"/>
        </w:rPr>
      </w:pPr>
      <w:r>
        <w:rPr>
          <w:rFonts w:ascii="Times New Roman" w:eastAsia="Times New Roman" w:hAnsi="Times New Roman" w:cs="Times New Roman"/>
          <w:noProof/>
          <w:color w:val="000000"/>
          <w:sz w:val="24"/>
          <w:szCs w:val="24"/>
        </w:rPr>
        <w:lastRenderedPageBreak/>
        <w:drawing>
          <wp:anchor distT="0" distB="0" distL="114300" distR="114300" simplePos="0" relativeHeight="251673600" behindDoc="1" locked="0" layoutInCell="1" allowOverlap="1" wp14:anchorId="5F125BFD" wp14:editId="1B43676A">
            <wp:simplePos x="0" y="0"/>
            <wp:positionH relativeFrom="leftMargin">
              <wp:posOffset>363855</wp:posOffset>
            </wp:positionH>
            <wp:positionV relativeFrom="paragraph">
              <wp:posOffset>427355</wp:posOffset>
            </wp:positionV>
            <wp:extent cx="1024255" cy="1261745"/>
            <wp:effectExtent l="0" t="0" r="4445" b="0"/>
            <wp:wrapNone/>
            <wp:docPr id="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24255" cy="1261745"/>
                    </a:xfrm>
                    <a:prstGeom prst="rect">
                      <a:avLst/>
                    </a:prstGeom>
                    <a:noFill/>
                  </pic:spPr>
                </pic:pic>
              </a:graphicData>
            </a:graphic>
          </wp:anchor>
        </w:drawing>
      </w:r>
      <w:r w:rsidR="00293DAF">
        <w:rPr>
          <w:rFonts w:ascii="Arial" w:eastAsia="Arial" w:hAnsi="Arial" w:cs="Arial"/>
          <w:b/>
          <w:sz w:val="26"/>
          <w:szCs w:val="26"/>
        </w:rPr>
        <w:t>SEGUNDO.</w:t>
      </w:r>
      <w:r w:rsidR="00293DAF">
        <w:rPr>
          <w:rFonts w:ascii="Arial" w:eastAsia="Arial" w:hAnsi="Arial" w:cs="Arial"/>
          <w:sz w:val="26"/>
          <w:szCs w:val="26"/>
        </w:rPr>
        <w:t xml:space="preserve"> </w:t>
      </w:r>
      <w:r w:rsidR="00293DAF">
        <w:rPr>
          <w:rFonts w:ascii="Arial" w:eastAsia="Arial" w:hAnsi="Arial" w:cs="Arial"/>
          <w:b/>
          <w:sz w:val="26"/>
          <w:szCs w:val="26"/>
        </w:rPr>
        <w:t>NOTIFÍQUESE Y CÚMPLASE</w:t>
      </w:r>
      <w:r w:rsidR="00293DAF">
        <w:rPr>
          <w:rFonts w:ascii="Arial" w:eastAsia="Arial" w:hAnsi="Arial" w:cs="Arial"/>
          <w:sz w:val="26"/>
          <w:szCs w:val="26"/>
        </w:rPr>
        <w:t xml:space="preserve">, remítase copia certificada de la presente resolución a la Primera Sala Unitaria Mixta de este Tribunal, quién deberá informar a este Órgano Colegiado, el cumplimiento dado a esta sentencia, y en su oportunidad archívese el presente cuaderno de revisión como asunto concluido. - - - - - - - - - - - - - - - -  -- - - - - - - - - - - - - - - - - - - - - </w:t>
      </w:r>
    </w:p>
    <w:p w14:paraId="317B4A2D" w14:textId="77777777" w:rsidR="00896DFE" w:rsidRDefault="00293DAF">
      <w:pPr>
        <w:widowControl w:val="0"/>
        <w:spacing w:line="360" w:lineRule="auto"/>
        <w:ind w:right="51" w:firstLine="567"/>
        <w:jc w:val="both"/>
        <w:rPr>
          <w:rFonts w:ascii="Arial" w:eastAsia="Arial" w:hAnsi="Arial" w:cs="Arial"/>
          <w:sz w:val="26"/>
          <w:szCs w:val="26"/>
        </w:rPr>
      </w:pPr>
      <w:r>
        <w:rPr>
          <w:rFonts w:ascii="Arial" w:eastAsia="Arial" w:hAnsi="Arial" w:cs="Arial"/>
          <w:sz w:val="26"/>
          <w:szCs w:val="26"/>
        </w:rPr>
        <w:t xml:space="preserve">Por unanimidad de votos, lo resolvieron y firmaron los Magistrados Mateo Martínez </w:t>
      </w:r>
      <w:proofErr w:type="spellStart"/>
      <w:r>
        <w:rPr>
          <w:rFonts w:ascii="Arial" w:eastAsia="Arial" w:hAnsi="Arial" w:cs="Arial"/>
          <w:sz w:val="26"/>
          <w:szCs w:val="26"/>
        </w:rPr>
        <w:t>Martínez</w:t>
      </w:r>
      <w:proofErr w:type="spellEnd"/>
      <w:r>
        <w:rPr>
          <w:rFonts w:ascii="Arial" w:eastAsia="Arial" w:hAnsi="Arial" w:cs="Arial"/>
          <w:sz w:val="26"/>
          <w:szCs w:val="26"/>
        </w:rPr>
        <w:t xml:space="preserve">, Cruz Itzel Espinosa Rojas y Manuel de Jesús López </w:t>
      </w:r>
      <w:proofErr w:type="spellStart"/>
      <w:r>
        <w:rPr>
          <w:rFonts w:ascii="Arial" w:eastAsia="Arial" w:hAnsi="Arial" w:cs="Arial"/>
          <w:sz w:val="26"/>
          <w:szCs w:val="26"/>
        </w:rPr>
        <w:t>López</w:t>
      </w:r>
      <w:proofErr w:type="spellEnd"/>
      <w:r>
        <w:rPr>
          <w:rFonts w:ascii="Arial" w:eastAsia="Arial" w:hAnsi="Arial" w:cs="Arial"/>
          <w:sz w:val="26"/>
          <w:szCs w:val="26"/>
        </w:rPr>
        <w:t xml:space="preserve"> (</w:t>
      </w:r>
      <w:r>
        <w:rPr>
          <w:rFonts w:ascii="Arial" w:eastAsia="Arial" w:hAnsi="Arial" w:cs="Arial"/>
          <w:b/>
          <w:sz w:val="26"/>
          <w:szCs w:val="26"/>
        </w:rPr>
        <w:t>ponente)</w:t>
      </w:r>
      <w:r>
        <w:rPr>
          <w:rFonts w:ascii="Arial" w:eastAsia="Arial" w:hAnsi="Arial" w:cs="Arial"/>
          <w:sz w:val="26"/>
          <w:szCs w:val="26"/>
        </w:rPr>
        <w:t>, quienes actúan con la Maestra Lizbeth Jessica Gallardo Martínez, Secretaria General de Acuerdos de este Tribunal, que autoriza y da fe. - - - - - - - - - - - - - - - - - - - - - - - - - - - - - - - - - - - - - - - - - - - -</w:t>
      </w:r>
    </w:p>
    <w:p w14:paraId="6B37C2E3" w14:textId="77777777" w:rsidR="00896DFE" w:rsidRDefault="00896DFE" w:rsidP="00306677">
      <w:pPr>
        <w:widowControl w:val="0"/>
        <w:spacing w:line="360" w:lineRule="auto"/>
        <w:ind w:right="51"/>
        <w:jc w:val="both"/>
        <w:rPr>
          <w:rFonts w:ascii="Arial" w:eastAsia="Arial" w:hAnsi="Arial" w:cs="Arial"/>
          <w:sz w:val="26"/>
          <w:szCs w:val="26"/>
        </w:rPr>
      </w:pPr>
    </w:p>
    <w:p w14:paraId="553C7F44" w14:textId="77777777" w:rsidR="00896DFE" w:rsidRDefault="00896DFE">
      <w:pPr>
        <w:widowControl w:val="0"/>
        <w:spacing w:line="360" w:lineRule="auto"/>
        <w:ind w:right="51" w:firstLine="567"/>
        <w:jc w:val="both"/>
        <w:rPr>
          <w:rFonts w:ascii="Arial" w:eastAsia="Arial" w:hAnsi="Arial" w:cs="Arial"/>
          <w:sz w:val="26"/>
          <w:szCs w:val="26"/>
        </w:rPr>
      </w:pPr>
    </w:p>
    <w:p w14:paraId="0CEB36D6" w14:textId="77777777" w:rsidR="00896DFE" w:rsidRDefault="00293DAF">
      <w:pPr>
        <w:widowControl w:val="0"/>
        <w:spacing w:after="0" w:line="240" w:lineRule="auto"/>
        <w:ind w:right="51" w:firstLine="567"/>
        <w:jc w:val="center"/>
        <w:rPr>
          <w:rFonts w:ascii="Arial" w:eastAsia="Arial" w:hAnsi="Arial" w:cs="Arial"/>
          <w:sz w:val="26"/>
          <w:szCs w:val="26"/>
        </w:rPr>
      </w:pPr>
      <w:r>
        <w:rPr>
          <w:rFonts w:ascii="Arial" w:eastAsia="Arial" w:hAnsi="Arial" w:cs="Arial"/>
          <w:sz w:val="26"/>
          <w:szCs w:val="26"/>
        </w:rPr>
        <w:t xml:space="preserve">MAGISTRADO MATEO MARTÍNEZ </w:t>
      </w:r>
      <w:proofErr w:type="spellStart"/>
      <w:r>
        <w:rPr>
          <w:rFonts w:ascii="Arial" w:eastAsia="Arial" w:hAnsi="Arial" w:cs="Arial"/>
          <w:sz w:val="26"/>
          <w:szCs w:val="26"/>
        </w:rPr>
        <w:t>MARTÍNEZ</w:t>
      </w:r>
      <w:proofErr w:type="spellEnd"/>
    </w:p>
    <w:p w14:paraId="36A36F22" w14:textId="77777777" w:rsidR="00896DFE" w:rsidRDefault="00293DAF">
      <w:pPr>
        <w:widowControl w:val="0"/>
        <w:spacing w:line="240" w:lineRule="auto"/>
        <w:ind w:right="51" w:firstLine="567"/>
        <w:jc w:val="center"/>
        <w:rPr>
          <w:rFonts w:ascii="Arial" w:eastAsia="Arial" w:hAnsi="Arial" w:cs="Arial"/>
          <w:sz w:val="26"/>
          <w:szCs w:val="26"/>
        </w:rPr>
      </w:pPr>
      <w:r>
        <w:rPr>
          <w:rFonts w:ascii="Arial" w:eastAsia="Arial" w:hAnsi="Arial" w:cs="Arial"/>
          <w:sz w:val="26"/>
          <w:szCs w:val="26"/>
        </w:rPr>
        <w:t>PRESIDENTE</w:t>
      </w:r>
    </w:p>
    <w:p w14:paraId="36EB3874" w14:textId="77777777" w:rsidR="00896DFE" w:rsidRDefault="00896DFE">
      <w:pPr>
        <w:widowControl w:val="0"/>
        <w:spacing w:after="0" w:line="240" w:lineRule="auto"/>
        <w:ind w:right="51" w:firstLine="567"/>
        <w:jc w:val="center"/>
        <w:rPr>
          <w:rFonts w:ascii="Arial" w:eastAsia="Arial" w:hAnsi="Arial" w:cs="Arial"/>
          <w:sz w:val="26"/>
          <w:szCs w:val="26"/>
        </w:rPr>
      </w:pPr>
    </w:p>
    <w:p w14:paraId="78E19074" w14:textId="77777777" w:rsidR="00896DFE" w:rsidRDefault="00896DFE">
      <w:pPr>
        <w:widowControl w:val="0"/>
        <w:spacing w:after="0" w:line="240" w:lineRule="auto"/>
        <w:ind w:right="51" w:firstLine="567"/>
        <w:jc w:val="center"/>
        <w:rPr>
          <w:rFonts w:ascii="Arial" w:eastAsia="Arial" w:hAnsi="Arial" w:cs="Arial"/>
          <w:sz w:val="26"/>
          <w:szCs w:val="26"/>
        </w:rPr>
      </w:pPr>
    </w:p>
    <w:p w14:paraId="0F125DD9" w14:textId="77777777" w:rsidR="00896DFE" w:rsidRDefault="00896DFE">
      <w:pPr>
        <w:widowControl w:val="0"/>
        <w:spacing w:after="0" w:line="240" w:lineRule="auto"/>
        <w:ind w:right="51" w:firstLine="567"/>
        <w:jc w:val="center"/>
        <w:rPr>
          <w:rFonts w:ascii="Arial" w:eastAsia="Arial" w:hAnsi="Arial" w:cs="Arial"/>
          <w:sz w:val="26"/>
          <w:szCs w:val="26"/>
        </w:rPr>
      </w:pPr>
    </w:p>
    <w:p w14:paraId="4EA706A1" w14:textId="77777777" w:rsidR="00896DFE" w:rsidRDefault="00896DFE">
      <w:pPr>
        <w:widowControl w:val="0"/>
        <w:spacing w:after="0" w:line="240" w:lineRule="auto"/>
        <w:ind w:right="51" w:firstLine="567"/>
        <w:jc w:val="center"/>
        <w:rPr>
          <w:rFonts w:ascii="Arial" w:eastAsia="Arial" w:hAnsi="Arial" w:cs="Arial"/>
          <w:sz w:val="26"/>
          <w:szCs w:val="26"/>
        </w:rPr>
      </w:pPr>
    </w:p>
    <w:p w14:paraId="78B61C30" w14:textId="77777777" w:rsidR="00896DFE" w:rsidRDefault="00896DFE">
      <w:pPr>
        <w:widowControl w:val="0"/>
        <w:spacing w:after="0" w:line="240" w:lineRule="auto"/>
        <w:ind w:right="51" w:firstLine="567"/>
        <w:jc w:val="center"/>
        <w:rPr>
          <w:rFonts w:ascii="Arial" w:eastAsia="Arial" w:hAnsi="Arial" w:cs="Arial"/>
          <w:sz w:val="26"/>
          <w:szCs w:val="26"/>
        </w:rPr>
      </w:pPr>
    </w:p>
    <w:p w14:paraId="7D644523" w14:textId="77777777" w:rsidR="00896DFE" w:rsidRDefault="00896DFE">
      <w:pPr>
        <w:widowControl w:val="0"/>
        <w:spacing w:after="0" w:line="240" w:lineRule="auto"/>
        <w:ind w:right="51" w:firstLine="567"/>
        <w:jc w:val="center"/>
        <w:rPr>
          <w:rFonts w:ascii="Arial" w:eastAsia="Arial" w:hAnsi="Arial" w:cs="Arial"/>
          <w:sz w:val="26"/>
          <w:szCs w:val="26"/>
        </w:rPr>
      </w:pPr>
    </w:p>
    <w:p w14:paraId="0ABD388B" w14:textId="77777777" w:rsidR="00896DFE" w:rsidRDefault="00293DAF">
      <w:pPr>
        <w:widowControl w:val="0"/>
        <w:spacing w:after="0" w:line="240" w:lineRule="auto"/>
        <w:ind w:right="51" w:firstLine="567"/>
        <w:jc w:val="center"/>
        <w:rPr>
          <w:rFonts w:ascii="Arial" w:eastAsia="Arial" w:hAnsi="Arial" w:cs="Arial"/>
          <w:sz w:val="26"/>
          <w:szCs w:val="26"/>
        </w:rPr>
      </w:pPr>
      <w:r>
        <w:rPr>
          <w:rFonts w:ascii="Arial" w:eastAsia="Arial" w:hAnsi="Arial" w:cs="Arial"/>
          <w:sz w:val="26"/>
          <w:szCs w:val="26"/>
        </w:rPr>
        <w:t>MAGISTRADA CRUZ ITZEL ESPINOSA ROJAS</w:t>
      </w:r>
    </w:p>
    <w:p w14:paraId="182EE478" w14:textId="77777777" w:rsidR="00896DFE" w:rsidRDefault="00293DAF">
      <w:pPr>
        <w:widowControl w:val="0"/>
        <w:spacing w:after="0" w:line="240" w:lineRule="auto"/>
        <w:ind w:right="51" w:firstLine="567"/>
        <w:jc w:val="center"/>
        <w:rPr>
          <w:rFonts w:ascii="Arial" w:eastAsia="Arial" w:hAnsi="Arial" w:cs="Arial"/>
          <w:sz w:val="26"/>
          <w:szCs w:val="26"/>
        </w:rPr>
      </w:pPr>
      <w:r>
        <w:rPr>
          <w:rFonts w:ascii="Arial" w:eastAsia="Arial" w:hAnsi="Arial" w:cs="Arial"/>
          <w:sz w:val="26"/>
          <w:szCs w:val="26"/>
        </w:rPr>
        <w:t>INTEGRANTE DE SALA</w:t>
      </w:r>
    </w:p>
    <w:p w14:paraId="59FF9D5E" w14:textId="77777777" w:rsidR="00896DFE" w:rsidRDefault="00896DFE">
      <w:pPr>
        <w:widowControl w:val="0"/>
        <w:spacing w:line="360" w:lineRule="auto"/>
        <w:ind w:right="51" w:firstLine="567"/>
        <w:jc w:val="center"/>
        <w:rPr>
          <w:rFonts w:ascii="Arial" w:eastAsia="Arial" w:hAnsi="Arial" w:cs="Arial"/>
          <w:sz w:val="26"/>
          <w:szCs w:val="26"/>
        </w:rPr>
      </w:pPr>
    </w:p>
    <w:p w14:paraId="7A2FEFA0" w14:textId="77777777" w:rsidR="00896DFE" w:rsidRDefault="00896DFE" w:rsidP="00306677">
      <w:pPr>
        <w:widowControl w:val="0"/>
        <w:spacing w:line="360" w:lineRule="auto"/>
        <w:ind w:right="51"/>
        <w:rPr>
          <w:rFonts w:ascii="Arial" w:eastAsia="Arial" w:hAnsi="Arial" w:cs="Arial"/>
          <w:sz w:val="26"/>
          <w:szCs w:val="26"/>
        </w:rPr>
      </w:pPr>
    </w:p>
    <w:p w14:paraId="1C08D220" w14:textId="77777777" w:rsidR="00896DFE" w:rsidRDefault="00896DFE">
      <w:pPr>
        <w:widowControl w:val="0"/>
        <w:spacing w:line="360" w:lineRule="auto"/>
        <w:ind w:right="51" w:firstLine="567"/>
        <w:jc w:val="center"/>
        <w:rPr>
          <w:rFonts w:ascii="Arial" w:eastAsia="Arial" w:hAnsi="Arial" w:cs="Arial"/>
          <w:sz w:val="26"/>
          <w:szCs w:val="26"/>
        </w:rPr>
      </w:pPr>
    </w:p>
    <w:p w14:paraId="1971D8FD" w14:textId="77777777" w:rsidR="00896DFE" w:rsidRDefault="00293DAF">
      <w:pPr>
        <w:widowControl w:val="0"/>
        <w:spacing w:after="0" w:line="240" w:lineRule="auto"/>
        <w:ind w:right="51" w:firstLine="567"/>
        <w:jc w:val="center"/>
        <w:rPr>
          <w:rFonts w:ascii="Arial" w:eastAsia="Arial" w:hAnsi="Arial" w:cs="Arial"/>
          <w:sz w:val="26"/>
          <w:szCs w:val="26"/>
        </w:rPr>
      </w:pPr>
      <w:r>
        <w:rPr>
          <w:rFonts w:ascii="Arial" w:eastAsia="Arial" w:hAnsi="Arial" w:cs="Arial"/>
          <w:sz w:val="26"/>
          <w:szCs w:val="26"/>
        </w:rPr>
        <w:t xml:space="preserve">MAGISTRADO MANUEL DE JESÚS LÓPEZ </w:t>
      </w:r>
      <w:proofErr w:type="spellStart"/>
      <w:r>
        <w:rPr>
          <w:rFonts w:ascii="Arial" w:eastAsia="Arial" w:hAnsi="Arial" w:cs="Arial"/>
          <w:sz w:val="26"/>
          <w:szCs w:val="26"/>
        </w:rPr>
        <w:t>LÓPEZ</w:t>
      </w:r>
      <w:proofErr w:type="spellEnd"/>
    </w:p>
    <w:p w14:paraId="3F9E20B3" w14:textId="77777777" w:rsidR="00896DFE" w:rsidRDefault="00293DAF">
      <w:pPr>
        <w:widowControl w:val="0"/>
        <w:spacing w:after="0" w:line="240" w:lineRule="auto"/>
        <w:ind w:right="51" w:firstLine="567"/>
        <w:jc w:val="center"/>
        <w:rPr>
          <w:rFonts w:ascii="Arial" w:eastAsia="Arial" w:hAnsi="Arial" w:cs="Arial"/>
          <w:sz w:val="26"/>
          <w:szCs w:val="26"/>
        </w:rPr>
      </w:pPr>
      <w:r>
        <w:rPr>
          <w:rFonts w:ascii="Arial" w:eastAsia="Arial" w:hAnsi="Arial" w:cs="Arial"/>
          <w:sz w:val="26"/>
          <w:szCs w:val="26"/>
        </w:rPr>
        <w:t>INTEGRANTE DE SALA</w:t>
      </w:r>
    </w:p>
    <w:p w14:paraId="3059551C" w14:textId="77777777" w:rsidR="00896DFE" w:rsidRDefault="00896DFE">
      <w:pPr>
        <w:widowControl w:val="0"/>
        <w:spacing w:after="0" w:line="240" w:lineRule="auto"/>
        <w:ind w:right="51" w:firstLine="567"/>
        <w:jc w:val="center"/>
        <w:rPr>
          <w:rFonts w:ascii="Arial" w:eastAsia="Arial" w:hAnsi="Arial" w:cs="Arial"/>
          <w:sz w:val="26"/>
          <w:szCs w:val="26"/>
        </w:rPr>
      </w:pPr>
    </w:p>
    <w:p w14:paraId="6E22E418" w14:textId="77777777" w:rsidR="00896DFE" w:rsidRDefault="00896DFE">
      <w:pPr>
        <w:widowControl w:val="0"/>
        <w:spacing w:after="0" w:line="240" w:lineRule="auto"/>
        <w:ind w:right="51" w:firstLine="567"/>
        <w:jc w:val="center"/>
        <w:rPr>
          <w:rFonts w:ascii="Arial" w:eastAsia="Arial" w:hAnsi="Arial" w:cs="Arial"/>
          <w:sz w:val="26"/>
          <w:szCs w:val="26"/>
        </w:rPr>
      </w:pPr>
    </w:p>
    <w:p w14:paraId="4B954D27" w14:textId="77777777" w:rsidR="00896DFE" w:rsidRDefault="00896DFE">
      <w:pPr>
        <w:widowControl w:val="0"/>
        <w:spacing w:after="0" w:line="240" w:lineRule="auto"/>
        <w:ind w:right="51" w:firstLine="567"/>
        <w:jc w:val="center"/>
        <w:rPr>
          <w:rFonts w:ascii="Arial" w:eastAsia="Arial" w:hAnsi="Arial" w:cs="Arial"/>
          <w:sz w:val="26"/>
          <w:szCs w:val="26"/>
        </w:rPr>
      </w:pPr>
    </w:p>
    <w:p w14:paraId="5B965020" w14:textId="77777777" w:rsidR="00896DFE" w:rsidRDefault="00896DFE">
      <w:pPr>
        <w:widowControl w:val="0"/>
        <w:spacing w:after="0" w:line="240" w:lineRule="auto"/>
        <w:ind w:right="51" w:firstLine="567"/>
        <w:jc w:val="center"/>
        <w:rPr>
          <w:rFonts w:ascii="Arial" w:eastAsia="Arial" w:hAnsi="Arial" w:cs="Arial"/>
          <w:sz w:val="26"/>
          <w:szCs w:val="26"/>
        </w:rPr>
      </w:pPr>
    </w:p>
    <w:p w14:paraId="308CCB1F" w14:textId="77777777" w:rsidR="00896DFE" w:rsidRDefault="00896DFE">
      <w:pPr>
        <w:widowControl w:val="0"/>
        <w:spacing w:after="0" w:line="240" w:lineRule="auto"/>
        <w:ind w:right="51" w:firstLine="567"/>
        <w:jc w:val="center"/>
        <w:rPr>
          <w:rFonts w:ascii="Arial" w:eastAsia="Arial" w:hAnsi="Arial" w:cs="Arial"/>
          <w:sz w:val="26"/>
          <w:szCs w:val="26"/>
        </w:rPr>
      </w:pPr>
    </w:p>
    <w:p w14:paraId="24592287" w14:textId="77777777" w:rsidR="00896DFE" w:rsidRDefault="00896DFE">
      <w:pPr>
        <w:widowControl w:val="0"/>
        <w:spacing w:after="0" w:line="240" w:lineRule="auto"/>
        <w:ind w:right="51" w:firstLine="567"/>
        <w:jc w:val="center"/>
        <w:rPr>
          <w:rFonts w:ascii="Arial" w:eastAsia="Arial" w:hAnsi="Arial" w:cs="Arial"/>
          <w:sz w:val="26"/>
          <w:szCs w:val="26"/>
        </w:rPr>
      </w:pPr>
    </w:p>
    <w:p w14:paraId="0A8E6CB6" w14:textId="77777777" w:rsidR="00896DFE" w:rsidRDefault="00896DFE">
      <w:pPr>
        <w:widowControl w:val="0"/>
        <w:spacing w:after="0" w:line="240" w:lineRule="auto"/>
        <w:ind w:right="51" w:firstLine="567"/>
        <w:jc w:val="center"/>
        <w:rPr>
          <w:rFonts w:ascii="Arial" w:eastAsia="Arial" w:hAnsi="Arial" w:cs="Arial"/>
          <w:sz w:val="26"/>
          <w:szCs w:val="26"/>
        </w:rPr>
      </w:pPr>
    </w:p>
    <w:p w14:paraId="14ED4987" w14:textId="77777777" w:rsidR="00896DFE" w:rsidRDefault="00293DAF">
      <w:pPr>
        <w:widowControl w:val="0"/>
        <w:spacing w:after="0" w:line="240" w:lineRule="auto"/>
        <w:ind w:right="51" w:firstLine="567"/>
        <w:jc w:val="center"/>
        <w:rPr>
          <w:rFonts w:ascii="Arial" w:eastAsia="Arial" w:hAnsi="Arial" w:cs="Arial"/>
          <w:sz w:val="26"/>
          <w:szCs w:val="26"/>
        </w:rPr>
      </w:pPr>
      <w:r>
        <w:rPr>
          <w:rFonts w:ascii="Arial" w:eastAsia="Arial" w:hAnsi="Arial" w:cs="Arial"/>
          <w:sz w:val="26"/>
          <w:szCs w:val="26"/>
        </w:rPr>
        <w:t>MAESTRA LIZBETH JESSICA GALLARDO MARTÍNEZ</w:t>
      </w:r>
    </w:p>
    <w:p w14:paraId="6E2A777D" w14:textId="77777777" w:rsidR="00896DFE" w:rsidRDefault="00293DAF">
      <w:pPr>
        <w:widowControl w:val="0"/>
        <w:spacing w:after="0" w:line="240" w:lineRule="auto"/>
        <w:ind w:right="51" w:firstLine="567"/>
        <w:jc w:val="center"/>
        <w:rPr>
          <w:rFonts w:ascii="Arial" w:eastAsia="Arial" w:hAnsi="Arial" w:cs="Arial"/>
          <w:sz w:val="26"/>
          <w:szCs w:val="26"/>
        </w:rPr>
      </w:pPr>
      <w:r>
        <w:rPr>
          <w:rFonts w:ascii="Arial" w:eastAsia="Arial" w:hAnsi="Arial" w:cs="Arial"/>
          <w:sz w:val="26"/>
          <w:szCs w:val="26"/>
        </w:rPr>
        <w:t>SECRETARIA GENERAL DE ACUERDOS</w:t>
      </w:r>
    </w:p>
    <w:p w14:paraId="6E36E022" w14:textId="77777777" w:rsidR="00896DFE" w:rsidRDefault="00896DFE">
      <w:pPr>
        <w:widowControl w:val="0"/>
        <w:spacing w:after="0" w:line="240" w:lineRule="auto"/>
        <w:ind w:right="51" w:firstLine="567"/>
        <w:jc w:val="center"/>
        <w:rPr>
          <w:rFonts w:ascii="Arial" w:eastAsia="Arial" w:hAnsi="Arial" w:cs="Arial"/>
          <w:sz w:val="26"/>
          <w:szCs w:val="26"/>
        </w:rPr>
      </w:pPr>
    </w:p>
    <w:p w14:paraId="650EB5EE" w14:textId="77777777" w:rsidR="005D20EA" w:rsidRDefault="005D20EA" w:rsidP="00C33B7D">
      <w:pPr>
        <w:widowControl w:val="0"/>
        <w:spacing w:after="0" w:line="240" w:lineRule="auto"/>
        <w:ind w:right="51"/>
        <w:rPr>
          <w:rFonts w:ascii="Arial" w:eastAsia="Arial" w:hAnsi="Arial" w:cs="Arial"/>
          <w:sz w:val="26"/>
          <w:szCs w:val="26"/>
        </w:rPr>
      </w:pPr>
    </w:p>
    <w:p w14:paraId="00665E08" w14:textId="77777777" w:rsidR="005D20EA" w:rsidRDefault="005D20EA" w:rsidP="00C33B7D">
      <w:pPr>
        <w:widowControl w:val="0"/>
        <w:spacing w:after="0" w:line="240" w:lineRule="auto"/>
        <w:ind w:right="51"/>
        <w:rPr>
          <w:rFonts w:ascii="Arial" w:eastAsia="Arial" w:hAnsi="Arial" w:cs="Arial"/>
          <w:sz w:val="26"/>
          <w:szCs w:val="26"/>
        </w:rPr>
      </w:pPr>
    </w:p>
    <w:p w14:paraId="723201F7" w14:textId="77777777" w:rsidR="005D20EA" w:rsidRDefault="005D20EA" w:rsidP="00C33B7D">
      <w:pPr>
        <w:widowControl w:val="0"/>
        <w:spacing w:after="0" w:line="240" w:lineRule="auto"/>
        <w:ind w:right="51"/>
        <w:rPr>
          <w:rFonts w:ascii="Arial" w:eastAsia="Arial" w:hAnsi="Arial" w:cs="Arial"/>
          <w:sz w:val="26"/>
          <w:szCs w:val="26"/>
        </w:rPr>
      </w:pPr>
    </w:p>
    <w:p w14:paraId="178F56C4" w14:textId="4E9F18A1" w:rsidR="00896DFE" w:rsidRPr="005D20EA" w:rsidRDefault="00306677" w:rsidP="00C33B7D">
      <w:pPr>
        <w:widowControl w:val="0"/>
        <w:spacing w:after="0" w:line="240" w:lineRule="auto"/>
        <w:ind w:right="51"/>
        <w:rPr>
          <w:rFonts w:ascii="Arial" w:eastAsia="Arial" w:hAnsi="Arial" w:cs="Arial"/>
          <w:sz w:val="16"/>
          <w:szCs w:val="16"/>
        </w:rPr>
      </w:pPr>
      <w:r w:rsidRPr="005D20EA">
        <w:rPr>
          <w:rFonts w:ascii="Arial" w:eastAsia="Arial" w:hAnsi="Arial" w:cs="Arial"/>
          <w:sz w:val="16"/>
          <w:szCs w:val="16"/>
        </w:rPr>
        <w:t>FIRMAS CORRESPONDIENTES AL RECURSO DE REVISIÓN 274/2023 DEL EXPEDIENTE 114/2023 DE LA PRIMERA SALA UNITARIA MIXTA</w:t>
      </w:r>
    </w:p>
    <w:sectPr w:rsidR="00896DFE" w:rsidRPr="005D20EA" w:rsidSect="00812564">
      <w:headerReference w:type="default" r:id="rId10"/>
      <w:footerReference w:type="default" r:id="rId11"/>
      <w:headerReference w:type="first" r:id="rId12"/>
      <w:pgSz w:w="12240" w:h="20160"/>
      <w:pgMar w:top="1134" w:right="1134" w:bottom="1701" w:left="2268" w:header="709" w:footer="488"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BFE1754" w14:textId="77777777" w:rsidR="00293DAF" w:rsidRDefault="00293DAF">
      <w:pPr>
        <w:spacing w:after="0" w:line="240" w:lineRule="auto"/>
      </w:pPr>
      <w:r>
        <w:separator/>
      </w:r>
    </w:p>
  </w:endnote>
  <w:endnote w:type="continuationSeparator" w:id="0">
    <w:p w14:paraId="6F740D47" w14:textId="77777777" w:rsidR="00293DAF" w:rsidRDefault="00293D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Noto Sans Symbols">
    <w:altName w:val="Calibri"/>
    <w:charset w:val="00"/>
    <w:family w:val="auto"/>
    <w:pitch w:val="default"/>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1DB83F" w14:textId="7A6562A0" w:rsidR="00896DFE" w:rsidRDefault="00293DAF">
    <w:pPr>
      <w:pBdr>
        <w:top w:val="nil"/>
        <w:left w:val="nil"/>
        <w:bottom w:val="nil"/>
        <w:right w:val="nil"/>
        <w:between w:val="nil"/>
      </w:pBdr>
      <w:tabs>
        <w:tab w:val="center" w:pos="4419"/>
        <w:tab w:val="right" w:pos="8838"/>
      </w:tabs>
      <w:spacing w:after="0" w:line="240" w:lineRule="auto"/>
      <w:jc w:val="center"/>
      <w:rPr>
        <w:color w:val="000000"/>
      </w:rPr>
    </w:pPr>
    <w:r>
      <w:rPr>
        <w:color w:val="000000"/>
      </w:rPr>
      <w:fldChar w:fldCharType="begin"/>
    </w:r>
    <w:r>
      <w:rPr>
        <w:color w:val="000000"/>
      </w:rPr>
      <w:instrText>PAGE</w:instrText>
    </w:r>
    <w:r>
      <w:rPr>
        <w:color w:val="000000"/>
      </w:rPr>
      <w:fldChar w:fldCharType="separate"/>
    </w:r>
    <w:r w:rsidR="00E732F1">
      <w:rPr>
        <w:noProof/>
        <w:color w:val="000000"/>
      </w:rPr>
      <w:t>9</w:t>
    </w:r>
    <w:r>
      <w:rPr>
        <w:color w:val="000000"/>
      </w:rPr>
      <w:fldChar w:fldCharType="end"/>
    </w:r>
  </w:p>
  <w:p w14:paraId="4F3214DD" w14:textId="77777777" w:rsidR="00896DFE" w:rsidRDefault="00896DFE">
    <w:pPr>
      <w:pBdr>
        <w:top w:val="nil"/>
        <w:left w:val="nil"/>
        <w:bottom w:val="nil"/>
        <w:right w:val="nil"/>
        <w:between w:val="nil"/>
      </w:pBdr>
      <w:tabs>
        <w:tab w:val="center" w:pos="4419"/>
        <w:tab w:val="right" w:pos="8838"/>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C59A896" w14:textId="77777777" w:rsidR="00293DAF" w:rsidRDefault="00293DAF">
      <w:pPr>
        <w:spacing w:after="0" w:line="240" w:lineRule="auto"/>
      </w:pPr>
      <w:r>
        <w:separator/>
      </w:r>
    </w:p>
  </w:footnote>
  <w:footnote w:type="continuationSeparator" w:id="0">
    <w:p w14:paraId="104720E4" w14:textId="77777777" w:rsidR="00293DAF" w:rsidRDefault="00293DAF">
      <w:pPr>
        <w:spacing w:after="0" w:line="240" w:lineRule="auto"/>
      </w:pPr>
      <w:r>
        <w:continuationSeparator/>
      </w:r>
    </w:p>
  </w:footnote>
  <w:footnote w:id="1">
    <w:p w14:paraId="37CBCCDE" w14:textId="77777777" w:rsidR="00896DFE" w:rsidRDefault="00293DAF">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LEY ORGÁNICA PUBLICADA EN DECRETO 1540 DE 16 DE SEPTIEMBRE EN EL PERIÓDICO OFICIAL DEL ESTADO DE OAXACA</w:t>
      </w:r>
    </w:p>
  </w:footnote>
  <w:footnote w:id="2">
    <w:p w14:paraId="13B7A49E" w14:textId="77777777" w:rsidR="00812564" w:rsidRDefault="00812564" w:rsidP="00812564">
      <w:pPr>
        <w:pStyle w:val="Textonotapie"/>
      </w:pPr>
      <w:r>
        <w:rPr>
          <w:rStyle w:val="Refdenotaalpie"/>
        </w:rPr>
        <w:footnoteRef/>
      </w:r>
      <w:r>
        <w:t xml:space="preserve"> </w:t>
      </w:r>
      <w:r w:rsidRPr="008D7563">
        <w:rPr>
          <w:rFonts w:ascii="Arial" w:hAnsi="Arial" w:cs="Arial"/>
          <w:sz w:val="18"/>
          <w:szCs w:val="18"/>
        </w:rPr>
        <w:t>Decreto 1486 del Periódico Oficial del veintidós de julio de dos mil veintitrés.</w:t>
      </w:r>
    </w:p>
  </w:footnote>
  <w:footnote w:id="3">
    <w:p w14:paraId="4D01D2ED" w14:textId="77777777" w:rsidR="00896DFE" w:rsidRDefault="00293DAF">
      <w:pPr>
        <w:pBdr>
          <w:top w:val="nil"/>
          <w:left w:val="nil"/>
          <w:bottom w:val="nil"/>
          <w:right w:val="nil"/>
          <w:between w:val="nil"/>
        </w:pBdr>
        <w:spacing w:after="0" w:line="240" w:lineRule="auto"/>
        <w:jc w:val="both"/>
        <w:rPr>
          <w:rFonts w:ascii="Arial" w:eastAsia="Arial" w:hAnsi="Arial" w:cs="Arial"/>
          <w:color w:val="000000"/>
          <w:sz w:val="18"/>
          <w:szCs w:val="18"/>
        </w:rPr>
      </w:pPr>
      <w:r>
        <w:rPr>
          <w:vertAlign w:val="superscript"/>
        </w:rPr>
        <w:footnoteRef/>
      </w:r>
      <w:r>
        <w:rPr>
          <w:rFonts w:ascii="Arial" w:eastAsia="Arial" w:hAnsi="Arial" w:cs="Arial"/>
          <w:color w:val="000000"/>
          <w:sz w:val="18"/>
          <w:szCs w:val="18"/>
        </w:rPr>
        <w:t xml:space="preserve"> </w:t>
      </w:r>
      <w:r>
        <w:rPr>
          <w:rFonts w:ascii="Arial" w:eastAsia="Arial" w:hAnsi="Arial" w:cs="Arial"/>
          <w:b/>
          <w:color w:val="000000"/>
          <w:sz w:val="18"/>
          <w:szCs w:val="18"/>
        </w:rPr>
        <w:t xml:space="preserve">ARTÍCULO 158.- </w:t>
      </w:r>
      <w:r>
        <w:rPr>
          <w:rFonts w:ascii="Arial" w:eastAsia="Arial" w:hAnsi="Arial" w:cs="Arial"/>
          <w:color w:val="000000"/>
          <w:sz w:val="18"/>
          <w:szCs w:val="18"/>
        </w:rPr>
        <w:t>El Tribunal está facultado para desechar de plano las promociones notoriamente improcedentes, o que se interpongan con el fin evidente de dilatar otro procedimiento.</w:t>
      </w:r>
    </w:p>
  </w:footnote>
  <w:footnote w:id="4">
    <w:p w14:paraId="5A05A3BD" w14:textId="77777777" w:rsidR="00896DFE" w:rsidRDefault="00293DAF">
      <w:pPr>
        <w:pBdr>
          <w:top w:val="nil"/>
          <w:left w:val="nil"/>
          <w:bottom w:val="nil"/>
          <w:right w:val="nil"/>
          <w:between w:val="nil"/>
        </w:pBdr>
        <w:spacing w:after="0" w:line="240" w:lineRule="auto"/>
        <w:jc w:val="both"/>
        <w:rPr>
          <w:rFonts w:ascii="Arial" w:eastAsia="Arial" w:hAnsi="Arial" w:cs="Arial"/>
          <w:color w:val="000000"/>
          <w:sz w:val="18"/>
          <w:szCs w:val="18"/>
        </w:rPr>
      </w:pPr>
      <w:r>
        <w:rPr>
          <w:vertAlign w:val="superscript"/>
        </w:rPr>
        <w:footnoteRef/>
      </w:r>
      <w:r>
        <w:rPr>
          <w:rFonts w:ascii="Arial" w:eastAsia="Arial" w:hAnsi="Arial" w:cs="Arial"/>
          <w:color w:val="000000"/>
          <w:sz w:val="18"/>
          <w:szCs w:val="18"/>
        </w:rPr>
        <w:t xml:space="preserve"> </w:t>
      </w:r>
      <w:r>
        <w:rPr>
          <w:rFonts w:ascii="Arial" w:eastAsia="Arial" w:hAnsi="Arial" w:cs="Arial"/>
          <w:b/>
          <w:color w:val="000000"/>
          <w:sz w:val="18"/>
          <w:szCs w:val="18"/>
        </w:rPr>
        <w:t xml:space="preserve">ARTÍCULO 161.- </w:t>
      </w:r>
      <w:r>
        <w:rPr>
          <w:rFonts w:ascii="Arial" w:eastAsia="Arial" w:hAnsi="Arial" w:cs="Arial"/>
          <w:color w:val="000000"/>
          <w:sz w:val="18"/>
          <w:szCs w:val="18"/>
        </w:rPr>
        <w:t>Es improcedente el juicio ante el Tribunal contra actos:</w:t>
      </w:r>
    </w:p>
    <w:p w14:paraId="25677B1B" w14:textId="77777777" w:rsidR="00896DFE" w:rsidRDefault="00293DAF">
      <w:pPr>
        <w:spacing w:after="0"/>
        <w:jc w:val="both"/>
        <w:rPr>
          <w:rFonts w:ascii="Arial" w:eastAsia="Arial" w:hAnsi="Arial" w:cs="Arial"/>
          <w:sz w:val="18"/>
          <w:szCs w:val="18"/>
        </w:rPr>
      </w:pPr>
      <w:r>
        <w:rPr>
          <w:rFonts w:ascii="Arial" w:eastAsia="Arial" w:hAnsi="Arial" w:cs="Arial"/>
          <w:sz w:val="18"/>
          <w:szCs w:val="18"/>
        </w:rPr>
        <w:t>X. En los demás casos en que la improcedencia resulte de alguna disposición de esta Ley o de cualquiera otra de naturaleza fiscal o administrativa</w:t>
      </w:r>
    </w:p>
  </w:footnote>
  <w:footnote w:id="5">
    <w:p w14:paraId="0DEA6E70" w14:textId="77777777" w:rsidR="00896DFE" w:rsidRDefault="00293DAF">
      <w:pPr>
        <w:spacing w:after="0"/>
        <w:ind w:left="319" w:right="48" w:hanging="319"/>
        <w:jc w:val="both"/>
        <w:rPr>
          <w:rFonts w:ascii="Arial" w:eastAsia="Arial" w:hAnsi="Arial" w:cs="Arial"/>
          <w:sz w:val="18"/>
          <w:szCs w:val="18"/>
        </w:rPr>
      </w:pPr>
      <w:r>
        <w:rPr>
          <w:vertAlign w:val="superscript"/>
        </w:rPr>
        <w:footnoteRef/>
      </w:r>
      <w:r>
        <w:rPr>
          <w:rFonts w:ascii="Arial" w:eastAsia="Arial" w:hAnsi="Arial" w:cs="Arial"/>
          <w:sz w:val="18"/>
          <w:szCs w:val="18"/>
        </w:rPr>
        <w:t xml:space="preserve"> </w:t>
      </w:r>
      <w:r>
        <w:rPr>
          <w:rFonts w:ascii="Arial" w:eastAsia="Arial" w:hAnsi="Arial" w:cs="Arial"/>
          <w:b/>
          <w:sz w:val="18"/>
          <w:szCs w:val="18"/>
        </w:rPr>
        <w:t xml:space="preserve">ARTÍCULO 182.- </w:t>
      </w:r>
      <w:r>
        <w:rPr>
          <w:rFonts w:ascii="Arial" w:eastAsia="Arial" w:hAnsi="Arial" w:cs="Arial"/>
          <w:sz w:val="18"/>
          <w:szCs w:val="18"/>
        </w:rPr>
        <w:t>Se podrá desechar la demanda:</w:t>
      </w:r>
    </w:p>
    <w:p w14:paraId="759B77EE" w14:textId="77777777" w:rsidR="00896DFE" w:rsidRDefault="00293DAF">
      <w:pPr>
        <w:pBdr>
          <w:top w:val="nil"/>
          <w:left w:val="nil"/>
          <w:bottom w:val="nil"/>
          <w:right w:val="nil"/>
          <w:between w:val="nil"/>
        </w:pBdr>
        <w:spacing w:after="0" w:line="240" w:lineRule="auto"/>
        <w:rPr>
          <w:rFonts w:ascii="Arial" w:eastAsia="Arial" w:hAnsi="Arial" w:cs="Arial"/>
          <w:color w:val="000000"/>
          <w:sz w:val="18"/>
          <w:szCs w:val="18"/>
        </w:rPr>
      </w:pPr>
      <w:r>
        <w:rPr>
          <w:rFonts w:ascii="Arial" w:eastAsia="Arial" w:hAnsi="Arial" w:cs="Arial"/>
          <w:color w:val="000000"/>
          <w:sz w:val="18"/>
          <w:szCs w:val="18"/>
        </w:rPr>
        <w:t>I.      Si se encontrare motivo manifiesto e indudable de improcedencia</w:t>
      </w:r>
    </w:p>
  </w:footnote>
  <w:footnote w:id="6">
    <w:p w14:paraId="6854DCF8" w14:textId="77777777" w:rsidR="00896DFE" w:rsidRDefault="00293DAF">
      <w:pPr>
        <w:pBdr>
          <w:top w:val="nil"/>
          <w:left w:val="nil"/>
          <w:bottom w:val="nil"/>
          <w:right w:val="nil"/>
          <w:between w:val="nil"/>
        </w:pBdr>
        <w:spacing w:after="0" w:line="240" w:lineRule="auto"/>
        <w:jc w:val="both"/>
        <w:rPr>
          <w:rFonts w:ascii="Arial" w:eastAsia="Arial" w:hAnsi="Arial" w:cs="Arial"/>
          <w:color w:val="000000"/>
          <w:sz w:val="18"/>
          <w:szCs w:val="18"/>
        </w:rPr>
      </w:pPr>
      <w:r>
        <w:rPr>
          <w:vertAlign w:val="superscript"/>
        </w:rPr>
        <w:footnoteRef/>
      </w:r>
      <w:r>
        <w:rPr>
          <w:rFonts w:ascii="Arial" w:eastAsia="Arial" w:hAnsi="Arial" w:cs="Arial"/>
          <w:color w:val="000000"/>
          <w:sz w:val="18"/>
          <w:szCs w:val="18"/>
        </w:rPr>
        <w:t xml:space="preserve"> </w:t>
      </w:r>
      <w:r>
        <w:rPr>
          <w:rFonts w:ascii="Arial" w:eastAsia="Arial" w:hAnsi="Arial" w:cs="Arial"/>
          <w:b/>
          <w:i/>
          <w:color w:val="000000"/>
          <w:sz w:val="18"/>
          <w:szCs w:val="18"/>
        </w:rPr>
        <w:t>“CONCEPTOS DE VIOLACIÓN. NO ES OBLIGATORIO TRANSCRIBIRLOS EN LA SENTENCIA</w:t>
      </w:r>
      <w:r>
        <w:rPr>
          <w:rFonts w:ascii="Arial" w:eastAsia="Arial" w:hAnsi="Arial" w:cs="Arial"/>
          <w:i/>
          <w:color w:val="000000"/>
          <w:sz w:val="18"/>
          <w:szCs w:val="18"/>
        </w:rPr>
        <w:t>. Aun cuando sea verdad que el juzgador no transcriba en su integridad los conceptos de violación externados por la quejosa en su demanda de garantías, a pesar de indicarlo así en su sentencia, también lo es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transcritos(sic)”.</w:t>
      </w:r>
    </w:p>
  </w:footnote>
  <w:footnote w:id="7">
    <w:p w14:paraId="1AAE0B82" w14:textId="77777777" w:rsidR="00896DFE" w:rsidRDefault="00293DAF">
      <w:pPr>
        <w:pBdr>
          <w:top w:val="nil"/>
          <w:left w:val="nil"/>
          <w:bottom w:val="nil"/>
          <w:right w:val="nil"/>
          <w:between w:val="nil"/>
        </w:pBdr>
        <w:spacing w:after="0" w:line="240" w:lineRule="auto"/>
        <w:jc w:val="both"/>
        <w:rPr>
          <w:rFonts w:ascii="Arial" w:eastAsia="Arial" w:hAnsi="Arial" w:cs="Arial"/>
          <w:color w:val="000000"/>
          <w:sz w:val="18"/>
          <w:szCs w:val="18"/>
        </w:rPr>
      </w:pPr>
      <w:r>
        <w:rPr>
          <w:vertAlign w:val="superscript"/>
        </w:rPr>
        <w:footnoteRef/>
      </w:r>
      <w:r>
        <w:rPr>
          <w:rFonts w:ascii="Arial" w:eastAsia="Arial" w:hAnsi="Arial" w:cs="Arial"/>
          <w:color w:val="000000"/>
          <w:sz w:val="18"/>
          <w:szCs w:val="18"/>
        </w:rPr>
        <w:t xml:space="preserve"> Artículo 4° “Todos los bienes muebles que constituyan el patrimonio del Estado, incluyendo los de las entidades paraestatales, los organismos auxiliares, las unidades de servicios culturales y turísticos y los de los municipios son inembargables. En consecuencia, no podrá emplearse la vía de apremio, ni dictarse auto de ejecución para hacer efectivas las sentencias dictadas a favor de particulares, en contra del Gobierno del Estado o de su hacienda”</w:t>
      </w:r>
    </w:p>
  </w:footnote>
  <w:footnote w:id="8">
    <w:p w14:paraId="21FC45E8" w14:textId="77777777" w:rsidR="00896DFE" w:rsidRDefault="00293DAF">
      <w:pPr>
        <w:pBdr>
          <w:top w:val="nil"/>
          <w:left w:val="nil"/>
          <w:bottom w:val="nil"/>
          <w:right w:val="nil"/>
          <w:between w:val="nil"/>
        </w:pBdr>
        <w:spacing w:after="0" w:line="240" w:lineRule="auto"/>
        <w:jc w:val="both"/>
        <w:rPr>
          <w:rFonts w:ascii="Arial" w:eastAsia="Arial" w:hAnsi="Arial" w:cs="Arial"/>
          <w:color w:val="000000"/>
          <w:sz w:val="18"/>
          <w:szCs w:val="18"/>
        </w:rPr>
      </w:pPr>
      <w:r>
        <w:rPr>
          <w:vertAlign w:val="superscript"/>
        </w:rPr>
        <w:footnoteRef/>
      </w:r>
      <w:r>
        <w:rPr>
          <w:rFonts w:ascii="Arial" w:eastAsia="Arial" w:hAnsi="Arial" w:cs="Arial"/>
          <w:color w:val="000000"/>
          <w:sz w:val="18"/>
          <w:szCs w:val="18"/>
        </w:rPr>
        <w:t xml:space="preserve"> Artículo 5 “Los bienes muebles inmuebles de las Entidades Paraestatales, incluyendo los de las Entidades Auxiliares de colaboración son patrimonio del Estado, </w:t>
      </w:r>
      <w:proofErr w:type="gramStart"/>
      <w:r>
        <w:rPr>
          <w:rFonts w:ascii="Arial" w:eastAsia="Arial" w:hAnsi="Arial" w:cs="Arial"/>
          <w:color w:val="000000"/>
          <w:sz w:val="18"/>
          <w:szCs w:val="18"/>
        </w:rPr>
        <w:t>y</w:t>
      </w:r>
      <w:proofErr w:type="gramEnd"/>
      <w:r>
        <w:rPr>
          <w:rFonts w:ascii="Arial" w:eastAsia="Arial" w:hAnsi="Arial" w:cs="Arial"/>
          <w:color w:val="000000"/>
          <w:sz w:val="18"/>
          <w:szCs w:val="18"/>
        </w:rPr>
        <w:t xml:space="preserve"> por lo tanto, son inembargables; en consecuencia, no podrá emplearse la vía de apremio, ni dictarse auto de ejecución para hacer efectivas las sentencias dictadas a favor de particulares, en contra del Gobierno del Estado o de su hacienda. En los mismos términos son inembargables las cuentas bancarias, depósitos en efectivo, todo tipo de valores, fondos y recursos presupuestales y todo derecho de crédito pertenecientes a las Entidades Paraestatales, incluyendo los pertenecientes a las Entidades Auxiliares de Colaboración”</w:t>
      </w:r>
    </w:p>
  </w:footnote>
  <w:footnote w:id="9">
    <w:p w14:paraId="66129A4A" w14:textId="77777777" w:rsidR="00896DFE" w:rsidRDefault="00293DAF">
      <w:pPr>
        <w:spacing w:after="0" w:line="240" w:lineRule="auto"/>
        <w:ind w:hanging="142"/>
        <w:jc w:val="both"/>
        <w:rPr>
          <w:rFonts w:ascii="Arial" w:eastAsia="Arial" w:hAnsi="Arial" w:cs="Arial"/>
          <w:sz w:val="18"/>
          <w:szCs w:val="18"/>
        </w:rPr>
      </w:pPr>
      <w:r>
        <w:rPr>
          <w:vertAlign w:val="superscript"/>
        </w:rPr>
        <w:footnoteRef/>
      </w:r>
      <w:r>
        <w:rPr>
          <w:rFonts w:ascii="Arial" w:eastAsia="Arial" w:hAnsi="Arial" w:cs="Arial"/>
          <w:sz w:val="18"/>
          <w:szCs w:val="18"/>
        </w:rPr>
        <w:t xml:space="preserve"> Artículo 133. Las Salas Unitarias del Tribunal son competentes para conocer y resolver los juicios que se promuevan en contra de:</w:t>
      </w:r>
    </w:p>
    <w:p w14:paraId="72B5EDE2" w14:textId="77777777" w:rsidR="00896DFE" w:rsidRDefault="00293DAF">
      <w:pPr>
        <w:spacing w:after="0" w:line="240" w:lineRule="auto"/>
        <w:ind w:right="561"/>
        <w:jc w:val="both"/>
        <w:rPr>
          <w:rFonts w:ascii="Arial" w:eastAsia="Arial" w:hAnsi="Arial" w:cs="Arial"/>
          <w:sz w:val="18"/>
          <w:szCs w:val="18"/>
        </w:rPr>
      </w:pPr>
      <w:r>
        <w:rPr>
          <w:rFonts w:ascii="Arial" w:eastAsia="Arial" w:hAnsi="Arial" w:cs="Arial"/>
          <w:sz w:val="18"/>
          <w:szCs w:val="18"/>
        </w:rPr>
        <w:t>VIII.     El   procedimiento   administrativo   de   ejecución   cuando   el   afectado   en   dicho procedimiento opte por no interponer el recurso ordinario ante las autoridades competentes y cuando afirme:</w:t>
      </w:r>
    </w:p>
  </w:footnote>
  <w:footnote w:id="10">
    <w:p w14:paraId="4873F19C" w14:textId="77777777" w:rsidR="00896DFE" w:rsidRDefault="00293DAF">
      <w:pPr>
        <w:pBdr>
          <w:top w:val="nil"/>
          <w:left w:val="nil"/>
          <w:bottom w:val="nil"/>
          <w:right w:val="nil"/>
          <w:between w:val="nil"/>
        </w:pBdr>
        <w:spacing w:after="0" w:line="240" w:lineRule="auto"/>
        <w:rPr>
          <w:rFonts w:ascii="Arial" w:eastAsia="Arial" w:hAnsi="Arial" w:cs="Arial"/>
          <w:color w:val="000000"/>
          <w:sz w:val="18"/>
          <w:szCs w:val="18"/>
        </w:rPr>
      </w:pPr>
      <w:r>
        <w:rPr>
          <w:vertAlign w:val="superscript"/>
        </w:rPr>
        <w:footnoteRef/>
      </w:r>
      <w:r>
        <w:rPr>
          <w:rFonts w:ascii="Arial" w:eastAsia="Arial" w:hAnsi="Arial" w:cs="Arial"/>
          <w:color w:val="000000"/>
          <w:sz w:val="18"/>
          <w:szCs w:val="18"/>
        </w:rPr>
        <w:t xml:space="preserve"> d)  Que el procedimiento coactivo no se ajuste a la ley. En este caso, la oposición no se podrá hacer valer, sino contra la resolución que apruebe el remate; salvo que se trate de resoluciones cuya ejecución material sea imposible reparación</w:t>
      </w:r>
    </w:p>
  </w:footnote>
  <w:footnote w:id="11">
    <w:p w14:paraId="2308C6EA" w14:textId="77777777" w:rsidR="00896DFE" w:rsidRDefault="00293DAF">
      <w:pPr>
        <w:pBdr>
          <w:top w:val="nil"/>
          <w:left w:val="nil"/>
          <w:bottom w:val="nil"/>
          <w:right w:val="nil"/>
          <w:between w:val="nil"/>
        </w:pBdr>
        <w:spacing w:after="0" w:line="240" w:lineRule="auto"/>
        <w:jc w:val="both"/>
        <w:rPr>
          <w:rFonts w:ascii="Arial" w:eastAsia="Arial" w:hAnsi="Arial" w:cs="Arial"/>
          <w:color w:val="000000"/>
          <w:sz w:val="18"/>
          <w:szCs w:val="18"/>
        </w:rPr>
      </w:pPr>
      <w:r>
        <w:rPr>
          <w:vertAlign w:val="superscript"/>
        </w:rPr>
        <w:footnoteRef/>
      </w:r>
      <w:r>
        <w:rPr>
          <w:rFonts w:ascii="Arial" w:eastAsia="Arial" w:hAnsi="Arial" w:cs="Arial"/>
          <w:color w:val="000000"/>
          <w:sz w:val="18"/>
          <w:szCs w:val="18"/>
        </w:rPr>
        <w:t xml:space="preserve"> Artículo Sexto: Todos los bienes muebles que constituyan el patrimonio del Estado, incluyendo los de las entidades paraestatales, los organismos auxiliares, las unidades de servicios culturales y turísticos y los de los municipios son inembargables. En consecuencia, no podrá emplearse la vía de apremio, ni dictarse auto de ejecución para hacer efectivas las sentencias dictadas a favor de particulares, en contra del Gobierno del Estado o de su hacienda.</w:t>
      </w:r>
    </w:p>
  </w:footnote>
  <w:footnote w:id="12">
    <w:p w14:paraId="22C3BF4C" w14:textId="77777777" w:rsidR="00896DFE" w:rsidRDefault="00293DAF">
      <w:pPr>
        <w:pBdr>
          <w:top w:val="nil"/>
          <w:left w:val="nil"/>
          <w:bottom w:val="nil"/>
          <w:right w:val="nil"/>
          <w:between w:val="nil"/>
        </w:pBdr>
        <w:spacing w:after="0" w:line="240" w:lineRule="auto"/>
        <w:jc w:val="both"/>
        <w:rPr>
          <w:rFonts w:ascii="Arial" w:eastAsia="Arial" w:hAnsi="Arial" w:cs="Arial"/>
          <w:color w:val="000000"/>
          <w:sz w:val="18"/>
          <w:szCs w:val="18"/>
        </w:rPr>
      </w:pPr>
      <w:r>
        <w:rPr>
          <w:vertAlign w:val="superscript"/>
        </w:rPr>
        <w:footnoteRef/>
      </w:r>
      <w:r>
        <w:rPr>
          <w:rFonts w:ascii="Arial" w:eastAsia="Arial" w:hAnsi="Arial" w:cs="Arial"/>
          <w:color w:val="000000"/>
          <w:sz w:val="18"/>
          <w:szCs w:val="18"/>
        </w:rPr>
        <w:t xml:space="preserve"> Artículo </w:t>
      </w:r>
      <w:proofErr w:type="gramStart"/>
      <w:r>
        <w:rPr>
          <w:rFonts w:ascii="Arial" w:eastAsia="Arial" w:hAnsi="Arial" w:cs="Arial"/>
          <w:color w:val="000000"/>
          <w:sz w:val="18"/>
          <w:szCs w:val="18"/>
        </w:rPr>
        <w:t>5.“</w:t>
      </w:r>
      <w:proofErr w:type="gramEnd"/>
      <w:r>
        <w:rPr>
          <w:rFonts w:ascii="Arial" w:eastAsia="Arial" w:hAnsi="Arial" w:cs="Arial"/>
          <w:color w:val="000000"/>
          <w:sz w:val="18"/>
          <w:szCs w:val="18"/>
        </w:rPr>
        <w:t>…Los bienes muebles inmuebles de las Entidades Paraestatales, incluyendo los de las Entidades Auxiliares de colaboración son patrimonio del Estado, y por lo tanto, son inembargables; en consecuencia, no podrá emplearse la vía de apremio, ni dictarse auto de ejecución para hacer efectivas las sentencias dictadas a favor de particulares, en contra del Gobierno del Estado o de su hacienda…”</w:t>
      </w:r>
    </w:p>
  </w:footnote>
  <w:footnote w:id="13">
    <w:p w14:paraId="4A8E9A9B" w14:textId="77777777" w:rsidR="00896DFE" w:rsidRDefault="00293DAF">
      <w:pPr>
        <w:pBdr>
          <w:top w:val="nil"/>
          <w:left w:val="nil"/>
          <w:bottom w:val="nil"/>
          <w:right w:val="nil"/>
          <w:between w:val="nil"/>
        </w:pBdr>
        <w:spacing w:after="0" w:line="240" w:lineRule="auto"/>
        <w:rPr>
          <w:rFonts w:ascii="Arial" w:eastAsia="Arial" w:hAnsi="Arial" w:cs="Arial"/>
          <w:color w:val="000000"/>
          <w:sz w:val="18"/>
          <w:szCs w:val="18"/>
        </w:rPr>
      </w:pPr>
      <w:r>
        <w:rPr>
          <w:vertAlign w:val="superscript"/>
        </w:rPr>
        <w:footnoteRef/>
      </w:r>
      <w:r>
        <w:rPr>
          <w:rFonts w:ascii="Arial" w:eastAsia="Arial" w:hAnsi="Arial" w:cs="Arial"/>
          <w:color w:val="000000"/>
          <w:sz w:val="18"/>
          <w:szCs w:val="18"/>
        </w:rPr>
        <w:t xml:space="preserve"> </w:t>
      </w:r>
      <w:r>
        <w:rPr>
          <w:rFonts w:ascii="Arial" w:eastAsia="Arial" w:hAnsi="Arial" w:cs="Arial"/>
          <w:b/>
          <w:color w:val="000000"/>
          <w:sz w:val="18"/>
          <w:szCs w:val="18"/>
        </w:rPr>
        <w:t xml:space="preserve">ARTÍCULO 161.- </w:t>
      </w:r>
      <w:r>
        <w:rPr>
          <w:rFonts w:ascii="Arial" w:eastAsia="Arial" w:hAnsi="Arial" w:cs="Arial"/>
          <w:color w:val="000000"/>
          <w:sz w:val="18"/>
          <w:szCs w:val="18"/>
        </w:rPr>
        <w:t>Es improcedente el juicio ante el Tribunal contra actos</w:t>
      </w:r>
    </w:p>
    <w:p w14:paraId="5BCDF789" w14:textId="77777777" w:rsidR="00896DFE" w:rsidRDefault="00293DAF">
      <w:pPr>
        <w:spacing w:after="0" w:line="240" w:lineRule="auto"/>
        <w:ind w:right="48"/>
        <w:rPr>
          <w:rFonts w:ascii="Arial" w:eastAsia="Arial" w:hAnsi="Arial" w:cs="Arial"/>
          <w:sz w:val="18"/>
          <w:szCs w:val="18"/>
        </w:rPr>
      </w:pPr>
      <w:r>
        <w:rPr>
          <w:rFonts w:ascii="Arial" w:eastAsia="Arial" w:hAnsi="Arial" w:cs="Arial"/>
          <w:sz w:val="18"/>
          <w:szCs w:val="18"/>
        </w:rPr>
        <w:t>IX.       Cuando de las constancias de autos apareciere claramente que no existe el acto reclamado o cuando no se probare su existencia; y</w:t>
      </w:r>
    </w:p>
    <w:p w14:paraId="079E2AB3" w14:textId="77777777" w:rsidR="00896DFE" w:rsidRDefault="00293DAF">
      <w:pPr>
        <w:rPr>
          <w:sz w:val="18"/>
          <w:szCs w:val="18"/>
        </w:rPr>
      </w:pPr>
      <w:r>
        <w:rPr>
          <w:rFonts w:ascii="Arial" w:eastAsia="Arial" w:hAnsi="Arial" w:cs="Arial"/>
          <w:sz w:val="18"/>
          <w:szCs w:val="18"/>
        </w:rPr>
        <w:t>X.        En los demás casos en que la improcedencia resulte de alguna disposición de esta Ley o de cualquiera otra de naturaleza fiscal o administrativa</w:t>
      </w:r>
    </w:p>
  </w:footnote>
  <w:footnote w:id="14">
    <w:p w14:paraId="59D8C607" w14:textId="77777777" w:rsidR="00896DFE" w:rsidRDefault="00293DAF">
      <w:pPr>
        <w:pBdr>
          <w:top w:val="nil"/>
          <w:left w:val="nil"/>
          <w:bottom w:val="nil"/>
          <w:right w:val="nil"/>
          <w:between w:val="nil"/>
        </w:pBdr>
        <w:spacing w:after="0" w:line="240" w:lineRule="auto"/>
        <w:jc w:val="both"/>
        <w:rPr>
          <w:rFonts w:ascii="Arial" w:eastAsia="Arial" w:hAnsi="Arial" w:cs="Arial"/>
          <w:color w:val="000000"/>
          <w:sz w:val="18"/>
          <w:szCs w:val="18"/>
        </w:rPr>
      </w:pPr>
      <w:r>
        <w:rPr>
          <w:vertAlign w:val="superscript"/>
        </w:rPr>
        <w:footnoteRef/>
      </w:r>
      <w:r>
        <w:rPr>
          <w:rFonts w:ascii="Arial" w:eastAsia="Arial" w:hAnsi="Arial" w:cs="Arial"/>
          <w:color w:val="000000"/>
          <w:sz w:val="18"/>
          <w:szCs w:val="18"/>
        </w:rPr>
        <w:t xml:space="preserve"> El artículo 97, fracción I, inciso a), de la Ley de Amparo establece que procede el recurso de queja en amparo indirecto contra las resoluciones que desechen una demanda de amparo. Por su parte, el diverso 103 del mismo ordenamiento prevé que, en caso de resultar fundado el recurso, se dictará la resolución que corresponda sin necesidad de reenvío, salvo que ésta implique la reposición del procedimiento. Así, del análisis relacionado de esas disposiciones, tomando en consideración la naturaleza del recurso de queja en el que no existe devolución de jurisdicción, cuando un Tribunal Colegiado de Circuito declare fundado el recurso de queja contra el desechamiento de una demanda de amparo, éste dictará la resolución que corresponda, ordenando al Juez de Distrito proveer lo conducente en relación con la admisión, en términos de los artículos 112 a 115 del propio ordenamiento, lo que implica que no puede asumir la jurisdicción que a éste corresponde.</w:t>
      </w:r>
    </w:p>
  </w:footnote>
  <w:footnote w:id="15">
    <w:p w14:paraId="6C31F2CD" w14:textId="77777777" w:rsidR="00896DFE" w:rsidRDefault="00293DAF">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ARTÍCULO 23. Son atribuciones de la Sala Superior:</w:t>
      </w:r>
    </w:p>
    <w:p w14:paraId="533C90C4" w14:textId="77777777" w:rsidR="00896DFE" w:rsidRDefault="00293DAF">
      <w:pPr>
        <w:pBdr>
          <w:top w:val="nil"/>
          <w:left w:val="nil"/>
          <w:bottom w:val="nil"/>
          <w:right w:val="nil"/>
          <w:between w:val="nil"/>
        </w:pBdr>
        <w:spacing w:after="0" w:line="240" w:lineRule="auto"/>
        <w:rPr>
          <w:color w:val="000000"/>
          <w:sz w:val="20"/>
          <w:szCs w:val="20"/>
        </w:rPr>
      </w:pPr>
      <w:r>
        <w:rPr>
          <w:color w:val="000000"/>
          <w:sz w:val="20"/>
          <w:szCs w:val="20"/>
        </w:rPr>
        <w:t>IV. Tramitar y resolver en segunda instancia los recursos interpuestos en contra de las determinaciones de las Salas Unitarias Mixtas y Especializadas que determine la ley;</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4DF952" w14:textId="77777777" w:rsidR="00896DFE" w:rsidRDefault="00293DAF">
    <w:pPr>
      <w:pBdr>
        <w:top w:val="nil"/>
        <w:left w:val="nil"/>
        <w:bottom w:val="nil"/>
        <w:right w:val="nil"/>
        <w:between w:val="nil"/>
      </w:pBdr>
      <w:tabs>
        <w:tab w:val="center" w:pos="4419"/>
        <w:tab w:val="right" w:pos="8838"/>
      </w:tabs>
      <w:spacing w:after="0" w:line="240" w:lineRule="auto"/>
      <w:jc w:val="center"/>
      <w:rPr>
        <w:color w:val="000000"/>
      </w:rPr>
    </w:pPr>
    <w:r>
      <w:rPr>
        <w:noProof/>
      </w:rPr>
      <w:drawing>
        <wp:anchor distT="0" distB="0" distL="114300" distR="114300" simplePos="0" relativeHeight="251658240" behindDoc="0" locked="0" layoutInCell="1" hidden="0" allowOverlap="1" wp14:anchorId="7492C6D6" wp14:editId="3DE2EE30">
          <wp:simplePos x="0" y="0"/>
          <wp:positionH relativeFrom="column">
            <wp:posOffset>99696</wp:posOffset>
          </wp:positionH>
          <wp:positionV relativeFrom="paragraph">
            <wp:posOffset>-362584</wp:posOffset>
          </wp:positionV>
          <wp:extent cx="2495550" cy="631190"/>
          <wp:effectExtent l="0" t="0" r="0" b="0"/>
          <wp:wrapNone/>
          <wp:docPr id="188960400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t="8722" b="8590"/>
                  <a:stretch>
                    <a:fillRect/>
                  </a:stretch>
                </pic:blipFill>
                <pic:spPr>
                  <a:xfrm>
                    <a:off x="0" y="0"/>
                    <a:ext cx="2495550" cy="631190"/>
                  </a:xfrm>
                  <a:prstGeom prst="rect">
                    <a:avLst/>
                  </a:prstGeom>
                  <a:ln/>
                </pic:spPr>
              </pic:pic>
            </a:graphicData>
          </a:graphic>
        </wp:anchor>
      </w:drawing>
    </w:r>
    <w:r>
      <w:rPr>
        <w:noProof/>
      </w:rPr>
      <mc:AlternateContent>
        <mc:Choice Requires="wps">
          <w:drawing>
            <wp:anchor distT="45720" distB="45720" distL="114300" distR="114300" simplePos="0" relativeHeight="251659264" behindDoc="0" locked="0" layoutInCell="1" hidden="0" allowOverlap="1" wp14:anchorId="45D88E50" wp14:editId="1FD87BF7">
              <wp:simplePos x="0" y="0"/>
              <wp:positionH relativeFrom="column">
                <wp:posOffset>3238500</wp:posOffset>
              </wp:positionH>
              <wp:positionV relativeFrom="paragraph">
                <wp:posOffset>-271779</wp:posOffset>
              </wp:positionV>
              <wp:extent cx="2370455" cy="481965"/>
              <wp:effectExtent l="0" t="0" r="0" b="0"/>
              <wp:wrapSquare wrapText="bothSides" distT="45720" distB="45720" distL="114300" distR="114300"/>
              <wp:docPr id="1889604001" name="Rectángulo 1889604001"/>
              <wp:cNvGraphicFramePr/>
              <a:graphic xmlns:a="http://schemas.openxmlformats.org/drawingml/2006/main">
                <a:graphicData uri="http://schemas.microsoft.com/office/word/2010/wordprocessingShape">
                  <wps:wsp>
                    <wps:cNvSpPr/>
                    <wps:spPr>
                      <a:xfrm>
                        <a:off x="4165535" y="3543780"/>
                        <a:ext cx="2360930" cy="472440"/>
                      </a:xfrm>
                      <a:prstGeom prst="rect">
                        <a:avLst/>
                      </a:prstGeom>
                      <a:solidFill>
                        <a:srgbClr val="FFFFFF"/>
                      </a:solidFill>
                      <a:ln>
                        <a:noFill/>
                      </a:ln>
                    </wps:spPr>
                    <wps:txbx>
                      <w:txbxContent>
                        <w:p w14:paraId="40E023D6" w14:textId="77777777" w:rsidR="00896DFE" w:rsidRDefault="00293DAF">
                          <w:pPr>
                            <w:spacing w:line="275" w:lineRule="auto"/>
                            <w:textDirection w:val="btLr"/>
                          </w:pPr>
                          <w:r>
                            <w:rPr>
                              <w:color w:val="000000"/>
                            </w:rPr>
                            <w:t>RECURSO DE REVISIÓN 274/2023 EXPEDIENTE 114/2023</w:t>
                          </w:r>
                        </w:p>
                      </w:txbxContent>
                    </wps:txbx>
                    <wps:bodyPr spcFirstLastPara="1" wrap="square" lIns="91425" tIns="45700" rIns="91425" bIns="45700" anchor="t" anchorCtr="0">
                      <a:noAutofit/>
                    </wps:bodyPr>
                  </wps:wsp>
                </a:graphicData>
              </a:graphic>
            </wp:anchor>
          </w:drawing>
        </mc:Choice>
        <mc:Fallback>
          <w:pict>
            <v:rect w14:anchorId="45D88E50" id="Rectángulo 1889604001" o:spid="_x0000_s1026" style="position:absolute;left:0;text-align:left;margin-left:255pt;margin-top:-21.4pt;width:186.65pt;height:37.95pt;z-index:251659264;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" stroked="f">
              <v:textbox inset="2.53958mm,1.2694mm,2.53958mm,1.2694mm">
                <w:txbxContent>
                  <w:p w14:paraId="40E023D6" w14:textId="77777777" w:rsidR="00896DFE" w:rsidRDefault="00293DAF">
                    <w:pPr>
                      <w:spacing w:line="275" w:lineRule="auto"/>
                      <w:textDirection w:val="btLr"/>
                    </w:pPr>
                    <w:r>
                      <w:rPr>
                        <w:color w:val="000000"/>
                      </w:rPr>
                      <w:t>RECURSO DE REVISIÓN 274/2023 EXPEDIENTE 114/2023</w:t>
                    </w:r>
                  </w:p>
                </w:txbxContent>
              </v:textbox>
              <w10:wrap type="square"/>
            </v:rect>
          </w:pict>
        </mc:Fallback>
      </mc:AlternateContent>
    </w:r>
  </w:p>
  <w:p w14:paraId="72628F1C" w14:textId="77777777" w:rsidR="00896DFE" w:rsidRDefault="00896DFE">
    <w:pPr>
      <w:pBdr>
        <w:top w:val="nil"/>
        <w:left w:val="nil"/>
        <w:bottom w:val="nil"/>
        <w:right w:val="nil"/>
        <w:between w:val="nil"/>
      </w:pBdr>
      <w:tabs>
        <w:tab w:val="center" w:pos="4419"/>
        <w:tab w:val="right" w:pos="8838"/>
      </w:tabs>
      <w:spacing w:after="0" w:line="240" w:lineRule="auto"/>
      <w:rPr>
        <w:color w:val="000000"/>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B89D23" w14:textId="37959643" w:rsidR="00896DFE" w:rsidRDefault="00293DAF">
    <w:pPr>
      <w:pBdr>
        <w:top w:val="nil"/>
        <w:left w:val="nil"/>
        <w:bottom w:val="nil"/>
        <w:right w:val="nil"/>
        <w:between w:val="nil"/>
      </w:pBdr>
      <w:tabs>
        <w:tab w:val="center" w:pos="4419"/>
        <w:tab w:val="right" w:pos="8838"/>
      </w:tabs>
      <w:spacing w:after="0" w:line="240" w:lineRule="auto"/>
      <w:jc w:val="center"/>
      <w:rPr>
        <w:color w:val="000000"/>
      </w:rPr>
    </w:pPr>
    <w:r>
      <w:rPr>
        <w:color w:val="000000"/>
      </w:rPr>
      <w:fldChar w:fldCharType="begin"/>
    </w:r>
    <w:r>
      <w:rPr>
        <w:color w:val="000000"/>
      </w:rPr>
      <w:instrText>PAGE</w:instrText>
    </w:r>
    <w:r>
      <w:rPr>
        <w:color w:val="000000"/>
      </w:rPr>
      <w:fldChar w:fldCharType="separate"/>
    </w:r>
    <w:r w:rsidR="00E732F1">
      <w:rPr>
        <w:noProof/>
        <w:color w:val="000000"/>
      </w:rPr>
      <w:t>1</w:t>
    </w:r>
    <w:r>
      <w:rPr>
        <w:color w:val="000000"/>
      </w:rPr>
      <w:fldChar w:fldCharType="end"/>
    </w:r>
    <w:r>
      <w:rPr>
        <w:noProof/>
      </w:rPr>
      <w:drawing>
        <wp:anchor distT="0" distB="0" distL="114300" distR="114300" simplePos="0" relativeHeight="251660288" behindDoc="0" locked="0" layoutInCell="1" hidden="0" allowOverlap="1" wp14:anchorId="4F187198" wp14:editId="77CABD44">
          <wp:simplePos x="0" y="0"/>
          <wp:positionH relativeFrom="column">
            <wp:posOffset>-803274</wp:posOffset>
          </wp:positionH>
          <wp:positionV relativeFrom="paragraph">
            <wp:posOffset>-360044</wp:posOffset>
          </wp:positionV>
          <wp:extent cx="2495550" cy="631190"/>
          <wp:effectExtent l="0" t="0" r="0" b="0"/>
          <wp:wrapNone/>
          <wp:docPr id="188960400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t="8722" b="8590"/>
                  <a:stretch>
                    <a:fillRect/>
                  </a:stretch>
                </pic:blipFill>
                <pic:spPr>
                  <a:xfrm>
                    <a:off x="0" y="0"/>
                    <a:ext cx="2495550" cy="631190"/>
                  </a:xfrm>
                  <a:prstGeom prst="rect">
                    <a:avLst/>
                  </a:prstGeom>
                  <a:ln/>
                </pic:spPr>
              </pic:pic>
            </a:graphicData>
          </a:graphic>
        </wp:anchor>
      </w:drawing>
    </w:r>
  </w:p>
  <w:p w14:paraId="027143BA" w14:textId="77777777" w:rsidR="00896DFE" w:rsidRDefault="00896DFE">
    <w:pPr>
      <w:pBdr>
        <w:top w:val="nil"/>
        <w:left w:val="nil"/>
        <w:bottom w:val="nil"/>
        <w:right w:val="nil"/>
        <w:between w:val="nil"/>
      </w:pBdr>
      <w:tabs>
        <w:tab w:val="center" w:pos="4419"/>
        <w:tab w:val="right" w:pos="8838"/>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2F6304"/>
    <w:multiLevelType w:val="multilevel"/>
    <w:tmpl w:val="CDCCB02C"/>
    <w:lvl w:ilvl="0">
      <w:start w:val="1"/>
      <w:numFmt w:val="bullet"/>
      <w:lvlText w:val="●"/>
      <w:lvlJc w:val="left"/>
      <w:pPr>
        <w:ind w:left="1287" w:hanging="360"/>
      </w:pPr>
      <w:rPr>
        <w:rFonts w:ascii="Noto Sans Symbols" w:eastAsia="Noto Sans Symbols" w:hAnsi="Noto Sans Symbols" w:cs="Noto Sans Symbols"/>
      </w:rPr>
    </w:lvl>
    <w:lvl w:ilvl="1">
      <w:start w:val="1"/>
      <w:numFmt w:val="bullet"/>
      <w:lvlText w:val="o"/>
      <w:lvlJc w:val="left"/>
      <w:pPr>
        <w:ind w:left="2007" w:hanging="360"/>
      </w:pPr>
      <w:rPr>
        <w:rFonts w:ascii="Courier New" w:eastAsia="Courier New" w:hAnsi="Courier New" w:cs="Courier New"/>
      </w:rPr>
    </w:lvl>
    <w:lvl w:ilvl="2">
      <w:start w:val="1"/>
      <w:numFmt w:val="bullet"/>
      <w:lvlText w:val="▪"/>
      <w:lvlJc w:val="left"/>
      <w:pPr>
        <w:ind w:left="2727" w:hanging="360"/>
      </w:pPr>
      <w:rPr>
        <w:rFonts w:ascii="Noto Sans Symbols" w:eastAsia="Noto Sans Symbols" w:hAnsi="Noto Sans Symbols" w:cs="Noto Sans Symbols"/>
      </w:rPr>
    </w:lvl>
    <w:lvl w:ilvl="3">
      <w:start w:val="1"/>
      <w:numFmt w:val="bullet"/>
      <w:lvlText w:val="●"/>
      <w:lvlJc w:val="left"/>
      <w:pPr>
        <w:ind w:left="3447" w:hanging="360"/>
      </w:pPr>
      <w:rPr>
        <w:rFonts w:ascii="Noto Sans Symbols" w:eastAsia="Noto Sans Symbols" w:hAnsi="Noto Sans Symbols" w:cs="Noto Sans Symbols"/>
      </w:rPr>
    </w:lvl>
    <w:lvl w:ilvl="4">
      <w:start w:val="1"/>
      <w:numFmt w:val="bullet"/>
      <w:lvlText w:val="o"/>
      <w:lvlJc w:val="left"/>
      <w:pPr>
        <w:ind w:left="4167" w:hanging="360"/>
      </w:pPr>
      <w:rPr>
        <w:rFonts w:ascii="Courier New" w:eastAsia="Courier New" w:hAnsi="Courier New" w:cs="Courier New"/>
      </w:rPr>
    </w:lvl>
    <w:lvl w:ilvl="5">
      <w:start w:val="1"/>
      <w:numFmt w:val="bullet"/>
      <w:lvlText w:val="▪"/>
      <w:lvlJc w:val="left"/>
      <w:pPr>
        <w:ind w:left="4887" w:hanging="360"/>
      </w:pPr>
      <w:rPr>
        <w:rFonts w:ascii="Noto Sans Symbols" w:eastAsia="Noto Sans Symbols" w:hAnsi="Noto Sans Symbols" w:cs="Noto Sans Symbols"/>
      </w:rPr>
    </w:lvl>
    <w:lvl w:ilvl="6">
      <w:start w:val="1"/>
      <w:numFmt w:val="bullet"/>
      <w:lvlText w:val="●"/>
      <w:lvlJc w:val="left"/>
      <w:pPr>
        <w:ind w:left="5607" w:hanging="360"/>
      </w:pPr>
      <w:rPr>
        <w:rFonts w:ascii="Noto Sans Symbols" w:eastAsia="Noto Sans Symbols" w:hAnsi="Noto Sans Symbols" w:cs="Noto Sans Symbols"/>
      </w:rPr>
    </w:lvl>
    <w:lvl w:ilvl="7">
      <w:start w:val="1"/>
      <w:numFmt w:val="bullet"/>
      <w:lvlText w:val="o"/>
      <w:lvlJc w:val="left"/>
      <w:pPr>
        <w:ind w:left="6327" w:hanging="360"/>
      </w:pPr>
      <w:rPr>
        <w:rFonts w:ascii="Courier New" w:eastAsia="Courier New" w:hAnsi="Courier New" w:cs="Courier New"/>
      </w:rPr>
    </w:lvl>
    <w:lvl w:ilvl="8">
      <w:start w:val="1"/>
      <w:numFmt w:val="bullet"/>
      <w:lvlText w:val="▪"/>
      <w:lvlJc w:val="left"/>
      <w:pPr>
        <w:ind w:left="7047" w:hanging="360"/>
      </w:pPr>
      <w:rPr>
        <w:rFonts w:ascii="Noto Sans Symbols" w:eastAsia="Noto Sans Symbols" w:hAnsi="Noto Sans Symbols" w:cs="Noto Sans Symbols"/>
      </w:rPr>
    </w:lvl>
  </w:abstractNum>
  <w:abstractNum w:abstractNumId="1" w15:restartNumberingAfterBreak="0">
    <w:nsid w:val="170A069C"/>
    <w:multiLevelType w:val="multilevel"/>
    <w:tmpl w:val="92EE4664"/>
    <w:lvl w:ilvl="0">
      <w:start w:val="5"/>
      <w:numFmt w:val="decimal"/>
      <w:lvlText w:val="%1."/>
      <w:lvlJc w:val="left"/>
      <w:pPr>
        <w:ind w:left="1287" w:hanging="360"/>
      </w:pPr>
    </w:lvl>
    <w:lvl w:ilvl="1">
      <w:start w:val="1"/>
      <w:numFmt w:val="lowerLetter"/>
      <w:lvlText w:val="%2."/>
      <w:lvlJc w:val="left"/>
      <w:pPr>
        <w:ind w:left="2007" w:hanging="360"/>
      </w:p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2" w15:restartNumberingAfterBreak="0">
    <w:nsid w:val="291E1030"/>
    <w:multiLevelType w:val="multilevel"/>
    <w:tmpl w:val="62D05062"/>
    <w:lvl w:ilvl="0">
      <w:start w:val="1"/>
      <w:numFmt w:val="bullet"/>
      <w:lvlText w:val="●"/>
      <w:lvlJc w:val="left"/>
      <w:pPr>
        <w:ind w:left="1287" w:hanging="360"/>
      </w:pPr>
      <w:rPr>
        <w:rFonts w:ascii="Noto Sans Symbols" w:eastAsia="Noto Sans Symbols" w:hAnsi="Noto Sans Symbols" w:cs="Noto Sans Symbols"/>
      </w:rPr>
    </w:lvl>
    <w:lvl w:ilvl="1">
      <w:start w:val="1"/>
      <w:numFmt w:val="bullet"/>
      <w:lvlText w:val="o"/>
      <w:lvlJc w:val="left"/>
      <w:pPr>
        <w:ind w:left="2007" w:hanging="360"/>
      </w:pPr>
      <w:rPr>
        <w:rFonts w:ascii="Courier New" w:eastAsia="Courier New" w:hAnsi="Courier New" w:cs="Courier New"/>
      </w:rPr>
    </w:lvl>
    <w:lvl w:ilvl="2">
      <w:start w:val="1"/>
      <w:numFmt w:val="bullet"/>
      <w:lvlText w:val="▪"/>
      <w:lvlJc w:val="left"/>
      <w:pPr>
        <w:ind w:left="2727" w:hanging="360"/>
      </w:pPr>
      <w:rPr>
        <w:rFonts w:ascii="Noto Sans Symbols" w:eastAsia="Noto Sans Symbols" w:hAnsi="Noto Sans Symbols" w:cs="Noto Sans Symbols"/>
      </w:rPr>
    </w:lvl>
    <w:lvl w:ilvl="3">
      <w:start w:val="1"/>
      <w:numFmt w:val="bullet"/>
      <w:lvlText w:val="●"/>
      <w:lvlJc w:val="left"/>
      <w:pPr>
        <w:ind w:left="3447" w:hanging="360"/>
      </w:pPr>
      <w:rPr>
        <w:rFonts w:ascii="Noto Sans Symbols" w:eastAsia="Noto Sans Symbols" w:hAnsi="Noto Sans Symbols" w:cs="Noto Sans Symbols"/>
      </w:rPr>
    </w:lvl>
    <w:lvl w:ilvl="4">
      <w:start w:val="1"/>
      <w:numFmt w:val="bullet"/>
      <w:lvlText w:val="o"/>
      <w:lvlJc w:val="left"/>
      <w:pPr>
        <w:ind w:left="4167" w:hanging="360"/>
      </w:pPr>
      <w:rPr>
        <w:rFonts w:ascii="Courier New" w:eastAsia="Courier New" w:hAnsi="Courier New" w:cs="Courier New"/>
      </w:rPr>
    </w:lvl>
    <w:lvl w:ilvl="5">
      <w:start w:val="1"/>
      <w:numFmt w:val="bullet"/>
      <w:lvlText w:val="▪"/>
      <w:lvlJc w:val="left"/>
      <w:pPr>
        <w:ind w:left="4887" w:hanging="360"/>
      </w:pPr>
      <w:rPr>
        <w:rFonts w:ascii="Noto Sans Symbols" w:eastAsia="Noto Sans Symbols" w:hAnsi="Noto Sans Symbols" w:cs="Noto Sans Symbols"/>
      </w:rPr>
    </w:lvl>
    <w:lvl w:ilvl="6">
      <w:start w:val="1"/>
      <w:numFmt w:val="bullet"/>
      <w:lvlText w:val="●"/>
      <w:lvlJc w:val="left"/>
      <w:pPr>
        <w:ind w:left="5607" w:hanging="360"/>
      </w:pPr>
      <w:rPr>
        <w:rFonts w:ascii="Noto Sans Symbols" w:eastAsia="Noto Sans Symbols" w:hAnsi="Noto Sans Symbols" w:cs="Noto Sans Symbols"/>
      </w:rPr>
    </w:lvl>
    <w:lvl w:ilvl="7">
      <w:start w:val="1"/>
      <w:numFmt w:val="bullet"/>
      <w:lvlText w:val="o"/>
      <w:lvlJc w:val="left"/>
      <w:pPr>
        <w:ind w:left="6327" w:hanging="360"/>
      </w:pPr>
      <w:rPr>
        <w:rFonts w:ascii="Courier New" w:eastAsia="Courier New" w:hAnsi="Courier New" w:cs="Courier New"/>
      </w:rPr>
    </w:lvl>
    <w:lvl w:ilvl="8">
      <w:start w:val="1"/>
      <w:numFmt w:val="bullet"/>
      <w:lvlText w:val="▪"/>
      <w:lvlJc w:val="left"/>
      <w:pPr>
        <w:ind w:left="7047" w:hanging="360"/>
      </w:pPr>
      <w:rPr>
        <w:rFonts w:ascii="Noto Sans Symbols" w:eastAsia="Noto Sans Symbols" w:hAnsi="Noto Sans Symbols" w:cs="Noto Sans Symbols"/>
      </w:rPr>
    </w:lvl>
  </w:abstractNum>
  <w:abstractNum w:abstractNumId="3" w15:restartNumberingAfterBreak="0">
    <w:nsid w:val="68392BAE"/>
    <w:multiLevelType w:val="multilevel"/>
    <w:tmpl w:val="DDEE7F62"/>
    <w:lvl w:ilvl="0">
      <w:start w:val="1"/>
      <w:numFmt w:val="decimal"/>
      <w:lvlText w:val="%1."/>
      <w:lvlJc w:val="left"/>
      <w:pPr>
        <w:ind w:left="2061" w:hanging="360"/>
      </w:pPr>
    </w:lvl>
    <w:lvl w:ilvl="1">
      <w:start w:val="1"/>
      <w:numFmt w:val="lowerLetter"/>
      <w:lvlText w:val="%2."/>
      <w:lvlJc w:val="left"/>
      <w:pPr>
        <w:ind w:left="2781" w:hanging="360"/>
      </w:pPr>
    </w:lvl>
    <w:lvl w:ilvl="2">
      <w:start w:val="1"/>
      <w:numFmt w:val="lowerRoman"/>
      <w:lvlText w:val="%3."/>
      <w:lvlJc w:val="right"/>
      <w:pPr>
        <w:ind w:left="3501" w:hanging="180"/>
      </w:pPr>
    </w:lvl>
    <w:lvl w:ilvl="3">
      <w:start w:val="1"/>
      <w:numFmt w:val="decimal"/>
      <w:lvlText w:val="%4."/>
      <w:lvlJc w:val="left"/>
      <w:pPr>
        <w:ind w:left="4221" w:hanging="360"/>
      </w:pPr>
    </w:lvl>
    <w:lvl w:ilvl="4">
      <w:start w:val="1"/>
      <w:numFmt w:val="lowerLetter"/>
      <w:lvlText w:val="%5."/>
      <w:lvlJc w:val="left"/>
      <w:pPr>
        <w:ind w:left="4941" w:hanging="360"/>
      </w:pPr>
    </w:lvl>
    <w:lvl w:ilvl="5">
      <w:start w:val="1"/>
      <w:numFmt w:val="lowerRoman"/>
      <w:lvlText w:val="%6."/>
      <w:lvlJc w:val="right"/>
      <w:pPr>
        <w:ind w:left="5661" w:hanging="180"/>
      </w:pPr>
    </w:lvl>
    <w:lvl w:ilvl="6">
      <w:start w:val="1"/>
      <w:numFmt w:val="decimal"/>
      <w:lvlText w:val="%7."/>
      <w:lvlJc w:val="left"/>
      <w:pPr>
        <w:ind w:left="6381" w:hanging="360"/>
      </w:pPr>
    </w:lvl>
    <w:lvl w:ilvl="7">
      <w:start w:val="1"/>
      <w:numFmt w:val="lowerLetter"/>
      <w:lvlText w:val="%8."/>
      <w:lvlJc w:val="left"/>
      <w:pPr>
        <w:ind w:left="7101" w:hanging="360"/>
      </w:pPr>
    </w:lvl>
    <w:lvl w:ilvl="8">
      <w:start w:val="1"/>
      <w:numFmt w:val="lowerRoman"/>
      <w:lvlText w:val="%9."/>
      <w:lvlJc w:val="right"/>
      <w:pPr>
        <w:ind w:left="7821" w:hanging="180"/>
      </w:p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6DFE"/>
    <w:rsid w:val="000227E2"/>
    <w:rsid w:val="000F5D29"/>
    <w:rsid w:val="0024211E"/>
    <w:rsid w:val="00293DAF"/>
    <w:rsid w:val="00306677"/>
    <w:rsid w:val="0043307C"/>
    <w:rsid w:val="0045445A"/>
    <w:rsid w:val="004D567A"/>
    <w:rsid w:val="005D20EA"/>
    <w:rsid w:val="007E65E6"/>
    <w:rsid w:val="00812564"/>
    <w:rsid w:val="00890477"/>
    <w:rsid w:val="00896DFE"/>
    <w:rsid w:val="008A604E"/>
    <w:rsid w:val="00920868"/>
    <w:rsid w:val="00A61765"/>
    <w:rsid w:val="00B42851"/>
    <w:rsid w:val="00BB125F"/>
    <w:rsid w:val="00C33B7D"/>
    <w:rsid w:val="00E01647"/>
    <w:rsid w:val="00E732F1"/>
    <w:rsid w:val="00FB1995"/>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6D163B"/>
  <w15:docId w15:val="{E07DA3FF-F0F2-42EC-8A22-8CD59568EA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96314"/>
  </w:style>
  <w:style w:type="paragraph" w:styleId="Ttulo1">
    <w:name w:val="heading 1"/>
    <w:basedOn w:val="Normal"/>
    <w:next w:val="Normal"/>
    <w:link w:val="Ttulo1Car"/>
    <w:uiPriority w:val="9"/>
    <w:qFormat/>
    <w:rsid w:val="00B8023E"/>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Ttulo2">
    <w:name w:val="heading 2"/>
    <w:basedOn w:val="Normal"/>
    <w:next w:val="Normal"/>
    <w:link w:val="Ttulo2Car"/>
    <w:uiPriority w:val="9"/>
    <w:semiHidden/>
    <w:unhideWhenUsed/>
    <w:qFormat/>
    <w:rsid w:val="00B8023E"/>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link w:val="TtuloCar"/>
    <w:uiPriority w:val="10"/>
    <w:qFormat/>
    <w:rsid w:val="00B8023E"/>
    <w:pPr>
      <w:spacing w:after="0" w:line="240" w:lineRule="auto"/>
      <w:contextualSpacing/>
    </w:pPr>
    <w:rPr>
      <w:rFonts w:asciiTheme="majorHAnsi" w:eastAsiaTheme="majorEastAsia" w:hAnsiTheme="majorHAnsi" w:cstheme="majorBidi"/>
      <w:spacing w:val="-10"/>
      <w:kern w:val="28"/>
      <w:sz w:val="56"/>
      <w:szCs w:val="56"/>
    </w:rPr>
  </w:style>
  <w:style w:type="paragraph" w:styleId="Encabezado">
    <w:name w:val="header"/>
    <w:basedOn w:val="Normal"/>
    <w:link w:val="EncabezadoCar"/>
    <w:uiPriority w:val="99"/>
    <w:unhideWhenUsed/>
    <w:rsid w:val="00604752"/>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04752"/>
  </w:style>
  <w:style w:type="paragraph" w:styleId="Piedepgina">
    <w:name w:val="footer"/>
    <w:basedOn w:val="Normal"/>
    <w:link w:val="PiedepginaCar"/>
    <w:uiPriority w:val="99"/>
    <w:unhideWhenUsed/>
    <w:rsid w:val="00604752"/>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04752"/>
  </w:style>
  <w:style w:type="paragraph" w:styleId="Textodeglobo">
    <w:name w:val="Balloon Text"/>
    <w:basedOn w:val="Normal"/>
    <w:link w:val="TextodegloboCar"/>
    <w:uiPriority w:val="99"/>
    <w:semiHidden/>
    <w:unhideWhenUsed/>
    <w:rsid w:val="003337E5"/>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3337E5"/>
    <w:rPr>
      <w:rFonts w:ascii="Segoe UI" w:hAnsi="Segoe UI" w:cs="Segoe UI"/>
      <w:sz w:val="18"/>
      <w:szCs w:val="18"/>
    </w:rPr>
  </w:style>
  <w:style w:type="character" w:styleId="Hipervnculo">
    <w:name w:val="Hyperlink"/>
    <w:basedOn w:val="Fuentedeprrafopredeter"/>
    <w:uiPriority w:val="99"/>
    <w:semiHidden/>
    <w:unhideWhenUsed/>
    <w:rsid w:val="00330516"/>
    <w:rPr>
      <w:color w:val="0000FF"/>
      <w:u w:val="single"/>
    </w:rPr>
  </w:style>
  <w:style w:type="paragraph" w:styleId="Prrafodelista">
    <w:name w:val="List Paragraph"/>
    <w:basedOn w:val="Normal"/>
    <w:uiPriority w:val="34"/>
    <w:qFormat/>
    <w:rsid w:val="00B8023E"/>
    <w:pPr>
      <w:ind w:left="720"/>
      <w:contextualSpacing/>
    </w:pPr>
  </w:style>
  <w:style w:type="character" w:customStyle="1" w:styleId="Ttulo1Car">
    <w:name w:val="Título 1 Car"/>
    <w:basedOn w:val="Fuentedeprrafopredeter"/>
    <w:link w:val="Ttulo1"/>
    <w:uiPriority w:val="9"/>
    <w:rsid w:val="00B8023E"/>
    <w:rPr>
      <w:rFonts w:asciiTheme="majorHAnsi" w:eastAsiaTheme="majorEastAsia" w:hAnsiTheme="majorHAnsi" w:cstheme="majorBidi"/>
      <w:color w:val="365F91" w:themeColor="accent1" w:themeShade="BF"/>
      <w:sz w:val="32"/>
      <w:szCs w:val="32"/>
    </w:rPr>
  </w:style>
  <w:style w:type="character" w:customStyle="1" w:styleId="Ttulo2Car">
    <w:name w:val="Título 2 Car"/>
    <w:basedOn w:val="Fuentedeprrafopredeter"/>
    <w:link w:val="Ttulo2"/>
    <w:uiPriority w:val="9"/>
    <w:rsid w:val="00B8023E"/>
    <w:rPr>
      <w:rFonts w:asciiTheme="majorHAnsi" w:eastAsiaTheme="majorEastAsia" w:hAnsiTheme="majorHAnsi" w:cstheme="majorBidi"/>
      <w:color w:val="365F91" w:themeColor="accent1" w:themeShade="BF"/>
      <w:sz w:val="26"/>
      <w:szCs w:val="26"/>
    </w:rPr>
  </w:style>
  <w:style w:type="paragraph" w:styleId="Lista2">
    <w:name w:val="List 2"/>
    <w:basedOn w:val="Normal"/>
    <w:uiPriority w:val="99"/>
    <w:unhideWhenUsed/>
    <w:rsid w:val="00B8023E"/>
    <w:pPr>
      <w:ind w:left="566" w:hanging="283"/>
      <w:contextualSpacing/>
    </w:pPr>
  </w:style>
  <w:style w:type="character" w:customStyle="1" w:styleId="TtuloCar">
    <w:name w:val="Título Car"/>
    <w:basedOn w:val="Fuentedeprrafopredeter"/>
    <w:link w:val="Ttulo"/>
    <w:uiPriority w:val="10"/>
    <w:rsid w:val="00B8023E"/>
    <w:rPr>
      <w:rFonts w:asciiTheme="majorHAnsi" w:eastAsiaTheme="majorEastAsia" w:hAnsiTheme="majorHAnsi" w:cstheme="majorBidi"/>
      <w:spacing w:val="-10"/>
      <w:kern w:val="28"/>
      <w:sz w:val="56"/>
      <w:szCs w:val="56"/>
    </w:rPr>
  </w:style>
  <w:style w:type="paragraph" w:styleId="Textoindependiente">
    <w:name w:val="Body Text"/>
    <w:basedOn w:val="Normal"/>
    <w:link w:val="TextoindependienteCar"/>
    <w:uiPriority w:val="99"/>
    <w:unhideWhenUsed/>
    <w:rsid w:val="00B8023E"/>
    <w:pPr>
      <w:spacing w:after="120"/>
    </w:pPr>
  </w:style>
  <w:style w:type="character" w:customStyle="1" w:styleId="TextoindependienteCar">
    <w:name w:val="Texto independiente Car"/>
    <w:basedOn w:val="Fuentedeprrafopredeter"/>
    <w:link w:val="Textoindependiente"/>
    <w:uiPriority w:val="99"/>
    <w:rsid w:val="00B8023E"/>
  </w:style>
  <w:style w:type="paragraph" w:styleId="Sangradetextonormal">
    <w:name w:val="Body Text Indent"/>
    <w:basedOn w:val="Normal"/>
    <w:link w:val="SangradetextonormalCar"/>
    <w:uiPriority w:val="99"/>
    <w:unhideWhenUsed/>
    <w:rsid w:val="00B8023E"/>
    <w:pPr>
      <w:spacing w:after="120"/>
      <w:ind w:left="283"/>
    </w:pPr>
  </w:style>
  <w:style w:type="character" w:customStyle="1" w:styleId="SangradetextonormalCar">
    <w:name w:val="Sangría de texto normal Car"/>
    <w:basedOn w:val="Fuentedeprrafopredeter"/>
    <w:link w:val="Sangradetextonormal"/>
    <w:uiPriority w:val="99"/>
    <w:rsid w:val="00B8023E"/>
  </w:style>
  <w:style w:type="paragraph" w:styleId="Textoindependienteprimerasangra">
    <w:name w:val="Body Text First Indent"/>
    <w:basedOn w:val="Textoindependiente"/>
    <w:link w:val="TextoindependienteprimerasangraCar"/>
    <w:uiPriority w:val="99"/>
    <w:unhideWhenUsed/>
    <w:rsid w:val="00B8023E"/>
    <w:pPr>
      <w:spacing w:after="200"/>
      <w:ind w:firstLine="360"/>
    </w:pPr>
  </w:style>
  <w:style w:type="character" w:customStyle="1" w:styleId="TextoindependienteprimerasangraCar">
    <w:name w:val="Texto independiente primera sangría Car"/>
    <w:basedOn w:val="TextoindependienteCar"/>
    <w:link w:val="Textoindependienteprimerasangra"/>
    <w:uiPriority w:val="99"/>
    <w:rsid w:val="00B8023E"/>
  </w:style>
  <w:style w:type="paragraph" w:styleId="Textoindependienteprimerasangra2">
    <w:name w:val="Body Text First Indent 2"/>
    <w:basedOn w:val="Sangradetextonormal"/>
    <w:link w:val="Textoindependienteprimerasangra2Car"/>
    <w:uiPriority w:val="99"/>
    <w:unhideWhenUsed/>
    <w:rsid w:val="00B8023E"/>
    <w:pPr>
      <w:spacing w:after="20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B8023E"/>
  </w:style>
  <w:style w:type="character" w:customStyle="1" w:styleId="corte4fondoCar">
    <w:name w:val="corte4 fondo Car"/>
    <w:link w:val="corte4fondo"/>
    <w:locked/>
    <w:rsid w:val="001C6514"/>
    <w:rPr>
      <w:rFonts w:ascii="Arial" w:eastAsia="Times New Roman" w:hAnsi="Arial" w:cs="Times New Roman"/>
      <w:sz w:val="30"/>
      <w:szCs w:val="20"/>
      <w:lang w:val="es-ES_tradnl" w:eastAsia="es-ES"/>
    </w:rPr>
  </w:style>
  <w:style w:type="paragraph" w:customStyle="1" w:styleId="corte4fondo">
    <w:name w:val="corte4 fondo"/>
    <w:basedOn w:val="Normal"/>
    <w:link w:val="corte4fondoCar"/>
    <w:rsid w:val="001C6514"/>
    <w:pPr>
      <w:spacing w:after="0" w:line="360" w:lineRule="auto"/>
      <w:ind w:firstLine="709"/>
      <w:jc w:val="both"/>
    </w:pPr>
    <w:rPr>
      <w:rFonts w:ascii="Arial" w:eastAsia="Times New Roman" w:hAnsi="Arial" w:cs="Times New Roman"/>
      <w:sz w:val="30"/>
      <w:szCs w:val="20"/>
      <w:lang w:val="es-ES_tradnl" w:eastAsia="es-ES"/>
    </w:rPr>
  </w:style>
  <w:style w:type="paragraph" w:styleId="Textonotapie">
    <w:name w:val="footnote text"/>
    <w:aliases w:val=" Car,Footnote Text Char Char Char Char Char,Footnote Text Char Char Char Char,Footnote reference,FA Fu,Car,Footnote Text Char Char Char,Footnote Text Cha,FA Fußnotentext,FA Fu?notentext,Footnote Text Char Char,FA Fuﬂnotentext,Ca, Car3,C, "/>
    <w:basedOn w:val="Normal"/>
    <w:link w:val="TextonotapieCar"/>
    <w:uiPriority w:val="99"/>
    <w:unhideWhenUsed/>
    <w:qFormat/>
    <w:rsid w:val="00B17526"/>
    <w:pPr>
      <w:spacing w:after="0" w:line="240" w:lineRule="auto"/>
    </w:pPr>
    <w:rPr>
      <w:sz w:val="20"/>
      <w:szCs w:val="20"/>
    </w:rPr>
  </w:style>
  <w:style w:type="character" w:customStyle="1" w:styleId="TextonotapieCar">
    <w:name w:val="Texto nota pie Car"/>
    <w:aliases w:val=" Car Car,Footnote Text Char Char Char Char Char Car,Footnote Text Char Char Char Char Car,Footnote reference Car,FA Fu Car,Car Car,Footnote Text Char Char Char Car,Footnote Text Cha Car,FA Fußnotentext Car,FA Fu?notentext Car,Ca Car"/>
    <w:basedOn w:val="Fuentedeprrafopredeter"/>
    <w:link w:val="Textonotapie"/>
    <w:uiPriority w:val="99"/>
    <w:rsid w:val="00B17526"/>
    <w:rPr>
      <w:sz w:val="20"/>
      <w:szCs w:val="20"/>
    </w:rPr>
  </w:style>
  <w:style w:type="paragraph" w:customStyle="1" w:styleId="corte3centro">
    <w:name w:val="corte3 centro"/>
    <w:basedOn w:val="Normal"/>
    <w:link w:val="corte3centroCar"/>
    <w:rsid w:val="00AA5876"/>
    <w:pPr>
      <w:spacing w:after="0" w:line="360" w:lineRule="auto"/>
      <w:jc w:val="center"/>
    </w:pPr>
    <w:rPr>
      <w:rFonts w:ascii="Arial" w:eastAsia="Times New Roman" w:hAnsi="Arial" w:cs="Times New Roman"/>
      <w:b/>
      <w:sz w:val="30"/>
      <w:szCs w:val="20"/>
      <w:lang w:val="es-ES_tradnl" w:eastAsia="es-ES"/>
    </w:rPr>
  </w:style>
  <w:style w:type="character" w:customStyle="1" w:styleId="corte3centroCar">
    <w:name w:val="corte3 centro Car"/>
    <w:link w:val="corte3centro"/>
    <w:rsid w:val="00AA5876"/>
    <w:rPr>
      <w:rFonts w:ascii="Arial" w:eastAsia="Times New Roman" w:hAnsi="Arial" w:cs="Times New Roman"/>
      <w:b/>
      <w:sz w:val="30"/>
      <w:szCs w:val="20"/>
      <w:lang w:val="es-ES_tradnl" w:eastAsia="es-ES"/>
    </w:rPr>
  </w:style>
  <w:style w:type="character" w:customStyle="1" w:styleId="lbl-encabezado-negro">
    <w:name w:val="lbl-encabezado-negro"/>
    <w:basedOn w:val="Fuentedeprrafopredeter"/>
    <w:rsid w:val="00C659D1"/>
  </w:style>
  <w:style w:type="character" w:customStyle="1" w:styleId="red">
    <w:name w:val="red"/>
    <w:basedOn w:val="Fuentedeprrafopredeter"/>
    <w:rsid w:val="0013532F"/>
  </w:style>
  <w:style w:type="character" w:styleId="Refdenotaalpie">
    <w:name w:val="footnote reference"/>
    <w:aliases w:val="Footnotes refss,Texto de nota al pie,Appel note de bas de page,Ref. de nota al pie 2,f,Footnote number,referencia nota al pie,BVI fnr,4_G,16 Point,Superscript 6 Point,Texto nota al pie,Footnote Reference Char3,Footnote Reference,Ref"/>
    <w:uiPriority w:val="99"/>
    <w:unhideWhenUsed/>
    <w:qFormat/>
    <w:rsid w:val="008C0D59"/>
    <w:rPr>
      <w:vertAlign w:val="superscript"/>
    </w:rPr>
  </w:style>
  <w:style w:type="paragraph" w:customStyle="1" w:styleId="Estilo">
    <w:name w:val="Estilo"/>
    <w:basedOn w:val="Sinespaciado"/>
    <w:link w:val="EstiloCar"/>
    <w:qFormat/>
    <w:rsid w:val="008C0D59"/>
    <w:pPr>
      <w:jc w:val="both"/>
    </w:pPr>
    <w:rPr>
      <w:rFonts w:ascii="Arial" w:eastAsiaTheme="minorEastAsia" w:hAnsi="Arial"/>
      <w:sz w:val="24"/>
    </w:rPr>
  </w:style>
  <w:style w:type="character" w:customStyle="1" w:styleId="EstiloCar">
    <w:name w:val="Estilo Car"/>
    <w:basedOn w:val="Fuentedeprrafopredeter"/>
    <w:link w:val="Estilo"/>
    <w:rsid w:val="008C0D59"/>
    <w:rPr>
      <w:rFonts w:ascii="Arial" w:eastAsiaTheme="minorEastAsia" w:hAnsi="Arial"/>
      <w:sz w:val="24"/>
      <w:lang w:eastAsia="es-MX"/>
    </w:rPr>
  </w:style>
  <w:style w:type="paragraph" w:styleId="Sinespaciado">
    <w:name w:val="No Spacing"/>
    <w:uiPriority w:val="1"/>
    <w:qFormat/>
    <w:rsid w:val="008C0D59"/>
    <w:pPr>
      <w:spacing w:after="0" w:line="240" w:lineRule="auto"/>
    </w:pPr>
  </w:style>
  <w:style w:type="paragraph" w:customStyle="1" w:styleId="Sangra2detindependiente1">
    <w:name w:val="Sangría 2 de t. independiente1"/>
    <w:basedOn w:val="Normal"/>
    <w:rsid w:val="00102315"/>
    <w:pPr>
      <w:widowControl w:val="0"/>
      <w:spacing w:after="0" w:line="240" w:lineRule="auto"/>
      <w:ind w:firstLine="708"/>
      <w:jc w:val="both"/>
    </w:pPr>
    <w:rPr>
      <w:rFonts w:ascii="Arial" w:eastAsia="Times New Roman" w:hAnsi="Arial" w:cs="Times New Roman"/>
      <w:b/>
      <w:i/>
      <w:sz w:val="24"/>
      <w:szCs w:val="20"/>
      <w:lang w:val="es-ES_tradnl"/>
    </w:rPr>
  </w:style>
  <w:style w:type="paragraph" w:styleId="NormalWeb">
    <w:name w:val="Normal (Web)"/>
    <w:basedOn w:val="Normal"/>
    <w:uiPriority w:val="99"/>
    <w:unhideWhenUsed/>
    <w:rsid w:val="00CC0259"/>
    <w:pPr>
      <w:spacing w:before="100" w:beforeAutospacing="1" w:after="100" w:afterAutospacing="1" w:line="240" w:lineRule="auto"/>
    </w:pPr>
    <w:rPr>
      <w:rFonts w:ascii="Times New Roman" w:eastAsia="Times New Roman" w:hAnsi="Times New Roman" w:cs="Times New Roman"/>
      <w:sz w:val="24"/>
      <w:szCs w:val="24"/>
    </w:rPr>
  </w:style>
  <w:style w:type="paragraph" w:styleId="TtuloTDC">
    <w:name w:val="TOC Heading"/>
    <w:basedOn w:val="Ttulo1"/>
    <w:next w:val="Normal"/>
    <w:uiPriority w:val="39"/>
    <w:unhideWhenUsed/>
    <w:qFormat/>
    <w:rsid w:val="007F379C"/>
    <w:pPr>
      <w:spacing w:before="320" w:line="240" w:lineRule="auto"/>
      <w:outlineLvl w:val="9"/>
    </w:pPr>
    <w:rPr>
      <w:sz w:val="30"/>
      <w:szCs w:val="30"/>
    </w:rPr>
  </w:style>
  <w:style w:type="paragraph" w:styleId="TDC1">
    <w:name w:val="toc 1"/>
    <w:basedOn w:val="Normal"/>
    <w:next w:val="Normal"/>
    <w:autoRedefine/>
    <w:uiPriority w:val="39"/>
    <w:unhideWhenUsed/>
    <w:rsid w:val="007F379C"/>
    <w:pPr>
      <w:tabs>
        <w:tab w:val="right" w:leader="dot" w:pos="8828"/>
      </w:tabs>
      <w:spacing w:after="100" w:line="360" w:lineRule="auto"/>
    </w:pPr>
    <w:rPr>
      <w:rFonts w:ascii="Arial" w:eastAsiaTheme="minorEastAsia" w:hAnsi="Arial" w:cs="Arial"/>
      <w:b/>
      <w:noProof/>
      <w:sz w:val="24"/>
      <w:szCs w:val="24"/>
    </w:rPr>
  </w:style>
  <w:style w:type="paragraph" w:styleId="TDC2">
    <w:name w:val="toc 2"/>
    <w:basedOn w:val="Normal"/>
    <w:next w:val="Normal"/>
    <w:autoRedefine/>
    <w:uiPriority w:val="39"/>
    <w:unhideWhenUsed/>
    <w:rsid w:val="007F379C"/>
    <w:pPr>
      <w:spacing w:after="100" w:line="259" w:lineRule="auto"/>
      <w:ind w:left="220"/>
    </w:pPr>
    <w:rPr>
      <w:rFonts w:eastAsiaTheme="minorEastAsia"/>
    </w:rPr>
  </w:style>
  <w:style w:type="table" w:styleId="Tablaconcuadrcula">
    <w:name w:val="Table Grid"/>
    <w:basedOn w:val="Tablanormal"/>
    <w:uiPriority w:val="59"/>
    <w:rsid w:val="009A13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lendarText">
    <w:name w:val="CalendarText"/>
    <w:basedOn w:val="Normal"/>
    <w:link w:val="CalendarTextChar"/>
    <w:rsid w:val="003A568C"/>
    <w:pPr>
      <w:spacing w:after="0" w:line="240" w:lineRule="auto"/>
    </w:pPr>
    <w:rPr>
      <w:rFonts w:ascii="Arial" w:eastAsia="Times New Roman" w:hAnsi="Arial" w:cs="Arial"/>
      <w:color w:val="000000"/>
      <w:sz w:val="20"/>
      <w:szCs w:val="24"/>
      <w:lang w:val="en-US"/>
    </w:rPr>
  </w:style>
  <w:style w:type="character" w:customStyle="1" w:styleId="WinCalendarBLANKCELLSTYLE0">
    <w:name w:val="WinCalendar_BLANKCELL_STYLE0"/>
    <w:rsid w:val="003A568C"/>
    <w:rPr>
      <w:rFonts w:ascii="Arial Narrow" w:hAnsi="Arial Narrow"/>
      <w:b w:val="0"/>
      <w:color w:val="000000"/>
      <w:sz w:val="16"/>
      <w:szCs w:val="20"/>
    </w:rPr>
  </w:style>
  <w:style w:type="character" w:customStyle="1" w:styleId="CalendarTextChar">
    <w:name w:val="CalendarText Char"/>
    <w:basedOn w:val="Fuentedeprrafopredeter"/>
    <w:link w:val="CalendarText"/>
    <w:rsid w:val="003A568C"/>
    <w:rPr>
      <w:rFonts w:ascii="Arial" w:eastAsia="Times New Roman" w:hAnsi="Arial" w:cs="Arial"/>
      <w:color w:val="000000"/>
      <w:sz w:val="20"/>
      <w:szCs w:val="24"/>
      <w:lang w:val="en-US"/>
    </w:rPr>
  </w:style>
  <w:style w:type="character" w:customStyle="1" w:styleId="CalendarNumbers">
    <w:name w:val="CalendarNumbers"/>
    <w:basedOn w:val="Fuentedeprrafopredeter"/>
    <w:rsid w:val="003A568C"/>
    <w:rPr>
      <w:rFonts w:ascii="Arial" w:hAnsi="Arial"/>
      <w:b/>
      <w:bCs/>
      <w:color w:val="000080"/>
      <w:sz w:val="24"/>
    </w:rPr>
  </w:style>
  <w:style w:type="character" w:customStyle="1" w:styleId="StyleStyleCalendarNumbers10ptNotBold11pt">
    <w:name w:val="Style Style CalendarNumbers + 10 pt Not Bold + 11 pt"/>
    <w:basedOn w:val="Fuentedeprrafopredeter"/>
    <w:rsid w:val="003A568C"/>
    <w:rPr>
      <w:rFonts w:ascii="Arial" w:hAnsi="Arial"/>
      <w:b/>
      <w:bCs/>
      <w:color w:val="000080"/>
      <w:sz w:val="22"/>
      <w:szCs w:val="20"/>
    </w:rPr>
  </w:style>
  <w:style w:type="character" w:customStyle="1" w:styleId="WinCalendarHolidayBlue">
    <w:name w:val="WinCalendar_HolidayBlue"/>
    <w:basedOn w:val="Fuentedeprrafopredeter"/>
    <w:rsid w:val="003A568C"/>
    <w:rPr>
      <w:rFonts w:ascii="Arial Narrow" w:hAnsi="Arial Narrow"/>
      <w:b w:val="0"/>
      <w:color w:val="333399"/>
      <w:sz w:val="16"/>
    </w:rPr>
  </w:style>
  <w:style w:type="character" w:customStyle="1" w:styleId="ng-star-inserted">
    <w:name w:val="ng-star-inserted"/>
    <w:basedOn w:val="Fuentedeprrafopredeter"/>
    <w:rsid w:val="00525623"/>
  </w:style>
  <w:style w:type="character" w:styleId="Textoennegrita">
    <w:name w:val="Strong"/>
    <w:basedOn w:val="Fuentedeprrafopredeter"/>
    <w:uiPriority w:val="22"/>
    <w:qFormat/>
    <w:rsid w:val="00941F75"/>
    <w:rPr>
      <w:b/>
      <w:bCs/>
    </w:rPr>
  </w:style>
  <w:style w:type="character" w:customStyle="1" w:styleId="skin-color-text">
    <w:name w:val="skin-color-text"/>
    <w:basedOn w:val="Fuentedeprrafopredeter"/>
    <w:rsid w:val="00941F75"/>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mB+19WhVNzA/UB/llnM3mcgc+fg==">CgMxLjAyCGguZ2pkZ3hzOAByITFNb1dVVmtHYU5MRkl2LXZnTGQ5cjlUMlJUMi1MTVF5Tg==</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C4447CCB-E3ED-4EE4-89DB-3DFED3AF34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9</Pages>
  <Words>2813</Words>
  <Characters>15477</Characters>
  <Application>Microsoft Office Word</Application>
  <DocSecurity>0</DocSecurity>
  <Lines>128</Lines>
  <Paragraphs>36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Nineth</cp:lastModifiedBy>
  <cp:revision>19</cp:revision>
  <cp:lastPrinted>2023-09-28T16:50:00Z</cp:lastPrinted>
  <dcterms:created xsi:type="dcterms:W3CDTF">2023-09-25T17:40:00Z</dcterms:created>
  <dcterms:modified xsi:type="dcterms:W3CDTF">2023-10-25T19:49:00Z</dcterms:modified>
</cp:coreProperties>
</file>