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4C2614">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6FAF062C" w:rsidR="001658D6" w:rsidRPr="00EE4752" w:rsidRDefault="00F71B86" w:rsidP="004C2614">
      <w:pPr>
        <w:spacing w:line="240" w:lineRule="auto"/>
        <w:ind w:left="2835"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504F276F" w:rsidR="00140805" w:rsidRDefault="00F71B86"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E26C96">
        <w:rPr>
          <w:rFonts w:ascii="Arial" w:eastAsia="Times New Roman" w:hAnsi="Arial" w:cs="Arial"/>
          <w:sz w:val="26"/>
          <w:szCs w:val="26"/>
          <w:lang w:val="es-ES_tradnl" w:eastAsia="es-ES"/>
        </w:rPr>
        <w:t>000320/2022</w:t>
      </w:r>
      <w:r w:rsidR="00900CC1" w:rsidRPr="00F71B86">
        <w:rPr>
          <w:rFonts w:ascii="Arial" w:eastAsia="Times New Roman" w:hAnsi="Arial" w:cs="Arial"/>
          <w:bCs/>
          <w:sz w:val="26"/>
          <w:szCs w:val="26"/>
          <w:lang w:val="es-ES_tradnl" w:eastAsia="es-ES"/>
        </w:rPr>
        <w:t>.</w:t>
      </w:r>
      <w:r w:rsidR="00140805" w:rsidRPr="00F71B86">
        <w:rPr>
          <w:rFonts w:ascii="Arial" w:eastAsia="Times New Roman" w:hAnsi="Arial" w:cs="Arial"/>
          <w:bCs/>
          <w:sz w:val="26"/>
          <w:szCs w:val="26"/>
          <w:lang w:val="es-ES_tradnl" w:eastAsia="es-ES"/>
        </w:rPr>
        <w:t xml:space="preserve"> </w:t>
      </w:r>
    </w:p>
    <w:p w14:paraId="23FB003D" w14:textId="69AC2371" w:rsidR="005B3782" w:rsidRPr="00F71B86" w:rsidRDefault="005B3782"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0066/2022 DE </w:t>
      </w:r>
      <w:r w:rsidRPr="005B3782">
        <w:rPr>
          <w:rFonts w:ascii="Arial" w:eastAsia="Times New Roman" w:hAnsi="Arial" w:cs="Arial"/>
          <w:bCs/>
          <w:sz w:val="26"/>
          <w:szCs w:val="26"/>
          <w:lang w:val="es-ES_tradnl" w:eastAsia="es-ES"/>
        </w:rPr>
        <w:t>LA SEGUNDA SALA UNITARIA</w:t>
      </w:r>
      <w:r>
        <w:rPr>
          <w:rFonts w:ascii="Arial" w:eastAsia="Times New Roman" w:hAnsi="Arial" w:cs="Arial"/>
          <w:bCs/>
          <w:sz w:val="26"/>
          <w:szCs w:val="26"/>
          <w:lang w:val="es-ES_tradnl" w:eastAsia="es-ES"/>
        </w:rPr>
        <w:t>.</w:t>
      </w:r>
    </w:p>
    <w:p w14:paraId="4AE0D200" w14:textId="74964C58" w:rsidR="003569E3" w:rsidRPr="00EE4752" w:rsidRDefault="00A06686" w:rsidP="004C2614">
      <w:pPr>
        <w:spacing w:line="240" w:lineRule="auto"/>
        <w:ind w:left="2835"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 xml:space="preserve">ACTOR: </w:t>
      </w:r>
      <w:r w:rsidR="007455B8">
        <w:rPr>
          <w:rFonts w:ascii="Arial" w:eastAsia="Times New Roman" w:hAnsi="Arial" w:cs="Arial"/>
          <w:sz w:val="26"/>
          <w:szCs w:val="26"/>
          <w:lang w:val="es-ES_tradnl" w:eastAsia="es-ES"/>
        </w:rPr>
        <w:t>**********</w:t>
      </w:r>
    </w:p>
    <w:p w14:paraId="427298C6" w14:textId="26F2C5D2" w:rsidR="00214E4D" w:rsidRDefault="00C07F53" w:rsidP="004C2614">
      <w:pPr>
        <w:spacing w:line="240" w:lineRule="auto"/>
        <w:ind w:left="2835"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E26C96">
        <w:rPr>
          <w:rFonts w:ascii="Arial" w:eastAsia="Times New Roman" w:hAnsi="Arial" w:cs="Arial"/>
          <w:bCs/>
          <w:sz w:val="26"/>
          <w:szCs w:val="26"/>
          <w:lang w:val="es-ES_tradnl" w:eastAsia="es-ES"/>
        </w:rPr>
        <w:t>JEFATURA DE TRANSITO DE TUXTEPEC, DEL ESTADO DE OAXACA</w:t>
      </w:r>
      <w:r w:rsidR="00F71B86">
        <w:rPr>
          <w:rFonts w:ascii="Arial" w:eastAsia="Times New Roman" w:hAnsi="Arial" w:cs="Arial"/>
          <w:bCs/>
          <w:sz w:val="26"/>
          <w:szCs w:val="26"/>
          <w:lang w:val="es-ES_tradnl" w:eastAsia="es-ES"/>
        </w:rPr>
        <w:t>.</w:t>
      </w:r>
    </w:p>
    <w:p w14:paraId="457C35AC" w14:textId="156F70DA"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p>
    <w:p w14:paraId="6F491F01" w14:textId="77777777" w:rsidR="000F39BF" w:rsidRPr="000F39BF" w:rsidRDefault="000F39BF" w:rsidP="004C2614">
      <w:pPr>
        <w:spacing w:line="240" w:lineRule="auto"/>
        <w:ind w:left="2835" w:right="51"/>
        <w:jc w:val="both"/>
        <w:rPr>
          <w:rFonts w:ascii="Arial" w:eastAsia="Times New Roman" w:hAnsi="Arial" w:cs="Arial"/>
          <w:bCs/>
          <w:sz w:val="12"/>
          <w:szCs w:val="26"/>
          <w:lang w:val="es-ES_tradnl" w:eastAsia="es-ES"/>
        </w:rPr>
      </w:pPr>
    </w:p>
    <w:bookmarkEnd w:id="0"/>
    <w:bookmarkEnd w:id="1"/>
    <w:p w14:paraId="70DB9FE9" w14:textId="540FDA85" w:rsidR="008C764E" w:rsidRPr="00EE4752" w:rsidRDefault="003569E3" w:rsidP="00763651">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E26C96">
        <w:rPr>
          <w:rFonts w:ascii="Arial" w:eastAsia="Times New Roman" w:hAnsi="Arial" w:cs="Arial"/>
          <w:b/>
          <w:sz w:val="26"/>
          <w:szCs w:val="26"/>
          <w:lang w:val="es-ES" w:eastAsia="es-ES"/>
        </w:rPr>
        <w:t xml:space="preserve"> </w:t>
      </w:r>
      <w:r w:rsidR="00700DBA">
        <w:rPr>
          <w:rFonts w:ascii="Arial" w:eastAsia="Times New Roman" w:hAnsi="Arial" w:cs="Arial"/>
          <w:b/>
          <w:sz w:val="26"/>
          <w:szCs w:val="26"/>
          <w:lang w:val="es-ES" w:eastAsia="es-ES"/>
        </w:rPr>
        <w:t>TRE</w:t>
      </w:r>
      <w:r w:rsidR="00A06686">
        <w:rPr>
          <w:rFonts w:ascii="Arial" w:eastAsia="Times New Roman" w:hAnsi="Arial" w:cs="Arial"/>
          <w:b/>
          <w:sz w:val="26"/>
          <w:szCs w:val="26"/>
          <w:lang w:val="es-ES" w:eastAsia="es-ES"/>
        </w:rPr>
        <w:t>CE</w:t>
      </w:r>
      <w:r w:rsidR="00273FAA" w:rsidRPr="00EE4752">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w:t>
      </w:r>
      <w:r w:rsidR="00A06686">
        <w:rPr>
          <w:rFonts w:ascii="Arial" w:eastAsia="Times New Roman" w:hAnsi="Arial" w:cs="Arial"/>
          <w:b/>
          <w:sz w:val="26"/>
          <w:szCs w:val="26"/>
          <w:lang w:val="es-ES" w:eastAsia="es-ES"/>
        </w:rPr>
        <w:t>- - -</w:t>
      </w:r>
    </w:p>
    <w:p w14:paraId="4BCD7EB3" w14:textId="4BA77076" w:rsidR="007875B8" w:rsidRDefault="007875B8" w:rsidP="002417AF">
      <w:pPr>
        <w:spacing w:before="240" w:line="360" w:lineRule="auto"/>
        <w:ind w:firstLine="709"/>
        <w:jc w:val="both"/>
        <w:rPr>
          <w:rFonts w:ascii="Arial" w:hAnsi="Arial" w:cs="Arial"/>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Pr>
          <w:rFonts w:ascii="Arial" w:hAnsi="Arial" w:cs="Arial"/>
          <w:sz w:val="26"/>
          <w:szCs w:val="26"/>
        </w:rPr>
        <w:t xml:space="preserve"> </w:t>
      </w:r>
      <w:r w:rsidR="00E26C96">
        <w:rPr>
          <w:rFonts w:ascii="Arial" w:hAnsi="Arial" w:cs="Arial"/>
          <w:b/>
          <w:sz w:val="26"/>
          <w:szCs w:val="26"/>
        </w:rPr>
        <w:t xml:space="preserve">CONFIRMA </w:t>
      </w:r>
      <w:r w:rsidRPr="000D730C">
        <w:rPr>
          <w:rFonts w:ascii="Arial" w:hAnsi="Arial" w:cs="Arial"/>
          <w:sz w:val="26"/>
          <w:szCs w:val="26"/>
        </w:rPr>
        <w:t xml:space="preserve">el acuerdo </w:t>
      </w:r>
      <w:r>
        <w:rPr>
          <w:rFonts w:ascii="Arial" w:hAnsi="Arial" w:cs="Arial"/>
          <w:sz w:val="26"/>
          <w:szCs w:val="26"/>
        </w:rPr>
        <w:t xml:space="preserve">de fecha </w:t>
      </w:r>
      <w:r w:rsidR="00E26C96">
        <w:rPr>
          <w:rFonts w:ascii="Arial" w:hAnsi="Arial" w:cs="Arial"/>
          <w:sz w:val="26"/>
          <w:szCs w:val="26"/>
        </w:rPr>
        <w:t xml:space="preserve">ocho de septiembre de dos mil veintidós, dictado por </w:t>
      </w:r>
      <w:r w:rsidR="00A06686">
        <w:rPr>
          <w:rFonts w:ascii="Arial" w:hAnsi="Arial" w:cs="Arial"/>
          <w:sz w:val="26"/>
          <w:szCs w:val="26"/>
        </w:rPr>
        <w:t xml:space="preserve">la Segunda </w:t>
      </w:r>
      <w:r>
        <w:rPr>
          <w:rFonts w:ascii="Arial" w:hAnsi="Arial" w:cs="Arial"/>
          <w:sz w:val="26"/>
          <w:szCs w:val="26"/>
        </w:rPr>
        <w:t>Sala Unitaria de Primera Instancia de este Tribunal de Justicia Administrativa</w:t>
      </w:r>
      <w:r w:rsidR="002D3EBF">
        <w:rPr>
          <w:rFonts w:ascii="Arial" w:hAnsi="Arial" w:cs="Arial"/>
          <w:sz w:val="26"/>
          <w:szCs w:val="26"/>
        </w:rPr>
        <w:t xml:space="preserve"> y Combate a la Corrupción del Estado de Oaxaca</w:t>
      </w:r>
      <w:r w:rsidR="00E26C96">
        <w:rPr>
          <w:rFonts w:ascii="Arial" w:hAnsi="Arial" w:cs="Arial"/>
          <w:sz w:val="26"/>
          <w:szCs w:val="26"/>
        </w:rPr>
        <w:t>.</w:t>
      </w:r>
      <w:r w:rsidR="002417AF">
        <w:rPr>
          <w:rFonts w:ascii="Arial" w:hAnsi="Arial" w:cs="Arial"/>
          <w:sz w:val="26"/>
          <w:szCs w:val="26"/>
        </w:rPr>
        <w:t xml:space="preserve"> - - - - - - - - - </w:t>
      </w:r>
      <w:r w:rsidR="002D3EBF">
        <w:rPr>
          <w:rFonts w:ascii="Arial" w:hAnsi="Arial" w:cs="Arial"/>
          <w:sz w:val="26"/>
          <w:szCs w:val="26"/>
        </w:rPr>
        <w:t xml:space="preserve">- - - - - - - - - - - - - - - - - - - - </w:t>
      </w:r>
    </w:p>
    <w:p w14:paraId="3175ABE5" w14:textId="373A60A0" w:rsidR="00B979B6" w:rsidRPr="002D3EBF" w:rsidRDefault="00B979B6" w:rsidP="002417AF">
      <w:pPr>
        <w:spacing w:before="240" w:line="360" w:lineRule="auto"/>
        <w:jc w:val="center"/>
        <w:rPr>
          <w:rFonts w:ascii="Arial" w:hAnsi="Arial" w:cs="Arial"/>
          <w:b/>
          <w:sz w:val="26"/>
          <w:szCs w:val="26"/>
        </w:rPr>
      </w:pPr>
      <w:r w:rsidRPr="002D3EBF">
        <w:rPr>
          <w:rFonts w:ascii="Arial" w:hAnsi="Arial" w:cs="Arial"/>
          <w:b/>
          <w:sz w:val="26"/>
          <w:szCs w:val="26"/>
        </w:rPr>
        <w:t>ÍNDICE</w:t>
      </w:r>
    </w:p>
    <w:p w14:paraId="671F150F" w14:textId="6E5A7F5E" w:rsidR="00B979B6" w:rsidRPr="002D3EBF" w:rsidRDefault="00B979B6" w:rsidP="002417AF">
      <w:pPr>
        <w:spacing w:before="240" w:line="240" w:lineRule="auto"/>
        <w:ind w:left="284"/>
        <w:jc w:val="both"/>
        <w:rPr>
          <w:rFonts w:ascii="Arial" w:hAnsi="Arial" w:cs="Arial"/>
          <w:sz w:val="24"/>
          <w:szCs w:val="26"/>
        </w:rPr>
      </w:pPr>
      <w:r w:rsidRPr="002D3EBF">
        <w:rPr>
          <w:rFonts w:ascii="Arial" w:hAnsi="Arial" w:cs="Arial"/>
          <w:sz w:val="24"/>
          <w:szCs w:val="26"/>
        </w:rPr>
        <w:t>GLOSARIO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w:t>
      </w:r>
      <w:r w:rsidR="000F31C8" w:rsidRPr="002D3EBF">
        <w:rPr>
          <w:rFonts w:ascii="Arial" w:hAnsi="Arial" w:cs="Arial"/>
          <w:sz w:val="24"/>
          <w:szCs w:val="26"/>
        </w:rPr>
        <w:t xml:space="preserve">  1</w:t>
      </w:r>
    </w:p>
    <w:p w14:paraId="427904A1" w14:textId="727F1B0B" w:rsidR="00B979B6" w:rsidRPr="002D3EBF" w:rsidRDefault="00657101" w:rsidP="002417AF">
      <w:pPr>
        <w:spacing w:before="240" w:line="240" w:lineRule="auto"/>
        <w:jc w:val="both"/>
        <w:rPr>
          <w:rFonts w:ascii="Arial" w:hAnsi="Arial" w:cs="Arial"/>
          <w:sz w:val="24"/>
          <w:szCs w:val="26"/>
        </w:rPr>
      </w:pPr>
      <w:r w:rsidRPr="002D3EBF">
        <w:rPr>
          <w:rFonts w:ascii="Arial" w:hAnsi="Arial" w:cs="Arial"/>
          <w:sz w:val="24"/>
          <w:szCs w:val="26"/>
        </w:rPr>
        <w:t>1. RESULTANDO ……………………………………………</w:t>
      </w:r>
      <w:r w:rsidR="00254021" w:rsidRPr="002D3EBF">
        <w:rPr>
          <w:rFonts w:ascii="Arial" w:hAnsi="Arial" w:cs="Arial"/>
          <w:sz w:val="24"/>
          <w:szCs w:val="26"/>
        </w:rPr>
        <w:t>…..</w:t>
      </w:r>
      <w:r w:rsidRPr="002D3EBF">
        <w:rPr>
          <w:rFonts w:ascii="Arial" w:hAnsi="Arial" w:cs="Arial"/>
          <w:sz w:val="24"/>
          <w:szCs w:val="26"/>
        </w:rPr>
        <w:t>………………….</w:t>
      </w:r>
      <w:r w:rsidR="000F31C8" w:rsidRPr="002D3EBF">
        <w:rPr>
          <w:rFonts w:ascii="Arial" w:hAnsi="Arial" w:cs="Arial"/>
          <w:sz w:val="24"/>
          <w:szCs w:val="26"/>
        </w:rPr>
        <w:t xml:space="preserve">.  </w:t>
      </w:r>
      <w:r w:rsidRPr="002D3EBF">
        <w:rPr>
          <w:rFonts w:ascii="Arial" w:hAnsi="Arial" w:cs="Arial"/>
          <w:sz w:val="24"/>
          <w:szCs w:val="26"/>
        </w:rPr>
        <w:t>2</w:t>
      </w:r>
    </w:p>
    <w:p w14:paraId="454AB6E5" w14:textId="2072AEFF"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PRIMERO. RECURSO DE REVISIÓN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 xml:space="preserve">………………. </w:t>
      </w:r>
      <w:r w:rsidR="000F31C8" w:rsidRPr="002D3EBF">
        <w:rPr>
          <w:rFonts w:ascii="Arial" w:hAnsi="Arial" w:cs="Arial"/>
          <w:sz w:val="24"/>
          <w:szCs w:val="26"/>
        </w:rPr>
        <w:t xml:space="preserve"> </w:t>
      </w:r>
      <w:r w:rsidR="002417AF" w:rsidRPr="002D3EBF">
        <w:rPr>
          <w:rFonts w:ascii="Arial" w:hAnsi="Arial" w:cs="Arial"/>
          <w:sz w:val="24"/>
          <w:szCs w:val="26"/>
        </w:rPr>
        <w:t>2</w:t>
      </w:r>
    </w:p>
    <w:p w14:paraId="3112EED4" w14:textId="67ED3C01"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SEGUNDO. ACUERDO RECURRIDO …………………………</w:t>
      </w:r>
      <w:r w:rsidR="00254021" w:rsidRPr="002D3EBF">
        <w:rPr>
          <w:rFonts w:ascii="Arial" w:hAnsi="Arial" w:cs="Arial"/>
          <w:sz w:val="24"/>
          <w:szCs w:val="26"/>
        </w:rPr>
        <w:t>…..</w:t>
      </w:r>
      <w:r w:rsidRPr="002D3EBF">
        <w:rPr>
          <w:rFonts w:ascii="Arial" w:hAnsi="Arial" w:cs="Arial"/>
          <w:sz w:val="24"/>
          <w:szCs w:val="26"/>
        </w:rPr>
        <w:t>…………</w:t>
      </w:r>
      <w:r w:rsidR="002417AF" w:rsidRPr="002D3EBF">
        <w:rPr>
          <w:rFonts w:ascii="Arial" w:hAnsi="Arial" w:cs="Arial"/>
          <w:sz w:val="24"/>
          <w:szCs w:val="26"/>
        </w:rPr>
        <w:t xml:space="preserve">. </w:t>
      </w:r>
      <w:r w:rsidR="000F31C8" w:rsidRPr="002D3EBF">
        <w:rPr>
          <w:rFonts w:ascii="Arial" w:hAnsi="Arial" w:cs="Arial"/>
          <w:sz w:val="24"/>
          <w:szCs w:val="26"/>
        </w:rPr>
        <w:t xml:space="preserve"> </w:t>
      </w:r>
      <w:r w:rsidR="002417AF" w:rsidRPr="002D3EBF">
        <w:rPr>
          <w:rFonts w:ascii="Arial" w:hAnsi="Arial" w:cs="Arial"/>
          <w:sz w:val="24"/>
          <w:szCs w:val="26"/>
        </w:rPr>
        <w:t>2</w:t>
      </w:r>
    </w:p>
    <w:p w14:paraId="5107A41F" w14:textId="112166A6" w:rsidR="00657101" w:rsidRPr="002D3EBF" w:rsidRDefault="00657101" w:rsidP="002417AF">
      <w:pPr>
        <w:spacing w:before="240" w:line="240" w:lineRule="auto"/>
        <w:jc w:val="both"/>
        <w:rPr>
          <w:rFonts w:ascii="Arial" w:hAnsi="Arial" w:cs="Arial"/>
          <w:sz w:val="24"/>
          <w:szCs w:val="26"/>
        </w:rPr>
      </w:pPr>
      <w:r w:rsidRPr="002D3EBF">
        <w:rPr>
          <w:rFonts w:ascii="Arial" w:hAnsi="Arial" w:cs="Arial"/>
          <w:sz w:val="24"/>
          <w:szCs w:val="26"/>
        </w:rPr>
        <w:t>2. CONSIDERANDO ……………………………………………………</w:t>
      </w:r>
      <w:r w:rsidR="00254021" w:rsidRPr="002D3EBF">
        <w:rPr>
          <w:rFonts w:ascii="Arial" w:hAnsi="Arial" w:cs="Arial"/>
          <w:sz w:val="24"/>
          <w:szCs w:val="26"/>
        </w:rPr>
        <w:t>…..</w:t>
      </w:r>
      <w:r w:rsidRPr="002D3EBF">
        <w:rPr>
          <w:rFonts w:ascii="Arial" w:hAnsi="Arial" w:cs="Arial"/>
          <w:sz w:val="24"/>
          <w:szCs w:val="26"/>
        </w:rPr>
        <w:t>………</w:t>
      </w:r>
      <w:r w:rsidR="000F31C8" w:rsidRPr="002D3EBF">
        <w:rPr>
          <w:rFonts w:ascii="Arial" w:hAnsi="Arial" w:cs="Arial"/>
          <w:sz w:val="24"/>
          <w:szCs w:val="26"/>
        </w:rPr>
        <w:t xml:space="preserve">  </w:t>
      </w:r>
      <w:r w:rsidR="002417AF" w:rsidRPr="002D3EBF">
        <w:rPr>
          <w:rFonts w:ascii="Arial" w:hAnsi="Arial" w:cs="Arial"/>
          <w:sz w:val="24"/>
          <w:szCs w:val="26"/>
        </w:rPr>
        <w:t xml:space="preserve"> </w:t>
      </w:r>
      <w:r w:rsidR="000F31C8" w:rsidRPr="002D3EBF">
        <w:rPr>
          <w:rFonts w:ascii="Arial" w:hAnsi="Arial" w:cs="Arial"/>
          <w:sz w:val="24"/>
          <w:szCs w:val="26"/>
        </w:rPr>
        <w:t>3</w:t>
      </w:r>
    </w:p>
    <w:p w14:paraId="48DFC790" w14:textId="18A8F5BF"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PRIMERO- JURISDICCIÓN Y COMPETENCIA LEGAL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w:t>
      </w:r>
      <w:r w:rsidR="000F31C8" w:rsidRPr="002D3EBF">
        <w:rPr>
          <w:rFonts w:ascii="Arial" w:hAnsi="Arial" w:cs="Arial"/>
          <w:sz w:val="24"/>
          <w:szCs w:val="26"/>
        </w:rPr>
        <w:t xml:space="preserve">  3</w:t>
      </w:r>
    </w:p>
    <w:p w14:paraId="3B17F858" w14:textId="68C3246C"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SEGUNDO. REQUISITOS DE PROCEDENCIA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w:t>
      </w:r>
      <w:r w:rsidR="000F31C8" w:rsidRPr="002D3EBF">
        <w:rPr>
          <w:rFonts w:ascii="Arial" w:hAnsi="Arial" w:cs="Arial"/>
          <w:sz w:val="24"/>
          <w:szCs w:val="26"/>
        </w:rPr>
        <w:t xml:space="preserve"> </w:t>
      </w:r>
      <w:r w:rsidRPr="002D3EBF">
        <w:rPr>
          <w:rFonts w:ascii="Arial" w:hAnsi="Arial" w:cs="Arial"/>
          <w:sz w:val="24"/>
          <w:szCs w:val="26"/>
        </w:rPr>
        <w:t xml:space="preserve"> </w:t>
      </w:r>
      <w:r w:rsidR="000F39BF" w:rsidRPr="002D3EBF">
        <w:rPr>
          <w:rFonts w:ascii="Arial" w:hAnsi="Arial" w:cs="Arial"/>
          <w:sz w:val="24"/>
          <w:szCs w:val="26"/>
        </w:rPr>
        <w:t>3</w:t>
      </w:r>
    </w:p>
    <w:p w14:paraId="0AA18210" w14:textId="3C07C21A"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 xml:space="preserve">TERCERO. DETERMINACIÓN EN PRIMERA INSTANCIA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 xml:space="preserve">…………. </w:t>
      </w:r>
      <w:r w:rsidR="000F31C8" w:rsidRPr="002D3EBF">
        <w:rPr>
          <w:rFonts w:ascii="Arial" w:hAnsi="Arial" w:cs="Arial"/>
          <w:sz w:val="24"/>
          <w:szCs w:val="26"/>
        </w:rPr>
        <w:t xml:space="preserve">  </w:t>
      </w:r>
      <w:r w:rsidR="0085241C" w:rsidRPr="002D3EBF">
        <w:rPr>
          <w:rFonts w:ascii="Arial" w:hAnsi="Arial" w:cs="Arial"/>
          <w:sz w:val="24"/>
          <w:szCs w:val="26"/>
        </w:rPr>
        <w:t>4</w:t>
      </w:r>
    </w:p>
    <w:p w14:paraId="46A03187" w14:textId="53DA43B0"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CUARTO. AGRAVIOS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w:t>
      </w:r>
      <w:r w:rsidR="000F31C8" w:rsidRPr="002D3EBF">
        <w:rPr>
          <w:rFonts w:ascii="Arial" w:hAnsi="Arial" w:cs="Arial"/>
          <w:sz w:val="24"/>
          <w:szCs w:val="26"/>
        </w:rPr>
        <w:t xml:space="preserve">  </w:t>
      </w:r>
      <w:r w:rsidRPr="002D3EBF">
        <w:rPr>
          <w:rFonts w:ascii="Arial" w:hAnsi="Arial" w:cs="Arial"/>
          <w:sz w:val="24"/>
          <w:szCs w:val="26"/>
        </w:rPr>
        <w:t xml:space="preserve"> </w:t>
      </w:r>
      <w:r w:rsidR="0085241C" w:rsidRPr="002D3EBF">
        <w:rPr>
          <w:rFonts w:ascii="Arial" w:hAnsi="Arial" w:cs="Arial"/>
          <w:sz w:val="24"/>
          <w:szCs w:val="26"/>
        </w:rPr>
        <w:t>4</w:t>
      </w:r>
    </w:p>
    <w:p w14:paraId="401C1240" w14:textId="3B3ABF52"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QUINTO. CONTESTACIÓN DE AGRAVIOS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w:t>
      </w:r>
      <w:r w:rsidR="0085241C" w:rsidRPr="002D3EBF">
        <w:rPr>
          <w:rFonts w:ascii="Arial" w:hAnsi="Arial" w:cs="Arial"/>
          <w:sz w:val="24"/>
          <w:szCs w:val="26"/>
        </w:rPr>
        <w:t>..</w:t>
      </w:r>
      <w:r w:rsidR="000F31C8" w:rsidRPr="002D3EBF">
        <w:rPr>
          <w:rFonts w:ascii="Arial" w:hAnsi="Arial" w:cs="Arial"/>
          <w:sz w:val="24"/>
          <w:szCs w:val="26"/>
        </w:rPr>
        <w:t xml:space="preserve">  </w:t>
      </w:r>
      <w:r w:rsidR="0085241C" w:rsidRPr="002D3EBF">
        <w:rPr>
          <w:rFonts w:ascii="Arial" w:hAnsi="Arial" w:cs="Arial"/>
          <w:sz w:val="24"/>
          <w:szCs w:val="26"/>
        </w:rPr>
        <w:t xml:space="preserve"> </w:t>
      </w:r>
      <w:r w:rsidR="000F31C8" w:rsidRPr="002D3EBF">
        <w:rPr>
          <w:rFonts w:ascii="Arial" w:hAnsi="Arial" w:cs="Arial"/>
          <w:sz w:val="24"/>
          <w:szCs w:val="26"/>
        </w:rPr>
        <w:t>7</w:t>
      </w:r>
    </w:p>
    <w:p w14:paraId="237F5B88" w14:textId="61521326" w:rsidR="00657101" w:rsidRPr="002D3EBF" w:rsidRDefault="00657101" w:rsidP="002417AF">
      <w:pPr>
        <w:spacing w:before="240" w:line="240" w:lineRule="auto"/>
        <w:ind w:left="284"/>
        <w:jc w:val="both"/>
        <w:rPr>
          <w:rFonts w:ascii="Arial" w:hAnsi="Arial" w:cs="Arial"/>
          <w:sz w:val="24"/>
          <w:szCs w:val="26"/>
        </w:rPr>
      </w:pPr>
      <w:r w:rsidRPr="002D3EBF">
        <w:rPr>
          <w:rFonts w:ascii="Arial" w:hAnsi="Arial" w:cs="Arial"/>
          <w:sz w:val="24"/>
          <w:szCs w:val="26"/>
        </w:rPr>
        <w:t>SEXTO. DECISIÓN ……………………………………………</w:t>
      </w:r>
      <w:proofErr w:type="gramStart"/>
      <w:r w:rsidRPr="002D3EBF">
        <w:rPr>
          <w:rFonts w:ascii="Arial" w:hAnsi="Arial" w:cs="Arial"/>
          <w:sz w:val="24"/>
          <w:szCs w:val="26"/>
        </w:rPr>
        <w:t>…</w:t>
      </w:r>
      <w:r w:rsidR="00254021" w:rsidRPr="002D3EBF">
        <w:rPr>
          <w:rFonts w:ascii="Arial" w:hAnsi="Arial" w:cs="Arial"/>
          <w:sz w:val="24"/>
          <w:szCs w:val="26"/>
        </w:rPr>
        <w:t>….</w:t>
      </w:r>
      <w:proofErr w:type="gramEnd"/>
      <w:r w:rsidR="00254021" w:rsidRPr="002D3EBF">
        <w:rPr>
          <w:rFonts w:ascii="Arial" w:hAnsi="Arial" w:cs="Arial"/>
          <w:sz w:val="24"/>
          <w:szCs w:val="26"/>
        </w:rPr>
        <w:t>.</w:t>
      </w:r>
      <w:r w:rsidRPr="002D3EBF">
        <w:rPr>
          <w:rFonts w:ascii="Arial" w:hAnsi="Arial" w:cs="Arial"/>
          <w:sz w:val="24"/>
          <w:szCs w:val="26"/>
        </w:rPr>
        <w:t>…………</w:t>
      </w:r>
      <w:r w:rsidR="000F31C8" w:rsidRPr="002D3EBF">
        <w:rPr>
          <w:rFonts w:ascii="Arial" w:hAnsi="Arial" w:cs="Arial"/>
          <w:sz w:val="24"/>
          <w:szCs w:val="26"/>
        </w:rPr>
        <w:t>. 10</w:t>
      </w:r>
      <w:r w:rsidR="0085241C" w:rsidRPr="002D3EBF">
        <w:rPr>
          <w:rFonts w:ascii="Arial" w:hAnsi="Arial" w:cs="Arial"/>
          <w:sz w:val="24"/>
          <w:szCs w:val="26"/>
        </w:rPr>
        <w:t xml:space="preserve"> </w:t>
      </w:r>
    </w:p>
    <w:p w14:paraId="532E6A1D" w14:textId="40BDCB0B" w:rsidR="00657101" w:rsidRPr="000F39BF" w:rsidRDefault="00657101" w:rsidP="002417AF">
      <w:pPr>
        <w:spacing w:before="240" w:line="360" w:lineRule="auto"/>
        <w:jc w:val="both"/>
        <w:rPr>
          <w:rFonts w:ascii="Arial" w:hAnsi="Arial" w:cs="Arial"/>
          <w:sz w:val="24"/>
          <w:szCs w:val="26"/>
        </w:rPr>
      </w:pPr>
      <w:r w:rsidRPr="002D3EBF">
        <w:rPr>
          <w:rFonts w:ascii="Arial" w:hAnsi="Arial" w:cs="Arial"/>
          <w:sz w:val="24"/>
          <w:szCs w:val="26"/>
        </w:rPr>
        <w:t>3. RESUELVE ……………………………………………………………</w:t>
      </w:r>
      <w:r w:rsidR="00254021" w:rsidRPr="002D3EBF">
        <w:rPr>
          <w:rFonts w:ascii="Arial" w:hAnsi="Arial" w:cs="Arial"/>
          <w:sz w:val="24"/>
          <w:szCs w:val="26"/>
        </w:rPr>
        <w:t>…..</w:t>
      </w:r>
      <w:r w:rsidRPr="002D3EBF">
        <w:rPr>
          <w:rFonts w:ascii="Arial" w:hAnsi="Arial" w:cs="Arial"/>
          <w:sz w:val="24"/>
          <w:szCs w:val="26"/>
        </w:rPr>
        <w:t xml:space="preserve">…….  </w:t>
      </w:r>
      <w:r w:rsidR="000F31C8" w:rsidRPr="002D3EBF">
        <w:rPr>
          <w:rFonts w:ascii="Arial" w:hAnsi="Arial" w:cs="Arial"/>
          <w:sz w:val="24"/>
          <w:szCs w:val="26"/>
        </w:rPr>
        <w:t xml:space="preserve"> </w:t>
      </w:r>
      <w:r w:rsidRPr="002D3EBF">
        <w:rPr>
          <w:rFonts w:ascii="Arial" w:hAnsi="Arial" w:cs="Arial"/>
          <w:sz w:val="24"/>
          <w:szCs w:val="26"/>
        </w:rPr>
        <w:t>1</w:t>
      </w:r>
      <w:r w:rsidR="0085241C" w:rsidRPr="002D3EBF">
        <w:rPr>
          <w:rFonts w:ascii="Arial" w:hAnsi="Arial" w:cs="Arial"/>
          <w:sz w:val="24"/>
          <w:szCs w:val="26"/>
        </w:rPr>
        <w:t>0</w:t>
      </w:r>
    </w:p>
    <w:p w14:paraId="28DA10A6" w14:textId="77777777" w:rsidR="007875B8" w:rsidRPr="00657101" w:rsidRDefault="007875B8" w:rsidP="002417AF">
      <w:pPr>
        <w:tabs>
          <w:tab w:val="center" w:pos="4418"/>
          <w:tab w:val="left" w:pos="6330"/>
        </w:tabs>
        <w:spacing w:line="360" w:lineRule="auto"/>
        <w:jc w:val="center"/>
        <w:rPr>
          <w:rFonts w:ascii="Arial" w:hAnsi="Arial" w:cs="Arial"/>
          <w:sz w:val="4"/>
          <w:szCs w:val="24"/>
        </w:rPr>
      </w:pPr>
    </w:p>
    <w:p w14:paraId="50BD8BF1" w14:textId="77777777" w:rsidR="007875B8" w:rsidRPr="00EE4752" w:rsidRDefault="007875B8" w:rsidP="002417AF">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875B8" w:rsidRPr="00EE4752" w14:paraId="65745B30" w14:textId="77777777" w:rsidTr="00E85652">
        <w:tc>
          <w:tcPr>
            <w:tcW w:w="3256" w:type="dxa"/>
          </w:tcPr>
          <w:p w14:paraId="12AE7C0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Constitución Federal</w:t>
            </w:r>
          </w:p>
        </w:tc>
        <w:tc>
          <w:tcPr>
            <w:tcW w:w="5571" w:type="dxa"/>
          </w:tcPr>
          <w:p w14:paraId="4AD8424D"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 los Estados Unidos Mexicanos.</w:t>
            </w:r>
          </w:p>
        </w:tc>
      </w:tr>
      <w:tr w:rsidR="007875B8" w:rsidRPr="00EE4752" w14:paraId="59BE9991" w14:textId="77777777" w:rsidTr="00E85652">
        <w:tc>
          <w:tcPr>
            <w:tcW w:w="3256" w:type="dxa"/>
          </w:tcPr>
          <w:p w14:paraId="3BDB2AC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EE4752">
              <w:rPr>
                <w:rFonts w:ascii="Arial" w:hAnsi="Arial" w:cs="Arial"/>
                <w:b/>
                <w:i/>
                <w:sz w:val="24"/>
                <w:szCs w:val="24"/>
              </w:rPr>
              <w:lastRenderedPageBreak/>
              <w:t>Constitución Local:</w:t>
            </w:r>
          </w:p>
        </w:tc>
        <w:tc>
          <w:tcPr>
            <w:tcW w:w="5571" w:type="dxa"/>
          </w:tcPr>
          <w:p w14:paraId="62044B03"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del Estado Libre y Soberano de Oaxaca.</w:t>
            </w:r>
          </w:p>
        </w:tc>
      </w:tr>
      <w:tr w:rsidR="007875B8" w:rsidRPr="00EE4752" w14:paraId="49A2EC27" w14:textId="77777777" w:rsidTr="00E85652">
        <w:tc>
          <w:tcPr>
            <w:tcW w:w="3256" w:type="dxa"/>
          </w:tcPr>
          <w:p w14:paraId="0016239A"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C6068D7"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de Procedimiento y Justicia Administrativa para el Estado de Oaxaca.</w:t>
            </w:r>
          </w:p>
        </w:tc>
      </w:tr>
      <w:tr w:rsidR="007875B8" w:rsidRPr="00EE4752" w14:paraId="5F22CA7B" w14:textId="77777777" w:rsidTr="00E85652">
        <w:tc>
          <w:tcPr>
            <w:tcW w:w="3256" w:type="dxa"/>
          </w:tcPr>
          <w:p w14:paraId="0A4A78F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Ley Orgánica:</w:t>
            </w:r>
          </w:p>
        </w:tc>
        <w:tc>
          <w:tcPr>
            <w:tcW w:w="5571" w:type="dxa"/>
          </w:tcPr>
          <w:p w14:paraId="660EC184" w14:textId="77777777"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Orgánica del Tribunal de Justicia Administrativa del Estado de Oaxaca</w:t>
            </w:r>
          </w:p>
        </w:tc>
      </w:tr>
      <w:tr w:rsidR="000F39BF" w:rsidRPr="00EE4752" w14:paraId="6F1090E3" w14:textId="77777777" w:rsidTr="00E85652">
        <w:tc>
          <w:tcPr>
            <w:tcW w:w="3256" w:type="dxa"/>
          </w:tcPr>
          <w:p w14:paraId="6B7B8DA8" w14:textId="0D3B2D5B" w:rsidR="000F39BF" w:rsidRPr="000F39BF" w:rsidRDefault="000F39BF" w:rsidP="002417AF">
            <w:pPr>
              <w:tabs>
                <w:tab w:val="center" w:pos="4418"/>
                <w:tab w:val="left" w:pos="6330"/>
              </w:tabs>
              <w:spacing w:line="360" w:lineRule="auto"/>
              <w:jc w:val="center"/>
              <w:rPr>
                <w:rFonts w:ascii="Arial" w:hAnsi="Arial" w:cs="Arial"/>
                <w:b/>
                <w:i/>
                <w:sz w:val="24"/>
                <w:szCs w:val="24"/>
              </w:rPr>
            </w:pPr>
            <w:r w:rsidRPr="000F39BF">
              <w:rPr>
                <w:rFonts w:ascii="Arial" w:hAnsi="Arial" w:cs="Arial"/>
                <w:b/>
                <w:i/>
                <w:sz w:val="24"/>
                <w:szCs w:val="24"/>
              </w:rPr>
              <w:t>Acuerdo General</w:t>
            </w:r>
          </w:p>
        </w:tc>
        <w:tc>
          <w:tcPr>
            <w:tcW w:w="5571" w:type="dxa"/>
          </w:tcPr>
          <w:p w14:paraId="7DF65B11" w14:textId="21315F88" w:rsidR="000F39BF" w:rsidRPr="000F39BF" w:rsidRDefault="000F39BF" w:rsidP="00FC2222">
            <w:pPr>
              <w:tabs>
                <w:tab w:val="center" w:pos="4418"/>
                <w:tab w:val="left" w:pos="6330"/>
              </w:tabs>
              <w:spacing w:line="276" w:lineRule="auto"/>
              <w:jc w:val="both"/>
              <w:rPr>
                <w:rFonts w:ascii="Arial" w:hAnsi="Arial" w:cs="Arial"/>
                <w:i/>
                <w:sz w:val="24"/>
                <w:szCs w:val="24"/>
              </w:rPr>
            </w:pPr>
            <w:r w:rsidRPr="000F39BF">
              <w:rPr>
                <w:rFonts w:ascii="Arial" w:hAnsi="Arial" w:cs="Arial"/>
                <w:i/>
                <w:snapToGrid w:val="0"/>
                <w:sz w:val="26"/>
                <w:szCs w:val="26"/>
              </w:rPr>
              <w:t>Acuerdo General AG/TJAO/1</w:t>
            </w:r>
            <w:r w:rsidR="00FC2222">
              <w:rPr>
                <w:rFonts w:ascii="Arial" w:hAnsi="Arial" w:cs="Arial"/>
                <w:i/>
                <w:snapToGrid w:val="0"/>
                <w:sz w:val="26"/>
                <w:szCs w:val="26"/>
              </w:rPr>
              <w:t>2/2021</w:t>
            </w:r>
            <w:r w:rsidRPr="000F39BF">
              <w:rPr>
                <w:rFonts w:ascii="Arial" w:hAnsi="Arial" w:cs="Arial"/>
                <w:i/>
                <w:snapToGrid w:val="0"/>
                <w:sz w:val="26"/>
                <w:szCs w:val="26"/>
              </w:rPr>
              <w:t xml:space="preserve"> del Pleno del Tribunal de Justicia Administrativa del Estado de Oaxaca, mediante el cual se establece el calendario oficial, corresp</w:t>
            </w:r>
            <w:r w:rsidR="00FC2222">
              <w:rPr>
                <w:rFonts w:ascii="Arial" w:hAnsi="Arial" w:cs="Arial"/>
                <w:i/>
                <w:snapToGrid w:val="0"/>
                <w:sz w:val="26"/>
                <w:szCs w:val="26"/>
              </w:rPr>
              <w:t>ondiente a año dos mil veintidó</w:t>
            </w:r>
            <w:r w:rsidRPr="000F39BF">
              <w:rPr>
                <w:rFonts w:ascii="Arial" w:hAnsi="Arial" w:cs="Arial"/>
                <w:i/>
                <w:snapToGrid w:val="0"/>
                <w:sz w:val="26"/>
                <w:szCs w:val="26"/>
              </w:rPr>
              <w:t>s, para este Órgano Jurisdiccional</w:t>
            </w:r>
          </w:p>
        </w:tc>
      </w:tr>
    </w:tbl>
    <w:p w14:paraId="54BEAF3E" w14:textId="77777777" w:rsidR="007875B8" w:rsidRPr="007875B8" w:rsidRDefault="007875B8" w:rsidP="002417AF">
      <w:pPr>
        <w:spacing w:line="360" w:lineRule="auto"/>
        <w:jc w:val="both"/>
        <w:rPr>
          <w:rFonts w:ascii="Arial" w:hAnsi="Arial" w:cs="Arial"/>
          <w:b/>
          <w:sz w:val="12"/>
          <w:szCs w:val="26"/>
        </w:rPr>
      </w:pPr>
    </w:p>
    <w:p w14:paraId="5EC5CAA0" w14:textId="77777777" w:rsidR="00AA5112" w:rsidRDefault="00AA5112" w:rsidP="002417AF">
      <w:pPr>
        <w:spacing w:line="360" w:lineRule="auto"/>
        <w:jc w:val="center"/>
        <w:rPr>
          <w:rFonts w:ascii="Arial" w:hAnsi="Arial" w:cs="Arial"/>
          <w:b/>
          <w:bCs/>
          <w:sz w:val="26"/>
          <w:szCs w:val="26"/>
        </w:rPr>
      </w:pPr>
    </w:p>
    <w:p w14:paraId="3255C035" w14:textId="77777777" w:rsidR="007875B8" w:rsidRPr="00CB6405" w:rsidRDefault="007875B8" w:rsidP="002417AF">
      <w:pPr>
        <w:spacing w:line="360" w:lineRule="auto"/>
        <w:jc w:val="center"/>
        <w:rPr>
          <w:rFonts w:ascii="Arial" w:hAnsi="Arial" w:cs="Arial"/>
          <w:b/>
          <w:bCs/>
          <w:sz w:val="26"/>
          <w:szCs w:val="26"/>
        </w:rPr>
      </w:pPr>
      <w:r>
        <w:rPr>
          <w:rFonts w:ascii="Arial" w:hAnsi="Arial" w:cs="Arial"/>
          <w:b/>
          <w:bCs/>
          <w:sz w:val="26"/>
          <w:szCs w:val="26"/>
        </w:rPr>
        <w:t xml:space="preserve">1. </w:t>
      </w:r>
      <w:r w:rsidRPr="00CB6405">
        <w:rPr>
          <w:rFonts w:ascii="Arial" w:hAnsi="Arial" w:cs="Arial"/>
          <w:b/>
          <w:bCs/>
          <w:sz w:val="26"/>
          <w:szCs w:val="26"/>
        </w:rPr>
        <w:t>R E S U L T A N D O</w:t>
      </w:r>
    </w:p>
    <w:p w14:paraId="5EC95681" w14:textId="69E5D1B9" w:rsidR="00643C79" w:rsidRPr="00EE4752" w:rsidRDefault="00D82372" w:rsidP="00763651">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0D19B1A4" w:rsidR="008D7563" w:rsidRPr="00254021" w:rsidRDefault="002417AF" w:rsidP="00254021">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00596348" w:rsidRPr="000D730C">
        <w:rPr>
          <w:rFonts w:ascii="Arial" w:eastAsia="Times New Roman" w:hAnsi="Arial" w:cs="Arial"/>
          <w:sz w:val="26"/>
          <w:szCs w:val="26"/>
          <w:lang w:val="es-ES_tradnl" w:eastAsia="es-ES"/>
        </w:rPr>
        <w:t xml:space="preserve">Por escrito presentado el </w:t>
      </w:r>
      <w:r w:rsidR="00E26C96">
        <w:rPr>
          <w:rFonts w:ascii="Arial" w:eastAsia="Times New Roman" w:hAnsi="Arial" w:cs="Arial"/>
          <w:sz w:val="26"/>
          <w:szCs w:val="26"/>
          <w:lang w:val="es-ES_tradnl" w:eastAsia="es-ES"/>
        </w:rPr>
        <w:t>diez de octubre de</w:t>
      </w:r>
      <w:r w:rsidR="00A85CC1">
        <w:rPr>
          <w:rFonts w:ascii="Arial" w:eastAsia="Times New Roman" w:hAnsi="Arial" w:cs="Arial"/>
          <w:sz w:val="26"/>
          <w:szCs w:val="26"/>
          <w:lang w:val="es-ES_tradnl" w:eastAsia="es-ES"/>
        </w:rPr>
        <w:t xml:space="preserve"> dos mil veintidós</w:t>
      </w:r>
      <w:r w:rsidR="00596348" w:rsidRPr="000D730C">
        <w:rPr>
          <w:rFonts w:ascii="Arial" w:eastAsia="Times New Roman" w:hAnsi="Arial" w:cs="Arial"/>
          <w:sz w:val="26"/>
          <w:szCs w:val="26"/>
          <w:lang w:val="es-ES_tradnl" w:eastAsia="es-ES"/>
        </w:rPr>
        <w:t>, en la Oficialía de Partes Común de este Tribunal, con residencia en esta ciudad, por propio derecho</w:t>
      </w:r>
      <w:r w:rsidR="007455B8">
        <w:rPr>
          <w:rFonts w:ascii="Arial" w:hAnsi="Arial" w:cs="Arial"/>
          <w:b/>
          <w:bCs/>
          <w:spacing w:val="-3"/>
          <w:sz w:val="26"/>
          <w:szCs w:val="26"/>
          <w:lang w:val="es-ES_tradnl"/>
        </w:rPr>
        <w:t xml:space="preserve"> </w:t>
      </w:r>
      <w:r w:rsidR="007455B8">
        <w:rPr>
          <w:rFonts w:ascii="Arial" w:eastAsia="Times New Roman" w:hAnsi="Arial" w:cs="Arial"/>
          <w:sz w:val="26"/>
          <w:szCs w:val="26"/>
          <w:lang w:val="es-ES_tradnl" w:eastAsia="es-ES"/>
        </w:rPr>
        <w:t>**********</w:t>
      </w:r>
      <w:r w:rsidR="00596348" w:rsidRPr="000D730C">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 xml:space="preserve">promovió recurso de revisión en contra del </w:t>
      </w:r>
      <w:r w:rsidR="0069057A" w:rsidRPr="000D730C">
        <w:rPr>
          <w:rFonts w:ascii="Arial" w:eastAsia="Times New Roman" w:hAnsi="Arial" w:cs="Arial"/>
          <w:sz w:val="26"/>
          <w:szCs w:val="26"/>
          <w:lang w:val="es-ES_tradnl" w:eastAsia="es-ES"/>
        </w:rPr>
        <w:t xml:space="preserve">acuerdo de </w:t>
      </w:r>
      <w:r w:rsidR="00E26C96">
        <w:rPr>
          <w:rFonts w:ascii="Arial" w:eastAsia="Times New Roman" w:hAnsi="Arial" w:cs="Arial"/>
          <w:sz w:val="26"/>
          <w:szCs w:val="26"/>
          <w:lang w:val="es-ES_tradnl" w:eastAsia="es-ES"/>
        </w:rPr>
        <w:t>ocho de septiembre de dos mil veintidós</w:t>
      </w:r>
      <w:r w:rsidR="0069057A" w:rsidRPr="0089592F">
        <w:rPr>
          <w:rFonts w:ascii="Arial" w:eastAsia="Times New Roman" w:hAnsi="Arial" w:cs="Arial"/>
          <w:sz w:val="26"/>
          <w:szCs w:val="26"/>
          <w:lang w:val="es-ES_tradnl" w:eastAsia="es-ES"/>
        </w:rPr>
        <w:t>,</w:t>
      </w:r>
      <w:r w:rsidR="0069057A" w:rsidRPr="000D730C">
        <w:rPr>
          <w:rFonts w:ascii="Arial" w:eastAsia="Times New Roman" w:hAnsi="Arial" w:cs="Arial"/>
          <w:sz w:val="26"/>
          <w:szCs w:val="26"/>
          <w:lang w:val="es-ES_tradnl" w:eastAsia="es-ES"/>
        </w:rPr>
        <w:t xml:space="preserve"> dictado por la</w:t>
      </w:r>
      <w:r w:rsidR="009D62FC" w:rsidRPr="000D730C">
        <w:rPr>
          <w:rFonts w:ascii="Arial" w:eastAsia="Times New Roman" w:hAnsi="Arial" w:cs="Arial"/>
          <w:sz w:val="26"/>
          <w:szCs w:val="26"/>
          <w:lang w:val="es-ES_tradnl" w:eastAsia="es-ES"/>
        </w:rPr>
        <w:t xml:space="preserve"> </w:t>
      </w:r>
      <w:r w:rsidR="00E26C96">
        <w:rPr>
          <w:rFonts w:ascii="Arial" w:eastAsia="Times New Roman" w:hAnsi="Arial" w:cs="Arial"/>
          <w:bCs/>
          <w:sz w:val="26"/>
          <w:szCs w:val="26"/>
          <w:lang w:val="es-ES_tradnl" w:eastAsia="es-ES"/>
        </w:rPr>
        <w:t>Segunda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p>
    <w:p w14:paraId="645A417E" w14:textId="4FB4E109" w:rsidR="00596348" w:rsidRPr="00254021" w:rsidRDefault="0069057A" w:rsidP="00763651">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9E1ACE" w:rsidRPr="00254021">
        <w:rPr>
          <w:rFonts w:ascii="Arial" w:hAnsi="Arial" w:cs="Arial"/>
          <w:b/>
          <w:bCs/>
          <w:sz w:val="26"/>
          <w:szCs w:val="26"/>
        </w:rPr>
        <w:t>ACUERDO RECURRIDO</w:t>
      </w:r>
      <w:r w:rsidR="00596348" w:rsidRPr="00254021">
        <w:rPr>
          <w:rFonts w:ascii="Arial" w:hAnsi="Arial" w:cs="Arial"/>
          <w:b/>
          <w:bCs/>
          <w:sz w:val="26"/>
          <w:szCs w:val="26"/>
        </w:rPr>
        <w:t>.</w:t>
      </w:r>
    </w:p>
    <w:p w14:paraId="253E59FF" w14:textId="298D3916" w:rsidR="00B0089F" w:rsidRPr="002417AF" w:rsidRDefault="002417AF" w:rsidP="002417AF">
      <w:pPr>
        <w:spacing w:line="360" w:lineRule="auto"/>
        <w:ind w:right="48"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3. </w:t>
      </w:r>
      <w:r w:rsidR="003F065E" w:rsidRPr="002417AF">
        <w:rPr>
          <w:rFonts w:ascii="Arial" w:hAnsi="Arial" w:cs="Arial"/>
          <w:bCs/>
          <w:spacing w:val="-3"/>
          <w:sz w:val="26"/>
          <w:szCs w:val="26"/>
          <w:lang w:val="es-ES_tradnl"/>
        </w:rPr>
        <w:t xml:space="preserve">Por auto de </w:t>
      </w:r>
      <w:r w:rsidR="00E26C96">
        <w:rPr>
          <w:rFonts w:ascii="Arial" w:eastAsia="Times New Roman" w:hAnsi="Arial" w:cs="Arial"/>
          <w:sz w:val="26"/>
          <w:szCs w:val="26"/>
          <w:lang w:val="es-ES_tradnl" w:eastAsia="es-ES"/>
        </w:rPr>
        <w:t>ocho de septiembre de dos mil veintidós</w:t>
      </w:r>
      <w:r w:rsidR="00B0089F" w:rsidRPr="002417AF">
        <w:rPr>
          <w:rFonts w:ascii="Arial" w:hAnsi="Arial" w:cs="Arial"/>
          <w:bCs/>
          <w:spacing w:val="-3"/>
          <w:sz w:val="26"/>
          <w:szCs w:val="26"/>
          <w:lang w:val="es-ES_tradnl"/>
        </w:rPr>
        <w:t xml:space="preserve">, </w:t>
      </w:r>
      <w:r w:rsidR="00254021">
        <w:rPr>
          <w:rFonts w:ascii="Arial" w:hAnsi="Arial" w:cs="Arial"/>
          <w:bCs/>
          <w:spacing w:val="-3"/>
          <w:sz w:val="26"/>
          <w:szCs w:val="26"/>
          <w:lang w:val="es-ES_tradnl"/>
        </w:rPr>
        <w:t>dictado dentro del juicio de nulidad 00</w:t>
      </w:r>
      <w:r w:rsidR="00E26C96">
        <w:rPr>
          <w:rFonts w:ascii="Arial" w:hAnsi="Arial" w:cs="Arial"/>
          <w:bCs/>
          <w:spacing w:val="-3"/>
          <w:sz w:val="26"/>
          <w:szCs w:val="26"/>
          <w:lang w:val="es-ES_tradnl"/>
        </w:rPr>
        <w:t>6</w:t>
      </w:r>
      <w:r w:rsidR="00254021">
        <w:rPr>
          <w:rFonts w:ascii="Arial" w:hAnsi="Arial" w:cs="Arial"/>
          <w:bCs/>
          <w:spacing w:val="-3"/>
          <w:sz w:val="26"/>
          <w:szCs w:val="26"/>
          <w:lang w:val="es-ES_tradnl"/>
        </w:rPr>
        <w:t>6/202</w:t>
      </w:r>
      <w:r w:rsidR="00E26C96">
        <w:rPr>
          <w:rFonts w:ascii="Arial" w:hAnsi="Arial" w:cs="Arial"/>
          <w:bCs/>
          <w:spacing w:val="-3"/>
          <w:sz w:val="26"/>
          <w:szCs w:val="26"/>
          <w:lang w:val="es-ES_tradnl"/>
        </w:rPr>
        <w:t>2</w:t>
      </w:r>
      <w:r w:rsidR="00254021">
        <w:rPr>
          <w:rFonts w:ascii="Arial" w:hAnsi="Arial" w:cs="Arial"/>
          <w:bCs/>
          <w:spacing w:val="-3"/>
          <w:sz w:val="26"/>
          <w:szCs w:val="26"/>
          <w:lang w:val="es-ES_tradnl"/>
        </w:rPr>
        <w:t xml:space="preserve">, </w:t>
      </w:r>
      <w:r w:rsidR="00B0089F" w:rsidRPr="002417AF">
        <w:rPr>
          <w:rFonts w:ascii="Arial" w:hAnsi="Arial" w:cs="Arial"/>
          <w:bCs/>
          <w:spacing w:val="-3"/>
          <w:sz w:val="26"/>
          <w:szCs w:val="26"/>
          <w:lang w:val="es-ES_tradnl"/>
        </w:rPr>
        <w:t xml:space="preserve">la </w:t>
      </w:r>
      <w:r w:rsidR="00E26C96">
        <w:rPr>
          <w:rFonts w:ascii="Arial" w:hAnsi="Arial" w:cs="Arial"/>
          <w:bCs/>
          <w:spacing w:val="-3"/>
          <w:sz w:val="26"/>
          <w:szCs w:val="26"/>
          <w:lang w:val="es-ES_tradnl"/>
        </w:rPr>
        <w:t>Segunda</w:t>
      </w:r>
      <w:r w:rsidR="003F065E" w:rsidRPr="002417AF">
        <w:rPr>
          <w:rFonts w:ascii="Arial" w:hAnsi="Arial" w:cs="Arial"/>
          <w:bCs/>
          <w:spacing w:val="-3"/>
          <w:sz w:val="26"/>
          <w:szCs w:val="26"/>
          <w:lang w:val="es-ES_tradnl"/>
        </w:rPr>
        <w:t xml:space="preserve"> Sala Unitaria </w:t>
      </w:r>
      <w:r w:rsidR="00254021">
        <w:rPr>
          <w:rFonts w:ascii="Arial" w:hAnsi="Arial" w:cs="Arial"/>
          <w:bCs/>
          <w:spacing w:val="-3"/>
          <w:sz w:val="26"/>
          <w:szCs w:val="26"/>
          <w:lang w:val="es-ES_tradnl"/>
        </w:rPr>
        <w:t xml:space="preserve">de Primera Instancia </w:t>
      </w:r>
      <w:r w:rsidR="003F065E" w:rsidRPr="002417AF">
        <w:rPr>
          <w:rFonts w:ascii="Arial" w:hAnsi="Arial" w:cs="Arial"/>
          <w:b/>
          <w:bCs/>
          <w:spacing w:val="-3"/>
          <w:sz w:val="26"/>
          <w:szCs w:val="26"/>
          <w:lang w:val="es-ES_tradnl"/>
        </w:rPr>
        <w:t>desech</w:t>
      </w:r>
      <w:r w:rsidR="00B0089F" w:rsidRPr="002417AF">
        <w:rPr>
          <w:rFonts w:ascii="Arial" w:hAnsi="Arial" w:cs="Arial"/>
          <w:b/>
          <w:bCs/>
          <w:spacing w:val="-3"/>
          <w:sz w:val="26"/>
          <w:szCs w:val="26"/>
          <w:lang w:val="es-ES_tradnl"/>
        </w:rPr>
        <w:t>ó</w:t>
      </w:r>
      <w:r w:rsidR="003F065E" w:rsidRPr="002417AF">
        <w:rPr>
          <w:rFonts w:ascii="Arial" w:hAnsi="Arial" w:cs="Arial"/>
          <w:b/>
          <w:bCs/>
          <w:spacing w:val="-3"/>
          <w:sz w:val="26"/>
          <w:szCs w:val="26"/>
          <w:lang w:val="es-ES_tradnl"/>
        </w:rPr>
        <w:t xml:space="preserve"> la demanda</w:t>
      </w:r>
      <w:r w:rsidR="003F065E" w:rsidRPr="002417AF">
        <w:rPr>
          <w:rFonts w:ascii="Arial" w:hAnsi="Arial" w:cs="Arial"/>
          <w:bCs/>
          <w:spacing w:val="-3"/>
          <w:sz w:val="26"/>
          <w:szCs w:val="26"/>
          <w:lang w:val="es-ES_tradnl"/>
        </w:rPr>
        <w:t>,</w:t>
      </w:r>
      <w:r w:rsidR="00F762F3" w:rsidRPr="002417AF">
        <w:rPr>
          <w:rFonts w:ascii="Arial" w:hAnsi="Arial" w:cs="Arial"/>
          <w:bCs/>
          <w:spacing w:val="-3"/>
          <w:sz w:val="26"/>
          <w:szCs w:val="26"/>
          <w:lang w:val="es-ES_tradnl"/>
        </w:rPr>
        <w:t xml:space="preserve"> </w:t>
      </w:r>
      <w:r w:rsidR="008A2895" w:rsidRPr="002417AF">
        <w:rPr>
          <w:rFonts w:ascii="Arial" w:hAnsi="Arial" w:cs="Arial"/>
          <w:bCs/>
          <w:spacing w:val="-3"/>
          <w:sz w:val="26"/>
          <w:szCs w:val="26"/>
          <w:lang w:val="es-ES_tradnl"/>
        </w:rPr>
        <w:t xml:space="preserve">con </w:t>
      </w:r>
      <w:r w:rsidR="00E46DCF" w:rsidRPr="002417AF">
        <w:rPr>
          <w:rFonts w:ascii="Arial" w:hAnsi="Arial" w:cs="Arial"/>
          <w:bCs/>
          <w:spacing w:val="-3"/>
          <w:sz w:val="26"/>
          <w:szCs w:val="26"/>
          <w:lang w:val="es-ES_tradnl"/>
        </w:rPr>
        <w:t>base</w:t>
      </w:r>
      <w:r w:rsidR="008A2895" w:rsidRPr="002417AF">
        <w:rPr>
          <w:rFonts w:ascii="Arial" w:hAnsi="Arial" w:cs="Arial"/>
          <w:bCs/>
          <w:spacing w:val="-3"/>
          <w:sz w:val="26"/>
          <w:szCs w:val="26"/>
          <w:lang w:val="es-ES_tradnl"/>
        </w:rPr>
        <w:t>, en lo que importa,</w:t>
      </w:r>
      <w:r w:rsidR="00434197" w:rsidRPr="002417AF">
        <w:rPr>
          <w:rFonts w:ascii="Arial" w:hAnsi="Arial" w:cs="Arial"/>
          <w:bCs/>
          <w:spacing w:val="-3"/>
          <w:sz w:val="26"/>
          <w:szCs w:val="26"/>
          <w:lang w:val="es-ES_tradnl"/>
        </w:rPr>
        <w:t xml:space="preserve"> en</w:t>
      </w:r>
      <w:r w:rsidR="00E46DCF" w:rsidRPr="002417AF">
        <w:rPr>
          <w:rFonts w:ascii="Arial" w:hAnsi="Arial" w:cs="Arial"/>
          <w:bCs/>
          <w:spacing w:val="-3"/>
          <w:sz w:val="26"/>
          <w:szCs w:val="26"/>
          <w:lang w:val="es-ES_tradnl"/>
        </w:rPr>
        <w:t xml:space="preserve"> lo siguiente</w:t>
      </w:r>
      <w:r w:rsidR="003F065E" w:rsidRPr="002417AF">
        <w:rPr>
          <w:rFonts w:ascii="Arial" w:hAnsi="Arial" w:cs="Arial"/>
          <w:bCs/>
          <w:spacing w:val="-3"/>
          <w:sz w:val="26"/>
          <w:szCs w:val="26"/>
          <w:lang w:val="es-ES_tradnl"/>
        </w:rPr>
        <w:t>:</w:t>
      </w:r>
    </w:p>
    <w:p w14:paraId="4F7607C4" w14:textId="0A4D6B06" w:rsidR="00E26C96" w:rsidRDefault="00E26C96" w:rsidP="00E26C96">
      <w:pPr>
        <w:spacing w:line="360" w:lineRule="auto"/>
        <w:ind w:left="567" w:right="616"/>
        <w:jc w:val="both"/>
        <w:rPr>
          <w:rFonts w:ascii="Arial" w:hAnsi="Arial" w:cs="Arial"/>
          <w:bCs/>
          <w:i/>
          <w:iCs/>
        </w:rPr>
      </w:pPr>
      <w:r>
        <w:rPr>
          <w:rFonts w:ascii="Arial" w:hAnsi="Arial" w:cs="Arial"/>
          <w:bCs/>
          <w:i/>
          <w:iCs/>
        </w:rPr>
        <w:t>“Téngase por recibida la demanda y anexos</w:t>
      </w:r>
      <w:r w:rsidR="007455B8">
        <w:rPr>
          <w:rFonts w:ascii="Arial" w:hAnsi="Arial" w:cs="Arial"/>
          <w:bCs/>
          <w:i/>
          <w:iCs/>
        </w:rPr>
        <w:t xml:space="preserve"> </w:t>
      </w:r>
      <w:r w:rsidR="007455B8">
        <w:rPr>
          <w:rFonts w:ascii="Arial" w:eastAsia="Times New Roman" w:hAnsi="Arial" w:cs="Arial"/>
          <w:sz w:val="26"/>
          <w:szCs w:val="26"/>
          <w:lang w:val="es-ES_tradnl" w:eastAsia="es-ES"/>
        </w:rPr>
        <w:t>**********</w:t>
      </w:r>
      <w:r>
        <w:rPr>
          <w:rFonts w:ascii="Arial" w:hAnsi="Arial" w:cs="Arial"/>
          <w:bCs/>
          <w:i/>
          <w:iCs/>
        </w:rPr>
        <w:t xml:space="preserve">, el trece de julio del actual, quien promueve en contra de la Jefatura de Transito del Municipio de San Juan Bautista Tuxtepec, Oaxaca; en su atención, fórmese expediente y regístrese su ingreso en el Libro de Gobierno con el número </w:t>
      </w:r>
      <w:r w:rsidRPr="00A96AF8">
        <w:rPr>
          <w:rFonts w:ascii="Arial" w:hAnsi="Arial" w:cs="Arial"/>
          <w:b/>
          <w:bCs/>
          <w:i/>
          <w:iCs/>
        </w:rPr>
        <w:t>62/2022.</w:t>
      </w:r>
      <w:r>
        <w:rPr>
          <w:rFonts w:ascii="Arial" w:hAnsi="Arial" w:cs="Arial"/>
          <w:bCs/>
          <w:i/>
          <w:iCs/>
        </w:rPr>
        <w:t xml:space="preserve"> </w:t>
      </w:r>
    </w:p>
    <w:p w14:paraId="7E14DBA4" w14:textId="77777777" w:rsidR="00E26C96" w:rsidRDefault="00E26C96" w:rsidP="00E26C96">
      <w:pPr>
        <w:spacing w:line="360" w:lineRule="auto"/>
        <w:ind w:left="567" w:right="616"/>
        <w:jc w:val="both"/>
        <w:rPr>
          <w:rFonts w:ascii="Arial" w:hAnsi="Arial" w:cs="Arial"/>
          <w:bCs/>
          <w:i/>
          <w:iCs/>
        </w:rPr>
      </w:pPr>
      <w:r>
        <w:rPr>
          <w:rFonts w:ascii="Arial" w:hAnsi="Arial" w:cs="Arial"/>
          <w:bCs/>
          <w:i/>
          <w:iCs/>
        </w:rPr>
        <w:t xml:space="preserve">Del análisis integral de la demanda, se advierte que el promovente bajo protesta de decir verdad manifiesta que tuvo conocimiento del acto impugnado el siete de mayo de dos mil veintidós; es decir, sábado que corresponde a un día inhábil, por lo que esta Sala Unitaria, tomará el día hábil siguiente siendo el </w:t>
      </w:r>
      <w:r w:rsidRPr="00A96AF8">
        <w:rPr>
          <w:rFonts w:ascii="Arial" w:hAnsi="Arial" w:cs="Arial"/>
          <w:b/>
          <w:bCs/>
          <w:i/>
          <w:iCs/>
        </w:rPr>
        <w:t>día nueve de mayo del actual</w:t>
      </w:r>
      <w:r>
        <w:rPr>
          <w:rFonts w:ascii="Arial" w:hAnsi="Arial" w:cs="Arial"/>
          <w:bCs/>
          <w:i/>
          <w:iCs/>
        </w:rPr>
        <w:t xml:space="preserve">, surtiendo efectos legales el once de mayo del año en curso; por tanto, el plazo de treinta días hábiles para presentar la demanda de nulidad, previsto por el artículo 166 de la Ley de Procedimiento y Justicia Administrativa para el Estado, </w:t>
      </w:r>
      <w:r w:rsidRPr="00A96AF8">
        <w:rPr>
          <w:rFonts w:ascii="Arial" w:hAnsi="Arial" w:cs="Arial"/>
          <w:b/>
          <w:bCs/>
          <w:i/>
          <w:iCs/>
        </w:rPr>
        <w:t>transcurrió del doce de mayo al veintidós de junio de dos mil veintidós</w:t>
      </w:r>
      <w:r>
        <w:rPr>
          <w:rFonts w:ascii="Arial" w:hAnsi="Arial" w:cs="Arial"/>
          <w:bCs/>
          <w:i/>
          <w:iCs/>
        </w:rPr>
        <w:t xml:space="preserve">, descontándose los días catorce, quince, veintiuno, veintidós, veintiocho y veintinueve de mayo, y cuatro, cinco, once, doce, dieciocho y diecinueve de junio del año que transcurre, al ser sábados y domingos; así como el día diez de mayo del año en curso, por haber </w:t>
      </w:r>
      <w:r>
        <w:rPr>
          <w:rFonts w:ascii="Arial" w:hAnsi="Arial" w:cs="Arial"/>
          <w:bCs/>
          <w:i/>
          <w:iCs/>
        </w:rPr>
        <w:lastRenderedPageBreak/>
        <w:t xml:space="preserve">sido declarado inhábil mediante el Acuerdo General de Pleno AG/TJAO/12/2021, de fecha treinta y uno de diciembre de dos mil veintiuno.  </w:t>
      </w:r>
    </w:p>
    <w:p w14:paraId="74368154" w14:textId="77777777" w:rsidR="00E26C96" w:rsidRDefault="00E26C96" w:rsidP="00E26C96">
      <w:pPr>
        <w:spacing w:line="360" w:lineRule="auto"/>
        <w:ind w:left="567" w:right="616"/>
        <w:jc w:val="both"/>
        <w:rPr>
          <w:rFonts w:ascii="Arial" w:hAnsi="Arial" w:cs="Arial"/>
          <w:bCs/>
          <w:i/>
          <w:iCs/>
        </w:rPr>
      </w:pPr>
      <w:r>
        <w:rPr>
          <w:rFonts w:ascii="Arial" w:hAnsi="Arial" w:cs="Arial"/>
          <w:bCs/>
          <w:i/>
          <w:iCs/>
        </w:rPr>
        <w:t xml:space="preserve">En esa línea argumentativa y en consideración que la demanda de nulidad que nos ocupa, fue presentada a la Oficina de Correos de México, </w:t>
      </w:r>
      <w:r w:rsidRPr="001E5D18">
        <w:rPr>
          <w:rFonts w:ascii="Arial" w:hAnsi="Arial" w:cs="Arial"/>
          <w:b/>
          <w:bCs/>
          <w:i/>
          <w:iCs/>
        </w:rPr>
        <w:t>el veintisiete de junio de dos mil veintidós</w:t>
      </w:r>
      <w:r>
        <w:rPr>
          <w:rFonts w:ascii="Arial" w:hAnsi="Arial" w:cs="Arial"/>
          <w:bCs/>
          <w:i/>
          <w:iCs/>
        </w:rPr>
        <w:t>, como se desprende del sello de recepción por parte de la dependencia federal en mención, se pone en manifiesto que su presentación resulta extemporánea, al haberla presentado después del tiempo previsto en el artículo 166 de la Ley de referencia; consecuentemente, se desecha de plano su demanda de nulidad al ser extemporánea y por ende, notoriamente improcedente, con fundamento en los artículos 161 fracción VI y 182 fracción I de la Ley de Procedimiento y Justicia Administrativa para el Estado.</w:t>
      </w:r>
    </w:p>
    <w:p w14:paraId="69056FE7" w14:textId="20C06312" w:rsidR="003F065E" w:rsidRPr="00B0089F" w:rsidRDefault="00E26C96" w:rsidP="00E26C96">
      <w:pPr>
        <w:spacing w:line="360" w:lineRule="auto"/>
        <w:ind w:left="567" w:right="616"/>
        <w:jc w:val="both"/>
        <w:rPr>
          <w:rFonts w:ascii="Arial" w:hAnsi="Arial" w:cs="Arial"/>
          <w:bCs/>
          <w:i/>
          <w:spacing w:val="-3"/>
          <w:sz w:val="20"/>
          <w:szCs w:val="20"/>
          <w:lang w:val="es-ES_tradnl"/>
        </w:rPr>
      </w:pPr>
      <w:r>
        <w:rPr>
          <w:rFonts w:ascii="Arial" w:hAnsi="Arial" w:cs="Arial"/>
          <w:bCs/>
          <w:i/>
          <w:iCs/>
        </w:rPr>
        <w:t>[…]</w:t>
      </w:r>
      <w:r w:rsidR="003F065E" w:rsidRPr="00B0089F">
        <w:rPr>
          <w:rFonts w:ascii="Arial" w:hAnsi="Arial" w:cs="Arial"/>
          <w:bCs/>
          <w:i/>
          <w:spacing w:val="-3"/>
          <w:sz w:val="20"/>
          <w:szCs w:val="20"/>
          <w:lang w:val="es-ES_tradnl"/>
        </w:rPr>
        <w:t>”</w:t>
      </w:r>
      <w:r>
        <w:rPr>
          <w:rFonts w:ascii="Arial" w:hAnsi="Arial" w:cs="Arial"/>
          <w:bCs/>
          <w:i/>
          <w:spacing w:val="-3"/>
          <w:sz w:val="20"/>
          <w:szCs w:val="20"/>
          <w:lang w:val="es-ES_tradnl"/>
        </w:rPr>
        <w:t xml:space="preserve"> </w:t>
      </w:r>
    </w:p>
    <w:p w14:paraId="258CE6C0" w14:textId="2C735F83" w:rsidR="00102315" w:rsidRPr="00EE4752" w:rsidRDefault="00B979B6" w:rsidP="002417AF">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696DB99D" w:rsidR="002C2EE5" w:rsidRDefault="00102315" w:rsidP="00763651">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4ED35C60" w14:textId="29B092F5" w:rsidR="002417AF" w:rsidRPr="000F39BF" w:rsidRDefault="002417AF" w:rsidP="000F39BF">
      <w:pPr>
        <w:spacing w:line="360" w:lineRule="auto"/>
        <w:ind w:firstLine="567"/>
        <w:jc w:val="both"/>
        <w:rPr>
          <w:rFonts w:ascii="Arial" w:hAnsi="Arial" w:cs="Arial"/>
          <w:sz w:val="26"/>
          <w:szCs w:val="26"/>
        </w:rPr>
      </w:pPr>
      <w:r>
        <w:rPr>
          <w:rFonts w:ascii="Arial" w:hAnsi="Arial" w:cs="Arial"/>
          <w:sz w:val="26"/>
          <w:szCs w:val="26"/>
        </w:rPr>
        <w:t xml:space="preserve">4. </w:t>
      </w:r>
      <w:r w:rsidRPr="002417AF">
        <w:rPr>
          <w:rFonts w:ascii="Arial" w:hAnsi="Arial" w:cs="Arial"/>
          <w:sz w:val="26"/>
          <w:szCs w:val="26"/>
        </w:rPr>
        <w:t>Esta Sala Superior del Tribunal de Justicia Administrativa y Combate a la Corrupción del Estado de Oaxaca</w:t>
      </w:r>
      <w:r w:rsidR="002D3EBF">
        <w:rPr>
          <w:rFonts w:ascii="Arial" w:hAnsi="Arial" w:cs="Arial"/>
          <w:sz w:val="26"/>
          <w:szCs w:val="26"/>
        </w:rPr>
        <w:t>,</w:t>
      </w:r>
      <w:r w:rsidRPr="002417AF">
        <w:rPr>
          <w:rFonts w:ascii="Arial" w:hAnsi="Arial" w:cs="Arial"/>
          <w:sz w:val="26"/>
          <w:szCs w:val="26"/>
        </w:rPr>
        <w:t xml:space="preserve">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Pr="00455424">
        <w:rPr>
          <w:rFonts w:ascii="Arial" w:hAnsi="Arial" w:cs="Arial"/>
          <w:bCs/>
          <w:iCs/>
          <w:sz w:val="26"/>
          <w:szCs w:val="26"/>
        </w:rPr>
        <w:t xml:space="preserve">1 párrafo segundo, 2 párrafos primero y </w:t>
      </w:r>
      <w:r>
        <w:rPr>
          <w:rFonts w:ascii="Arial" w:hAnsi="Arial" w:cs="Arial"/>
          <w:bCs/>
          <w:iCs/>
          <w:sz w:val="26"/>
          <w:szCs w:val="26"/>
        </w:rPr>
        <w:t>tercero</w:t>
      </w:r>
      <w:r w:rsidRPr="00455424">
        <w:rPr>
          <w:rFonts w:ascii="Arial" w:hAnsi="Arial" w:cs="Arial"/>
          <w:bCs/>
          <w:iCs/>
          <w:sz w:val="26"/>
          <w:szCs w:val="26"/>
        </w:rPr>
        <w:t>, 4 fracción VIII, 2</w:t>
      </w:r>
      <w:r w:rsidR="000F39BF">
        <w:rPr>
          <w:rFonts w:ascii="Arial" w:hAnsi="Arial" w:cs="Arial"/>
          <w:bCs/>
          <w:iCs/>
          <w:sz w:val="26"/>
          <w:szCs w:val="26"/>
        </w:rPr>
        <w:t>3, 24 fracciones</w:t>
      </w:r>
      <w:r>
        <w:rPr>
          <w:rFonts w:ascii="Arial" w:hAnsi="Arial" w:cs="Arial"/>
          <w:bCs/>
          <w:iCs/>
          <w:sz w:val="26"/>
          <w:szCs w:val="26"/>
        </w:rPr>
        <w:t xml:space="preserve"> I</w:t>
      </w:r>
      <w:r w:rsidR="000F39BF">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w:t>
      </w:r>
      <w:r w:rsidRPr="00451BAD">
        <w:rPr>
          <w:rFonts w:ascii="Arial" w:hAnsi="Arial" w:cs="Arial"/>
          <w:bCs/>
          <w:i/>
          <w:iCs/>
          <w:sz w:val="26"/>
          <w:szCs w:val="26"/>
        </w:rPr>
        <w:t>Ley Orgánica</w:t>
      </w:r>
      <w:r w:rsidRPr="00455424">
        <w:rPr>
          <w:rFonts w:ascii="Arial" w:hAnsi="Arial" w:cs="Arial"/>
          <w:bCs/>
          <w:iCs/>
          <w:sz w:val="26"/>
          <w:szCs w:val="26"/>
        </w:rPr>
        <w:t>,</w:t>
      </w:r>
      <w:r>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000F39BF">
        <w:rPr>
          <w:rFonts w:ascii="Arial" w:hAnsi="Arial" w:cs="Arial"/>
          <w:bCs/>
          <w:iCs/>
          <w:sz w:val="26"/>
          <w:szCs w:val="26"/>
          <w:lang w:eastAsia="es-ES"/>
        </w:rPr>
        <w:t xml:space="preserve"> fracción I</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254021" w:rsidRPr="002417AF">
        <w:rPr>
          <w:rFonts w:ascii="Arial" w:hAnsi="Arial" w:cs="Arial"/>
          <w:bCs/>
          <w:spacing w:val="-3"/>
          <w:sz w:val="26"/>
          <w:szCs w:val="26"/>
          <w:lang w:val="es-ES_tradnl"/>
        </w:rPr>
        <w:t xml:space="preserve">auto de </w:t>
      </w:r>
      <w:r w:rsidR="00E26C96">
        <w:rPr>
          <w:rFonts w:ascii="Arial" w:hAnsi="Arial" w:cs="Arial"/>
          <w:bCs/>
          <w:spacing w:val="-3"/>
          <w:sz w:val="26"/>
          <w:szCs w:val="26"/>
          <w:lang w:val="es-ES_tradnl"/>
        </w:rPr>
        <w:t xml:space="preserve">ocho de </w:t>
      </w:r>
      <w:r w:rsidR="00F718D9">
        <w:rPr>
          <w:rFonts w:ascii="Arial" w:hAnsi="Arial" w:cs="Arial"/>
          <w:bCs/>
          <w:spacing w:val="-3"/>
          <w:sz w:val="26"/>
          <w:szCs w:val="26"/>
          <w:lang w:val="es-ES_tradnl"/>
        </w:rPr>
        <w:t xml:space="preserve">septiembre de dos mil veintidós, </w:t>
      </w:r>
      <w:r w:rsidR="00254021">
        <w:rPr>
          <w:rFonts w:ascii="Arial" w:hAnsi="Arial" w:cs="Arial"/>
          <w:bCs/>
          <w:spacing w:val="-3"/>
          <w:sz w:val="26"/>
          <w:szCs w:val="26"/>
          <w:lang w:val="es-ES_tradnl"/>
        </w:rPr>
        <w:t>dictado dentro</w:t>
      </w:r>
      <w:r w:rsidR="00E26C96">
        <w:rPr>
          <w:rFonts w:ascii="Arial" w:hAnsi="Arial" w:cs="Arial"/>
          <w:bCs/>
          <w:spacing w:val="-3"/>
          <w:sz w:val="26"/>
          <w:szCs w:val="26"/>
          <w:lang w:val="es-ES_tradnl"/>
        </w:rPr>
        <w:t xml:space="preserve"> del juicio de nulidad 0062/2022</w:t>
      </w:r>
      <w:r w:rsidR="00254021">
        <w:rPr>
          <w:rFonts w:ascii="Arial" w:hAnsi="Arial" w:cs="Arial"/>
          <w:bCs/>
          <w:spacing w:val="-3"/>
          <w:sz w:val="26"/>
          <w:szCs w:val="26"/>
          <w:lang w:val="es-ES_tradnl"/>
        </w:rPr>
        <w:t xml:space="preserve">, de </w:t>
      </w:r>
      <w:r w:rsidR="00254021" w:rsidRPr="002417AF">
        <w:rPr>
          <w:rFonts w:ascii="Arial" w:hAnsi="Arial" w:cs="Arial"/>
          <w:bCs/>
          <w:spacing w:val="-3"/>
          <w:sz w:val="26"/>
          <w:szCs w:val="26"/>
          <w:lang w:val="es-ES_tradnl"/>
        </w:rPr>
        <w:t xml:space="preserve">la </w:t>
      </w:r>
      <w:r w:rsidR="00E26C96">
        <w:rPr>
          <w:rFonts w:ascii="Arial" w:hAnsi="Arial" w:cs="Arial"/>
          <w:bCs/>
          <w:spacing w:val="-3"/>
          <w:sz w:val="26"/>
          <w:szCs w:val="26"/>
          <w:lang w:val="es-ES_tradnl"/>
        </w:rPr>
        <w:t>Segunda</w:t>
      </w:r>
      <w:r w:rsidR="00254021" w:rsidRPr="002417AF">
        <w:rPr>
          <w:rFonts w:ascii="Arial" w:hAnsi="Arial" w:cs="Arial"/>
          <w:bCs/>
          <w:spacing w:val="-3"/>
          <w:sz w:val="26"/>
          <w:szCs w:val="26"/>
          <w:lang w:val="es-ES_tradnl"/>
        </w:rPr>
        <w:t xml:space="preserve"> Sala Unitaria </w:t>
      </w:r>
      <w:r w:rsidR="00254021">
        <w:rPr>
          <w:rFonts w:ascii="Arial" w:hAnsi="Arial" w:cs="Arial"/>
          <w:bCs/>
          <w:spacing w:val="-3"/>
          <w:sz w:val="26"/>
          <w:szCs w:val="26"/>
          <w:lang w:val="es-ES_tradnl"/>
        </w:rPr>
        <w:t xml:space="preserve">de Primera Instancia que </w:t>
      </w:r>
      <w:r w:rsidR="00254021" w:rsidRPr="002417AF">
        <w:rPr>
          <w:rFonts w:ascii="Arial" w:hAnsi="Arial" w:cs="Arial"/>
          <w:b/>
          <w:bCs/>
          <w:spacing w:val="-3"/>
          <w:sz w:val="26"/>
          <w:szCs w:val="26"/>
          <w:lang w:val="es-ES_tradnl"/>
        </w:rPr>
        <w:t>desechó la demanda</w:t>
      </w:r>
      <w:r w:rsidRPr="008738EC">
        <w:rPr>
          <w:rFonts w:ascii="Arial" w:hAnsi="Arial" w:cs="Arial"/>
          <w:bCs/>
          <w:iCs/>
          <w:sz w:val="26"/>
          <w:szCs w:val="26"/>
        </w:rPr>
        <w:t xml:space="preserve">. </w:t>
      </w:r>
    </w:p>
    <w:p w14:paraId="37EE72C6" w14:textId="024C245F" w:rsidR="00012FB2" w:rsidRPr="00EE4752" w:rsidRDefault="00FE3F41" w:rsidP="007C426D">
      <w:pPr>
        <w:spacing w:line="360" w:lineRule="auto"/>
        <w:ind w:firstLine="709"/>
        <w:jc w:val="both"/>
        <w:rPr>
          <w:rFonts w:ascii="Arial" w:hAnsi="Arial" w:cs="Arial"/>
          <w:b/>
          <w:snapToGrid w:val="0"/>
          <w:sz w:val="26"/>
          <w:szCs w:val="26"/>
        </w:rPr>
      </w:pPr>
      <w:r w:rsidRPr="00FE3F41">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1F66CE19" w:rsidR="009E1ACE" w:rsidRPr="007C426D" w:rsidRDefault="007C426D" w:rsidP="002417AF">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7C426D">
        <w:rPr>
          <w:rFonts w:ascii="Arial" w:hAnsi="Arial" w:cs="Arial"/>
          <w:b/>
          <w:bCs/>
          <w:i/>
          <w:color w:val="000000"/>
          <w:sz w:val="26"/>
          <w:szCs w:val="26"/>
        </w:rPr>
        <w:lastRenderedPageBreak/>
        <w:t>“CONCEPTOS DE VIOLACIÓN. NO ES OBLIGATORIO TRANSCRIBIRLOS EN LA SENTENCIA</w:t>
      </w:r>
      <w:r w:rsidR="000C7EB2" w:rsidRPr="007C426D">
        <w:rPr>
          <w:rStyle w:val="Refdenotaalpie"/>
          <w:rFonts w:ascii="Arial" w:hAnsi="Arial" w:cs="Arial"/>
          <w:b/>
          <w:bCs/>
          <w:i/>
          <w:color w:val="000000"/>
          <w:sz w:val="26"/>
          <w:szCs w:val="26"/>
        </w:rPr>
        <w:footnoteReference w:id="1"/>
      </w:r>
      <w:r w:rsidR="004A06DD" w:rsidRPr="007C426D">
        <w:rPr>
          <w:rFonts w:ascii="Arial" w:hAnsi="Arial" w:cs="Arial"/>
          <w:b/>
          <w:bCs/>
          <w:i/>
          <w:color w:val="000000"/>
          <w:sz w:val="26"/>
          <w:szCs w:val="26"/>
        </w:rPr>
        <w:t xml:space="preserve">”. - - - - - - - - - -  - - - - - - - - - - - - - </w:t>
      </w:r>
    </w:p>
    <w:p w14:paraId="2B5A6F52" w14:textId="23172DA1" w:rsidR="00461D48" w:rsidRDefault="007C426D" w:rsidP="00461D48">
      <w:pPr>
        <w:spacing w:line="360" w:lineRule="auto"/>
        <w:ind w:firstLine="567"/>
        <w:jc w:val="both"/>
        <w:rPr>
          <w:rFonts w:ascii="Arial" w:eastAsia="Calibri" w:hAnsi="Arial" w:cs="Arial"/>
          <w:bCs/>
          <w:sz w:val="26"/>
          <w:szCs w:val="26"/>
        </w:rPr>
      </w:pPr>
      <w:r>
        <w:rPr>
          <w:rFonts w:ascii="Arial" w:hAnsi="Arial" w:cs="Arial"/>
          <w:snapToGrid w:val="0"/>
          <w:sz w:val="26"/>
          <w:szCs w:val="26"/>
        </w:rPr>
        <w:t>6</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962462">
        <w:rPr>
          <w:rFonts w:ascii="Arial" w:hAnsi="Arial" w:cs="Arial"/>
          <w:snapToGrid w:val="0"/>
          <w:sz w:val="26"/>
          <w:szCs w:val="26"/>
        </w:rPr>
        <w:t xml:space="preserve"> el recurrente</w:t>
      </w:r>
      <w:r w:rsidR="00913416">
        <w:rPr>
          <w:rFonts w:ascii="Arial" w:hAnsi="Arial" w:cs="Arial"/>
          <w:snapToGrid w:val="0"/>
          <w:sz w:val="26"/>
          <w:szCs w:val="26"/>
        </w:rPr>
        <w:t xml:space="preserve"> expone </w:t>
      </w:r>
      <w:r w:rsidR="00461D48">
        <w:rPr>
          <w:rFonts w:ascii="Arial" w:hAnsi="Arial" w:cs="Arial"/>
          <w:snapToGrid w:val="0"/>
          <w:sz w:val="26"/>
          <w:szCs w:val="26"/>
        </w:rPr>
        <w:t>en su agravio único</w:t>
      </w:r>
      <w:r w:rsidR="00461D48">
        <w:rPr>
          <w:rFonts w:ascii="Arial" w:eastAsia="Calibri" w:hAnsi="Arial" w:cs="Arial"/>
          <w:bCs/>
          <w:sz w:val="26"/>
          <w:szCs w:val="26"/>
        </w:rPr>
        <w:t xml:space="preserve"> que le causa perjuicio la violación al artículo 1 y 17 de </w:t>
      </w:r>
      <w:r w:rsidR="00461D48" w:rsidRPr="00461D48">
        <w:rPr>
          <w:rFonts w:ascii="Arial" w:eastAsia="Calibri" w:hAnsi="Arial" w:cs="Arial"/>
          <w:bCs/>
          <w:i/>
          <w:sz w:val="26"/>
          <w:szCs w:val="26"/>
        </w:rPr>
        <w:t>la Constitución Local</w:t>
      </w:r>
      <w:r w:rsidR="00461D48">
        <w:rPr>
          <w:rFonts w:ascii="Arial" w:eastAsia="Calibri" w:hAnsi="Arial" w:cs="Arial"/>
          <w:bCs/>
          <w:sz w:val="26"/>
          <w:szCs w:val="26"/>
        </w:rPr>
        <w:t xml:space="preserve"> y el artículo 169 de la </w:t>
      </w:r>
      <w:r w:rsidR="00461D48" w:rsidRPr="00461D48">
        <w:rPr>
          <w:rFonts w:ascii="Arial" w:eastAsia="Calibri" w:hAnsi="Arial" w:cs="Arial"/>
          <w:bCs/>
          <w:i/>
          <w:sz w:val="26"/>
          <w:szCs w:val="26"/>
        </w:rPr>
        <w:t>Ley de Procedimiento</w:t>
      </w:r>
      <w:r w:rsidR="00461D48">
        <w:rPr>
          <w:rFonts w:ascii="Arial" w:eastAsia="Calibri" w:hAnsi="Arial" w:cs="Arial"/>
          <w:bCs/>
          <w:sz w:val="26"/>
          <w:szCs w:val="26"/>
        </w:rPr>
        <w:t xml:space="preserve"> (transcribe la parte que le interesa).</w:t>
      </w:r>
    </w:p>
    <w:p w14:paraId="476D7222" w14:textId="2D975727" w:rsidR="00461D48" w:rsidRPr="007C426D" w:rsidRDefault="007C426D"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7</w:t>
      </w:r>
      <w:r w:rsidR="00461D48">
        <w:rPr>
          <w:rFonts w:ascii="Arial" w:eastAsia="Calibri" w:hAnsi="Arial" w:cs="Arial"/>
          <w:bCs/>
          <w:sz w:val="26"/>
          <w:szCs w:val="26"/>
        </w:rPr>
        <w:t xml:space="preserve">. Abunda que, como lo manifestó en el escrito de demanda, tiene su domicilio fiscal en la ciudad y municipio de Loma Bonita, Oaxaca, por tanto, ese es el lugar de su residencia habitual, es por ello que el escrito que contiene la demanda inicial fue presentado el día veintiuno de junio de dos mil veintidós, en la oficina de Correos de México del lugar de su residencia, es decir, Loma Bonita, Oaxaca, tal como lo demuestra con la impresión de su RFC para acreditar su domicilio y con el ticket de acuse que le fue entregado por la empleada de la oficina de Correos de México en Loma Bonita, Oaxaca, la cual le informó que ya no cuenta con el sistema de acuse de recibo, que para saber cuándo fue entregado al destinatario, tenía que ingresar a la página de </w:t>
      </w:r>
      <w:r w:rsidR="00461D48" w:rsidRPr="007C426D">
        <w:rPr>
          <w:rFonts w:ascii="Arial" w:eastAsia="Calibri" w:hAnsi="Arial" w:cs="Arial"/>
          <w:bCs/>
          <w:sz w:val="26"/>
          <w:szCs w:val="26"/>
        </w:rPr>
        <w:t xml:space="preserve">internet </w:t>
      </w:r>
      <w:hyperlink r:id="rId8" w:history="1">
        <w:r w:rsidR="00461D48" w:rsidRPr="007C426D">
          <w:rPr>
            <w:rStyle w:val="Hipervnculo"/>
            <w:rFonts w:ascii="Arial" w:eastAsia="Calibri" w:hAnsi="Arial" w:cs="Arial"/>
            <w:bCs/>
            <w:color w:val="auto"/>
            <w:sz w:val="26"/>
            <w:szCs w:val="26"/>
          </w:rPr>
          <w:t>https://www.portal.correosdemexico.com.mx/portal/</w:t>
        </w:r>
      </w:hyperlink>
      <w:r w:rsidR="00461D48" w:rsidRPr="007C426D">
        <w:rPr>
          <w:rFonts w:ascii="Arial" w:eastAsia="Calibri" w:hAnsi="Arial" w:cs="Arial"/>
          <w:bCs/>
          <w:sz w:val="26"/>
          <w:szCs w:val="26"/>
        </w:rPr>
        <w:t xml:space="preserve">, opción rastreo, seguimiento de envío en </w:t>
      </w:r>
      <w:hyperlink r:id="rId9" w:history="1">
        <w:r w:rsidR="00461D48" w:rsidRPr="007C426D">
          <w:rPr>
            <w:rStyle w:val="Hipervnculo"/>
            <w:rFonts w:ascii="Arial" w:eastAsia="Calibri" w:hAnsi="Arial" w:cs="Arial"/>
            <w:bCs/>
            <w:color w:val="auto"/>
            <w:sz w:val="26"/>
            <w:szCs w:val="26"/>
          </w:rPr>
          <w:t>https://www.correosdemexico.gob.mx/SSLServicios/SeguimientoEnvio/Seguimiento.aspx</w:t>
        </w:r>
      </w:hyperlink>
      <w:r w:rsidR="00461D48" w:rsidRPr="007C426D">
        <w:rPr>
          <w:rFonts w:ascii="Arial" w:eastAsia="Calibri" w:hAnsi="Arial" w:cs="Arial"/>
          <w:bCs/>
          <w:sz w:val="26"/>
          <w:szCs w:val="26"/>
        </w:rPr>
        <w:t xml:space="preserve">, se observa que el resultado corresponde a la pieza postal identificada con la clave o número MN684010150MX (inserta dos capturas de pantalla). </w:t>
      </w:r>
    </w:p>
    <w:p w14:paraId="4CC057EB" w14:textId="6C5515CA" w:rsidR="00461D48" w:rsidRDefault="007C426D"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8</w:t>
      </w:r>
      <w:r w:rsidR="00461D48">
        <w:rPr>
          <w:rFonts w:ascii="Arial" w:eastAsia="Calibri" w:hAnsi="Arial" w:cs="Arial"/>
          <w:bCs/>
          <w:sz w:val="26"/>
          <w:szCs w:val="26"/>
        </w:rPr>
        <w:t xml:space="preserve">. Sostiene que, el acuerdo que recurre, señala que la demanda fue presentada en la oficina de Correos de México el día veintisiete de junio de dos mil veintidós, argumenta que no es válido porque de la consulta a la página de internet se observa que la correspondencia con número de guía MN684010150MX, se encontraba en tránsito hacia el destino de la ciudad de Oaxaca, Santa Lucía del Camino, el día veinticinco de junio de dos mil veintidós a las diez horas con siete minutos, por tanto, existe la presunción legal y humana de que el inconforme depositó la demanda el día veintiuno de junio de dos mil veintidós en las oficinas de Correos de México de Loma </w:t>
      </w:r>
      <w:r w:rsidR="00461D48">
        <w:rPr>
          <w:rFonts w:ascii="Arial" w:eastAsia="Calibri" w:hAnsi="Arial" w:cs="Arial"/>
          <w:bCs/>
          <w:sz w:val="26"/>
          <w:szCs w:val="26"/>
        </w:rPr>
        <w:lastRenderedPageBreak/>
        <w:t xml:space="preserve">Bonita, Oaxaca, de acuerdo a lo previsto por el numeral 169 de la Ley de la materia.  </w:t>
      </w:r>
    </w:p>
    <w:p w14:paraId="09F9BCD9" w14:textId="6B6E7374" w:rsidR="00461D48" w:rsidRDefault="007C426D"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9</w:t>
      </w:r>
      <w:r w:rsidR="00461D48">
        <w:rPr>
          <w:rFonts w:ascii="Arial" w:eastAsia="Calibri" w:hAnsi="Arial" w:cs="Arial"/>
          <w:bCs/>
          <w:sz w:val="26"/>
          <w:szCs w:val="26"/>
        </w:rPr>
        <w:t xml:space="preserve">. Alega que, la Sala violentó sus derechos humanos de legalidad y acceso a la justicia previsto en el artículo 16 y 17 Constitucional, en relación con los numerales 8.1 y 25.1 de la Convención Americana sobre Derechos Humanos, los principios de fundamentación, motivación, exhaustividad, legalidad y </w:t>
      </w:r>
      <w:r w:rsidR="00461D48" w:rsidRPr="00F716D3">
        <w:rPr>
          <w:rFonts w:ascii="Arial" w:eastAsia="Calibri" w:hAnsi="Arial" w:cs="Arial"/>
          <w:bCs/>
          <w:i/>
          <w:sz w:val="26"/>
          <w:szCs w:val="26"/>
        </w:rPr>
        <w:t xml:space="preserve">pro homine, </w:t>
      </w:r>
      <w:r w:rsidR="00461D48">
        <w:rPr>
          <w:rFonts w:ascii="Arial" w:eastAsia="Calibri" w:hAnsi="Arial" w:cs="Arial"/>
          <w:bCs/>
          <w:sz w:val="26"/>
          <w:szCs w:val="26"/>
        </w:rPr>
        <w:t xml:space="preserve">toda vez que la demanda fue depositada ante la oficina de Correos de México en tiempo y forma. </w:t>
      </w:r>
    </w:p>
    <w:p w14:paraId="4CCE8894" w14:textId="5F6FA219" w:rsidR="00461D48" w:rsidRDefault="007C426D"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10</w:t>
      </w:r>
      <w:r w:rsidR="00461D48">
        <w:rPr>
          <w:rFonts w:ascii="Arial" w:eastAsia="Calibri" w:hAnsi="Arial" w:cs="Arial"/>
          <w:bCs/>
          <w:sz w:val="26"/>
          <w:szCs w:val="26"/>
        </w:rPr>
        <w:t xml:space="preserve">. Abunda que, el proceso de entrega y los procedimientos internos que tenga que agotar la dependencia Servicio Postal Mexicano o Correos de México, son muy ajenos a la voluntad del actor, por lo tanto, la fecha de entrega queda fuera de su potestad. </w:t>
      </w:r>
    </w:p>
    <w:p w14:paraId="2A5A7500" w14:textId="2151D384" w:rsidR="00461D48" w:rsidRDefault="00461D48"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w:t>
      </w:r>
      <w:r w:rsidR="007C426D">
        <w:rPr>
          <w:rFonts w:ascii="Arial" w:eastAsia="Calibri" w:hAnsi="Arial" w:cs="Arial"/>
          <w:bCs/>
          <w:sz w:val="26"/>
          <w:szCs w:val="26"/>
        </w:rPr>
        <w:t>1</w:t>
      </w:r>
      <w:r>
        <w:rPr>
          <w:rFonts w:ascii="Arial" w:eastAsia="Calibri" w:hAnsi="Arial" w:cs="Arial"/>
          <w:bCs/>
          <w:sz w:val="26"/>
          <w:szCs w:val="26"/>
        </w:rPr>
        <w:t xml:space="preserve">. Manifiesta que le causa agravio en virtud de que cumplió con lo ordenado por el artículo 169 de la Ley de Procedimiento y Justicia Administrativa del Estado de Oaxaca, en virtud de que depositó el escrito inicial de demanda y anexos que acompañó un día antes de su vencimiento, el veintiuno de junio de dos mil veintidós, dentro del plazo legal señalado por medio de correo certificado con acuse de recibo en la oficina de Correos de Loma Bonita, Oaxaca, lugar de residencia del domicilio fiscal, para cual anexa el original del acuse que le fue entregado por la oficina de Servicio Postal Mexicano sucursal Loma Bonita, en donde consta que fue depositada la demanda el día veintiuno de junio de dos mil veintidós, es decir, un día antes de su vencimiento. </w:t>
      </w:r>
    </w:p>
    <w:p w14:paraId="6B4755AB" w14:textId="4A25A59F" w:rsidR="00461D48" w:rsidRDefault="00461D48" w:rsidP="00461D48">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1</w:t>
      </w:r>
      <w:r w:rsidR="007C426D">
        <w:rPr>
          <w:rFonts w:ascii="Arial" w:eastAsia="Calibri" w:hAnsi="Arial" w:cs="Arial"/>
          <w:bCs/>
          <w:sz w:val="26"/>
          <w:szCs w:val="26"/>
        </w:rPr>
        <w:t>2</w:t>
      </w:r>
      <w:r>
        <w:rPr>
          <w:rFonts w:ascii="Arial" w:eastAsia="Calibri" w:hAnsi="Arial" w:cs="Arial"/>
          <w:bCs/>
          <w:sz w:val="26"/>
          <w:szCs w:val="26"/>
        </w:rPr>
        <w:t xml:space="preserve">. Hace mención que, el acuerdo recurrido afecta la esfera jurídica de su poderdante, al desechar la demanda, toda vez que cumplió con los requisitos de legalidad al presentar la demanda y anexos en tiempo y forma ante la oficina de Servicio Postal Mexicano, sucursal Loma Bonita, el día veintiuno de junio de dos mil veintidós, para lo cual invoca la siguiente tesis de jurisprudencia: </w:t>
      </w:r>
      <w:r w:rsidRPr="00C5235A">
        <w:rPr>
          <w:rFonts w:ascii="Arial" w:eastAsia="Calibri" w:hAnsi="Arial" w:cs="Arial"/>
          <w:b/>
          <w:bCs/>
          <w:sz w:val="26"/>
          <w:szCs w:val="26"/>
        </w:rPr>
        <w:t>TUTELA JUDICIAL EFECTIVA. LA INTERPRETACION CONFORME DEL ARTICULO 182 IN FINE DE LA LEY DE AMPARO, CONLLEVA RESOLVER INTEGRALMENTE ELJUICIO DE AMPARO DIRECTO PRINCIPAL Y ADHESIVO</w:t>
      </w:r>
      <w:r>
        <w:rPr>
          <w:rFonts w:ascii="Arial" w:eastAsia="Calibri" w:hAnsi="Arial" w:cs="Arial"/>
          <w:bCs/>
          <w:sz w:val="26"/>
          <w:szCs w:val="26"/>
        </w:rPr>
        <w:t xml:space="preserve">. Así como la jurisprudencia. </w:t>
      </w:r>
      <w:r w:rsidRPr="00C5235A">
        <w:rPr>
          <w:rFonts w:ascii="Arial" w:eastAsia="Calibri" w:hAnsi="Arial" w:cs="Arial"/>
          <w:b/>
          <w:bCs/>
          <w:sz w:val="26"/>
          <w:szCs w:val="26"/>
        </w:rPr>
        <w:t>PRINCIPIOS DE PREVALENCIA DE INTERPRETACION Y PRO PERSONA.CONFORME A ESTOS, CUANDO UNA NORMA GENERA VARIAS ALTERNATIVAS DE INTERPRETACION, DEBE OPTARSE POR AQUELLA QUE RECONOZCA CON MAYOR AMPLITUD LOS DERECHOS, O BIEN, QUE LOS RESTRINJA EN LA MENOR MEDIDA</w:t>
      </w:r>
      <w:r>
        <w:rPr>
          <w:rFonts w:ascii="Arial" w:eastAsia="Calibri" w:hAnsi="Arial" w:cs="Arial"/>
          <w:bCs/>
          <w:sz w:val="26"/>
          <w:szCs w:val="26"/>
        </w:rPr>
        <w:t xml:space="preserve">. </w:t>
      </w:r>
    </w:p>
    <w:p w14:paraId="5F9D2554" w14:textId="77777777" w:rsidR="000F31C8" w:rsidRDefault="000F31C8" w:rsidP="00461D48">
      <w:pPr>
        <w:widowControl w:val="0"/>
        <w:tabs>
          <w:tab w:val="left" w:pos="0"/>
        </w:tabs>
        <w:spacing w:before="240" w:line="360" w:lineRule="auto"/>
        <w:ind w:right="18"/>
        <w:jc w:val="both"/>
        <w:rPr>
          <w:rFonts w:ascii="Arial" w:eastAsia="Calibri" w:hAnsi="Arial" w:cs="Arial"/>
          <w:bCs/>
          <w:sz w:val="26"/>
          <w:szCs w:val="26"/>
        </w:rPr>
      </w:pPr>
    </w:p>
    <w:p w14:paraId="05003D14" w14:textId="7B02F01A" w:rsidR="007C426D" w:rsidRPr="007C426D" w:rsidRDefault="007C426D" w:rsidP="00461D48">
      <w:pPr>
        <w:widowControl w:val="0"/>
        <w:tabs>
          <w:tab w:val="left" w:pos="0"/>
        </w:tabs>
        <w:spacing w:before="240" w:after="0" w:line="360" w:lineRule="auto"/>
        <w:ind w:right="18"/>
        <w:jc w:val="both"/>
        <w:rPr>
          <w:rFonts w:ascii="Arial" w:eastAsia="Calibri" w:hAnsi="Arial" w:cs="Arial"/>
          <w:b/>
          <w:bCs/>
          <w:sz w:val="26"/>
          <w:szCs w:val="26"/>
        </w:rPr>
      </w:pPr>
      <w:r w:rsidRPr="007C426D">
        <w:rPr>
          <w:rFonts w:ascii="Arial" w:eastAsia="Calibri" w:hAnsi="Arial" w:cs="Arial"/>
          <w:b/>
          <w:bCs/>
          <w:sz w:val="26"/>
          <w:szCs w:val="26"/>
        </w:rPr>
        <w:t>TERCERO.- ESTUDIO DE LOS AGRAVIOS.</w:t>
      </w:r>
    </w:p>
    <w:p w14:paraId="33733FF2" w14:textId="42F630C7" w:rsidR="00461D48" w:rsidRDefault="007C426D"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13</w:t>
      </w:r>
      <w:r w:rsidR="00461D48">
        <w:rPr>
          <w:rFonts w:ascii="Arial" w:eastAsia="Calibri" w:hAnsi="Arial" w:cs="Arial"/>
          <w:bCs/>
          <w:sz w:val="26"/>
          <w:szCs w:val="26"/>
        </w:rPr>
        <w:t xml:space="preserve">. Esta Sala Superior advierte que el único agravio expresado por el recurrente deviene </w:t>
      </w:r>
      <w:r w:rsidR="00461D48" w:rsidRPr="00D8180B">
        <w:rPr>
          <w:rFonts w:ascii="Arial" w:eastAsia="Calibri" w:hAnsi="Arial" w:cs="Arial"/>
          <w:b/>
          <w:bCs/>
          <w:sz w:val="26"/>
          <w:szCs w:val="26"/>
        </w:rPr>
        <w:t>INFUNDADO</w:t>
      </w:r>
      <w:r w:rsidR="00461D48">
        <w:rPr>
          <w:rFonts w:ascii="Arial" w:eastAsia="Calibri" w:hAnsi="Arial" w:cs="Arial"/>
          <w:bCs/>
          <w:sz w:val="26"/>
          <w:szCs w:val="26"/>
        </w:rPr>
        <w:t xml:space="preserve">. </w:t>
      </w:r>
    </w:p>
    <w:p w14:paraId="676903C0" w14:textId="74C4AB49" w:rsidR="00461D48" w:rsidRPr="007A58EF" w:rsidRDefault="00461D48" w:rsidP="00461D48">
      <w:pPr>
        <w:widowControl w:val="0"/>
        <w:tabs>
          <w:tab w:val="left" w:pos="0"/>
        </w:tabs>
        <w:spacing w:before="240" w:line="360" w:lineRule="auto"/>
        <w:ind w:right="18"/>
        <w:jc w:val="both"/>
        <w:rPr>
          <w:rFonts w:ascii="Arial" w:hAnsi="Arial" w:cs="Arial"/>
          <w:color w:val="000000"/>
          <w:sz w:val="26"/>
          <w:szCs w:val="26"/>
        </w:rPr>
      </w:pPr>
      <w:r>
        <w:rPr>
          <w:rFonts w:ascii="Arial" w:eastAsia="Calibri" w:hAnsi="Arial" w:cs="Arial"/>
          <w:bCs/>
          <w:sz w:val="26"/>
          <w:szCs w:val="26"/>
        </w:rPr>
        <w:tab/>
        <w:t>1</w:t>
      </w:r>
      <w:r w:rsidR="007C426D">
        <w:rPr>
          <w:rFonts w:ascii="Arial" w:eastAsia="Calibri" w:hAnsi="Arial" w:cs="Arial"/>
          <w:bCs/>
          <w:sz w:val="26"/>
          <w:szCs w:val="26"/>
        </w:rPr>
        <w:t>4</w:t>
      </w:r>
      <w:r>
        <w:rPr>
          <w:rFonts w:ascii="Arial" w:eastAsia="Calibri" w:hAnsi="Arial" w:cs="Arial"/>
          <w:bCs/>
          <w:sz w:val="26"/>
          <w:szCs w:val="26"/>
        </w:rPr>
        <w:t xml:space="preserve">. En principio, es </w:t>
      </w:r>
      <w:r>
        <w:rPr>
          <w:rFonts w:ascii="Arial" w:hAnsi="Arial" w:cs="Arial"/>
          <w:color w:val="000000"/>
          <w:sz w:val="26"/>
          <w:szCs w:val="26"/>
        </w:rPr>
        <w:t>importante señalar que el artículo 166</w:t>
      </w:r>
      <w:r>
        <w:rPr>
          <w:rStyle w:val="Refdenotaalpie"/>
          <w:rFonts w:ascii="Arial" w:hAnsi="Arial" w:cs="Arial"/>
          <w:color w:val="000000"/>
          <w:sz w:val="26"/>
          <w:szCs w:val="26"/>
        </w:rPr>
        <w:footnoteReference w:id="2"/>
      </w:r>
      <w:r>
        <w:rPr>
          <w:rFonts w:ascii="Arial" w:hAnsi="Arial" w:cs="Arial"/>
          <w:color w:val="000000"/>
          <w:sz w:val="26"/>
          <w:szCs w:val="26"/>
        </w:rPr>
        <w:t xml:space="preserve"> de la Ley de Procedimiento y Justicia Administrativa para el Estado de Oaxaca, establecen que el </w:t>
      </w:r>
      <w:r w:rsidRPr="007A58EF">
        <w:rPr>
          <w:rFonts w:ascii="Arial" w:hAnsi="Arial" w:cs="Arial"/>
          <w:sz w:val="26"/>
          <w:szCs w:val="26"/>
        </w:rPr>
        <w:t>plazo para interponer la demanda ante el tribunal será de treinta días hábiles,</w:t>
      </w:r>
      <w:r>
        <w:rPr>
          <w:rFonts w:ascii="Arial" w:hAnsi="Arial" w:cs="Arial"/>
          <w:sz w:val="26"/>
          <w:szCs w:val="26"/>
        </w:rPr>
        <w:t xml:space="preserve"> </w:t>
      </w:r>
      <w:r w:rsidRPr="007A58EF">
        <w:rPr>
          <w:rFonts w:ascii="Arial" w:hAnsi="Arial" w:cs="Arial"/>
          <w:i/>
          <w:sz w:val="26"/>
          <w:szCs w:val="26"/>
        </w:rPr>
        <w:t>“contados a partir del día siguiente al en que surta efectos la notificación del acto”</w:t>
      </w:r>
      <w:r>
        <w:rPr>
          <w:rFonts w:ascii="Arial" w:hAnsi="Arial" w:cs="Arial"/>
          <w:sz w:val="26"/>
          <w:szCs w:val="26"/>
        </w:rPr>
        <w:t xml:space="preserve">, y el numeral </w:t>
      </w:r>
      <w:r>
        <w:rPr>
          <w:rFonts w:ascii="Arial" w:hAnsi="Arial" w:cs="Arial"/>
          <w:color w:val="000000"/>
          <w:sz w:val="26"/>
          <w:szCs w:val="26"/>
        </w:rPr>
        <w:t>169</w:t>
      </w:r>
      <w:r>
        <w:rPr>
          <w:rStyle w:val="Refdenotaalpie"/>
          <w:rFonts w:ascii="Arial" w:hAnsi="Arial" w:cs="Arial"/>
          <w:color w:val="000000"/>
          <w:sz w:val="26"/>
          <w:szCs w:val="26"/>
        </w:rPr>
        <w:footnoteReference w:id="3"/>
      </w:r>
      <w:r>
        <w:rPr>
          <w:rFonts w:ascii="Arial" w:hAnsi="Arial" w:cs="Arial"/>
          <w:color w:val="000000"/>
          <w:sz w:val="26"/>
          <w:szCs w:val="26"/>
        </w:rPr>
        <w:t xml:space="preserve"> de la misma ley invocada preceptúa que en el caso de que </w:t>
      </w:r>
      <w:r w:rsidRPr="007A58EF">
        <w:rPr>
          <w:rFonts w:ascii="Arial" w:hAnsi="Arial" w:cs="Arial"/>
          <w:color w:val="000000"/>
          <w:sz w:val="26"/>
          <w:szCs w:val="26"/>
        </w:rPr>
        <w:t xml:space="preserve">alguna de las partes resida fuera del lugar donde se encuentre el Tribunal, </w:t>
      </w:r>
      <w:r w:rsidRPr="007A58EF">
        <w:rPr>
          <w:rFonts w:ascii="Arial" w:hAnsi="Arial" w:cs="Arial"/>
          <w:i/>
          <w:color w:val="000000"/>
          <w:sz w:val="26"/>
          <w:szCs w:val="26"/>
        </w:rPr>
        <w:t>“se tendrán por presentadas en tiempo las promociones, si aquélla deposita el escrito u oficio relativos dentro del plazo legal, por correo certificado con acuse de recibo, en la oficina de correos que corresponda al lugar de su residencia”</w:t>
      </w:r>
      <w:r w:rsidRPr="007A58EF">
        <w:rPr>
          <w:rFonts w:ascii="Arial" w:hAnsi="Arial" w:cs="Arial"/>
          <w:color w:val="000000"/>
          <w:sz w:val="26"/>
          <w:szCs w:val="26"/>
        </w:rPr>
        <w:t>.</w:t>
      </w:r>
    </w:p>
    <w:p w14:paraId="24B71F3B" w14:textId="6D19EB37" w:rsidR="00461D48" w:rsidRDefault="007C426D" w:rsidP="00461D48">
      <w:pPr>
        <w:spacing w:line="360" w:lineRule="auto"/>
        <w:ind w:right="49" w:firstLine="709"/>
        <w:jc w:val="both"/>
        <w:rPr>
          <w:rFonts w:ascii="Arial" w:hAnsi="Arial" w:cs="Arial"/>
          <w:color w:val="000000"/>
          <w:sz w:val="26"/>
          <w:szCs w:val="26"/>
        </w:rPr>
      </w:pPr>
      <w:r>
        <w:rPr>
          <w:rFonts w:ascii="Arial" w:hAnsi="Arial" w:cs="Arial"/>
          <w:sz w:val="26"/>
          <w:szCs w:val="26"/>
        </w:rPr>
        <w:t>15</w:t>
      </w:r>
      <w:r w:rsidR="00461D48">
        <w:rPr>
          <w:rFonts w:ascii="Arial" w:hAnsi="Arial" w:cs="Arial"/>
          <w:sz w:val="26"/>
          <w:szCs w:val="26"/>
        </w:rPr>
        <w:t xml:space="preserve">. Bajo esa consideración, se observa </w:t>
      </w:r>
      <w:r w:rsidR="00461D48">
        <w:rPr>
          <w:rFonts w:ascii="Arial" w:eastAsia="Calibri" w:hAnsi="Arial" w:cs="Arial"/>
          <w:bCs/>
          <w:sz w:val="26"/>
          <w:szCs w:val="26"/>
        </w:rPr>
        <w:t xml:space="preserve">que </w:t>
      </w:r>
      <w:r w:rsidR="00461D48" w:rsidRPr="009256F6">
        <w:rPr>
          <w:rFonts w:ascii="Arial" w:hAnsi="Arial" w:cs="Arial"/>
          <w:bCs/>
          <w:iCs/>
          <w:sz w:val="26"/>
          <w:szCs w:val="26"/>
        </w:rPr>
        <w:t xml:space="preserve">las constancias procesales que integran el </w:t>
      </w:r>
      <w:r w:rsidR="00461D48" w:rsidRPr="009256F6">
        <w:rPr>
          <w:rFonts w:ascii="Arial" w:hAnsi="Arial" w:cs="Arial"/>
          <w:color w:val="000000"/>
          <w:sz w:val="26"/>
          <w:szCs w:val="26"/>
        </w:rPr>
        <w:t xml:space="preserve">expediente de </w:t>
      </w:r>
      <w:r w:rsidR="00461D48">
        <w:rPr>
          <w:rFonts w:ascii="Arial" w:hAnsi="Arial" w:cs="Arial"/>
          <w:color w:val="000000"/>
          <w:sz w:val="26"/>
          <w:szCs w:val="26"/>
        </w:rPr>
        <w:t>Primera I</w:t>
      </w:r>
      <w:r w:rsidR="00461D48" w:rsidRPr="009256F6">
        <w:rPr>
          <w:rFonts w:ascii="Arial" w:hAnsi="Arial" w:cs="Arial"/>
          <w:color w:val="000000"/>
          <w:sz w:val="26"/>
          <w:szCs w:val="26"/>
        </w:rPr>
        <w:t>nstancia, remitido a esta Sala Superior para la tramitación del presente recurso de revisión, al cual se le confiere valor probatorio pleno en términos del artículo 203 fracción I</w:t>
      </w:r>
      <w:r w:rsidR="00461D48" w:rsidRPr="009256F6">
        <w:rPr>
          <w:rFonts w:ascii="Arial" w:hAnsi="Arial" w:cs="Arial"/>
          <w:color w:val="000000"/>
          <w:sz w:val="26"/>
          <w:szCs w:val="26"/>
          <w:vertAlign w:val="superscript"/>
        </w:rPr>
        <w:footnoteReference w:id="4"/>
      </w:r>
      <w:r w:rsidR="00461D48" w:rsidRPr="009256F6">
        <w:rPr>
          <w:rFonts w:ascii="Arial" w:hAnsi="Arial" w:cs="Arial"/>
          <w:color w:val="000000"/>
          <w:sz w:val="26"/>
          <w:szCs w:val="26"/>
        </w:rPr>
        <w:t xml:space="preserve"> de la Ley de Procedimiento y Justicia Administrativa para el Estado de Oaxaca, al tratarse de actuaciones judiciales,</w:t>
      </w:r>
      <w:r w:rsidR="00461D48">
        <w:rPr>
          <w:rFonts w:ascii="Arial" w:hAnsi="Arial" w:cs="Arial"/>
          <w:color w:val="000000"/>
          <w:sz w:val="26"/>
          <w:szCs w:val="26"/>
        </w:rPr>
        <w:t xml:space="preserve"> se advierte que a través del correo certificado, el trece de julio de dos mil veintidós, se recibió en Oficialía de partes de este Tribunal</w:t>
      </w:r>
      <w:r w:rsidR="00461D48">
        <w:rPr>
          <w:rStyle w:val="Refdenotaalpie"/>
          <w:rFonts w:ascii="Arial" w:hAnsi="Arial" w:cs="Arial"/>
          <w:color w:val="000000"/>
          <w:sz w:val="26"/>
          <w:szCs w:val="26"/>
        </w:rPr>
        <w:footnoteReference w:id="5"/>
      </w:r>
      <w:r w:rsidR="00461D48">
        <w:rPr>
          <w:rFonts w:ascii="Arial" w:hAnsi="Arial" w:cs="Arial"/>
          <w:color w:val="000000"/>
          <w:sz w:val="26"/>
          <w:szCs w:val="26"/>
        </w:rPr>
        <w:t>, la demanda promovida por</w:t>
      </w:r>
      <w:r w:rsidR="007455B8">
        <w:rPr>
          <w:rFonts w:ascii="Arial" w:hAnsi="Arial" w:cs="Arial"/>
          <w:b/>
          <w:color w:val="000000"/>
          <w:sz w:val="26"/>
          <w:szCs w:val="26"/>
        </w:rPr>
        <w:t xml:space="preserve"> </w:t>
      </w:r>
      <w:r w:rsidR="007455B8">
        <w:rPr>
          <w:rFonts w:ascii="Arial" w:eastAsia="Times New Roman" w:hAnsi="Arial" w:cs="Arial"/>
          <w:sz w:val="26"/>
          <w:szCs w:val="26"/>
          <w:lang w:val="es-ES_tradnl" w:eastAsia="es-ES"/>
        </w:rPr>
        <w:t>**********</w:t>
      </w:r>
      <w:r w:rsidR="00461D48" w:rsidRPr="006A09E5">
        <w:rPr>
          <w:rFonts w:ascii="Arial" w:hAnsi="Arial" w:cs="Arial"/>
          <w:b/>
          <w:color w:val="000000"/>
          <w:sz w:val="26"/>
          <w:szCs w:val="26"/>
        </w:rPr>
        <w:t>,</w:t>
      </w:r>
      <w:r w:rsidR="00461D48">
        <w:rPr>
          <w:rFonts w:ascii="Arial" w:hAnsi="Arial" w:cs="Arial"/>
          <w:color w:val="000000"/>
          <w:sz w:val="26"/>
          <w:szCs w:val="26"/>
        </w:rPr>
        <w:t xml:space="preserve"> en contra de la multa de tránsito que fue levantada el sábado siete de mayo de dos mil </w:t>
      </w:r>
      <w:r w:rsidR="00461D48">
        <w:rPr>
          <w:rFonts w:ascii="Arial" w:hAnsi="Arial" w:cs="Arial"/>
          <w:color w:val="000000"/>
          <w:sz w:val="26"/>
          <w:szCs w:val="26"/>
        </w:rPr>
        <w:lastRenderedPageBreak/>
        <w:t xml:space="preserve">veintidós, y señaló como autoridad demandada a la Jefatura de Tránsito de Tuxtepec, Oaxaca. </w:t>
      </w:r>
    </w:p>
    <w:p w14:paraId="42C1B89D" w14:textId="6612D9C2" w:rsidR="00461D48" w:rsidRDefault="007C426D" w:rsidP="00461D48">
      <w:pPr>
        <w:spacing w:line="360" w:lineRule="auto"/>
        <w:ind w:right="49" w:firstLine="709"/>
        <w:jc w:val="both"/>
        <w:rPr>
          <w:rFonts w:ascii="Arial" w:hAnsi="Arial" w:cs="Arial"/>
          <w:color w:val="000000"/>
          <w:sz w:val="26"/>
          <w:szCs w:val="26"/>
        </w:rPr>
      </w:pPr>
      <w:r>
        <w:rPr>
          <w:rFonts w:ascii="Arial" w:hAnsi="Arial" w:cs="Arial"/>
          <w:color w:val="000000"/>
          <w:sz w:val="26"/>
          <w:szCs w:val="26"/>
        </w:rPr>
        <w:t>16</w:t>
      </w:r>
      <w:r w:rsidR="00461D48">
        <w:rPr>
          <w:rFonts w:ascii="Arial" w:hAnsi="Arial" w:cs="Arial"/>
          <w:color w:val="000000"/>
          <w:sz w:val="26"/>
          <w:szCs w:val="26"/>
        </w:rPr>
        <w:t xml:space="preserve">. Cabe mencionar que el inconforme </w:t>
      </w:r>
      <w:r w:rsidR="00461D48">
        <w:rPr>
          <w:rFonts w:ascii="Arial" w:eastAsia="Calibri" w:hAnsi="Arial" w:cs="Arial"/>
          <w:bCs/>
          <w:sz w:val="26"/>
          <w:szCs w:val="26"/>
        </w:rPr>
        <w:t xml:space="preserve">indicó que su domicilio se ubica en la calle Morelos, número 17 interior (sic), de la colonia Centro en la ciudad de Loma Bonita, Oaxaca, código postal 68400. </w:t>
      </w:r>
    </w:p>
    <w:p w14:paraId="1CD42D0A" w14:textId="2AFAD3F7" w:rsidR="00461D48" w:rsidRDefault="007C426D" w:rsidP="00461D48">
      <w:pPr>
        <w:spacing w:line="360" w:lineRule="auto"/>
        <w:ind w:right="49" w:firstLine="709"/>
        <w:jc w:val="both"/>
        <w:rPr>
          <w:rFonts w:ascii="Arial" w:eastAsia="Calibri" w:hAnsi="Arial" w:cs="Arial"/>
          <w:bCs/>
          <w:sz w:val="26"/>
          <w:szCs w:val="26"/>
        </w:rPr>
      </w:pPr>
      <w:r>
        <w:rPr>
          <w:rFonts w:ascii="Arial" w:hAnsi="Arial" w:cs="Arial"/>
          <w:color w:val="000000"/>
          <w:sz w:val="26"/>
          <w:szCs w:val="26"/>
        </w:rPr>
        <w:t>17</w:t>
      </w:r>
      <w:r w:rsidR="00461D48">
        <w:rPr>
          <w:rFonts w:ascii="Arial" w:hAnsi="Arial" w:cs="Arial"/>
          <w:color w:val="000000"/>
          <w:sz w:val="26"/>
          <w:szCs w:val="26"/>
        </w:rPr>
        <w:t xml:space="preserve">. En el acuerdo de ocho de septiembre de dos mil veintidós, la Segunda Sala Unitaria de Primera Instancia, tuvo por recibida la demanda y anexos enviados por el ahora recurrente, pero después de haber analizado estas constancias, </w:t>
      </w:r>
      <w:r w:rsidR="00461D48">
        <w:rPr>
          <w:rFonts w:ascii="Arial" w:eastAsia="Calibri" w:hAnsi="Arial" w:cs="Arial"/>
          <w:bCs/>
          <w:sz w:val="26"/>
          <w:szCs w:val="26"/>
        </w:rPr>
        <w:t>determinó desechar la demanda de nulidad por ser extemporánea.</w:t>
      </w:r>
    </w:p>
    <w:p w14:paraId="3EC5D993" w14:textId="3C8B294C" w:rsidR="000F31C8" w:rsidRDefault="007C426D" w:rsidP="00461D48">
      <w:pPr>
        <w:spacing w:line="360" w:lineRule="auto"/>
        <w:ind w:right="49" w:firstLine="709"/>
        <w:jc w:val="both"/>
        <w:rPr>
          <w:rFonts w:ascii="Arial" w:eastAsia="Calibri" w:hAnsi="Arial" w:cs="Arial"/>
          <w:bCs/>
          <w:sz w:val="26"/>
          <w:szCs w:val="26"/>
        </w:rPr>
      </w:pPr>
      <w:r>
        <w:rPr>
          <w:rFonts w:ascii="Arial" w:eastAsia="Calibri" w:hAnsi="Arial" w:cs="Arial"/>
          <w:bCs/>
          <w:sz w:val="26"/>
          <w:szCs w:val="26"/>
        </w:rPr>
        <w:t>18</w:t>
      </w:r>
      <w:r w:rsidR="00461D48">
        <w:rPr>
          <w:rFonts w:ascii="Arial" w:eastAsia="Calibri" w:hAnsi="Arial" w:cs="Arial"/>
          <w:bCs/>
          <w:sz w:val="26"/>
          <w:szCs w:val="26"/>
        </w:rPr>
        <w:t xml:space="preserve">. Al respecto, se tiene que </w:t>
      </w:r>
      <w:r w:rsidR="00461D48" w:rsidRPr="00E01098">
        <w:rPr>
          <w:rFonts w:ascii="Arial" w:eastAsia="Calibri" w:hAnsi="Arial" w:cs="Arial"/>
          <w:bCs/>
          <w:sz w:val="26"/>
          <w:szCs w:val="26"/>
        </w:rPr>
        <w:t xml:space="preserve">al momento de computar el plazo, la Segunda Sala tuvo en cuenta que el promovente bajo protesta de decir verdad manifestó que tuvo conocimiento del acto impugnado el siete de mayo de dos mil veintidós; es decir, el sábado que corresponde a un día inhábil, por lo que la Sala Unitaria, </w:t>
      </w:r>
      <w:r w:rsidR="00461D48">
        <w:rPr>
          <w:rFonts w:ascii="Arial" w:eastAsia="Calibri" w:hAnsi="Arial" w:cs="Arial"/>
          <w:bCs/>
          <w:sz w:val="26"/>
          <w:szCs w:val="26"/>
        </w:rPr>
        <w:t>procedió a computar el plazo a partir</w:t>
      </w:r>
      <w:r w:rsidR="00461D48" w:rsidRPr="00E01098">
        <w:rPr>
          <w:rFonts w:ascii="Arial" w:eastAsia="Calibri" w:hAnsi="Arial" w:cs="Arial"/>
          <w:bCs/>
          <w:sz w:val="26"/>
          <w:szCs w:val="26"/>
        </w:rPr>
        <w:t xml:space="preserve"> </w:t>
      </w:r>
      <w:r w:rsidR="00461D48">
        <w:rPr>
          <w:rFonts w:ascii="Arial" w:eastAsia="Calibri" w:hAnsi="Arial" w:cs="Arial"/>
          <w:bCs/>
          <w:sz w:val="26"/>
          <w:szCs w:val="26"/>
        </w:rPr>
        <w:t>d</w:t>
      </w:r>
      <w:r w:rsidR="00461D48" w:rsidRPr="00E01098">
        <w:rPr>
          <w:rFonts w:ascii="Arial" w:eastAsia="Calibri" w:hAnsi="Arial" w:cs="Arial"/>
          <w:bCs/>
          <w:sz w:val="26"/>
          <w:szCs w:val="26"/>
        </w:rPr>
        <w:t>el día hábil siguiente, que fue el día nueve de mayo del dos mil veintidós, ya que el diez de mayo de ese mismo año fue declarado inhábil por el Pleno de este Tribunal mediante el acuerdo general AG/TJAO/12/2021</w:t>
      </w:r>
      <w:r w:rsidR="000F31C8">
        <w:rPr>
          <w:rFonts w:ascii="Arial" w:eastAsia="Calibri" w:hAnsi="Arial" w:cs="Arial"/>
          <w:bCs/>
          <w:sz w:val="26"/>
          <w:szCs w:val="26"/>
        </w:rPr>
        <w:t>.</w:t>
      </w:r>
    </w:p>
    <w:p w14:paraId="12D08F7C" w14:textId="6A515E23" w:rsidR="00461D48" w:rsidRDefault="007C426D" w:rsidP="00461D48">
      <w:pPr>
        <w:spacing w:line="360" w:lineRule="auto"/>
        <w:ind w:right="49" w:firstLine="709"/>
        <w:jc w:val="both"/>
        <w:rPr>
          <w:rFonts w:ascii="Arial" w:eastAsia="Calibri" w:hAnsi="Arial" w:cs="Arial"/>
          <w:bCs/>
          <w:sz w:val="26"/>
          <w:szCs w:val="26"/>
        </w:rPr>
      </w:pPr>
      <w:r>
        <w:rPr>
          <w:rFonts w:ascii="Arial" w:eastAsia="Calibri" w:hAnsi="Arial" w:cs="Arial"/>
          <w:bCs/>
          <w:sz w:val="26"/>
          <w:szCs w:val="26"/>
        </w:rPr>
        <w:t>19</w:t>
      </w:r>
      <w:r w:rsidR="000F31C8">
        <w:rPr>
          <w:rFonts w:ascii="Arial" w:eastAsia="Calibri" w:hAnsi="Arial" w:cs="Arial"/>
          <w:bCs/>
          <w:sz w:val="26"/>
          <w:szCs w:val="26"/>
        </w:rPr>
        <w:t>.</w:t>
      </w:r>
      <w:r w:rsidR="00461D48" w:rsidRPr="00E01098">
        <w:rPr>
          <w:rFonts w:ascii="Arial" w:eastAsia="Calibri" w:hAnsi="Arial" w:cs="Arial"/>
          <w:bCs/>
          <w:sz w:val="26"/>
          <w:szCs w:val="26"/>
        </w:rPr>
        <w:t xml:space="preserve"> </w:t>
      </w:r>
      <w:r w:rsidR="000F31C8">
        <w:rPr>
          <w:rFonts w:ascii="Arial" w:eastAsia="Calibri" w:hAnsi="Arial" w:cs="Arial"/>
          <w:bCs/>
          <w:sz w:val="26"/>
          <w:szCs w:val="26"/>
        </w:rPr>
        <w:t>P</w:t>
      </w:r>
      <w:r w:rsidR="00461D48" w:rsidRPr="00E01098">
        <w:rPr>
          <w:rFonts w:ascii="Arial" w:eastAsia="Calibri" w:hAnsi="Arial" w:cs="Arial"/>
          <w:bCs/>
          <w:sz w:val="26"/>
          <w:szCs w:val="26"/>
        </w:rPr>
        <w:t>or lo que la notificación</w:t>
      </w:r>
      <w:r w:rsidR="00461D48">
        <w:rPr>
          <w:rFonts w:ascii="Arial" w:eastAsia="Calibri" w:hAnsi="Arial" w:cs="Arial"/>
          <w:bCs/>
          <w:sz w:val="26"/>
          <w:szCs w:val="26"/>
        </w:rPr>
        <w:t xml:space="preserve"> del acto impugnado</w:t>
      </w:r>
      <w:r w:rsidR="00461D48" w:rsidRPr="00E01098">
        <w:rPr>
          <w:rFonts w:ascii="Arial" w:eastAsia="Calibri" w:hAnsi="Arial" w:cs="Arial"/>
          <w:bCs/>
          <w:sz w:val="26"/>
          <w:szCs w:val="26"/>
        </w:rPr>
        <w:t xml:space="preserve"> surtió efectos legales para el particular el once de mayo de dos mil veintidós;</w:t>
      </w:r>
      <w:r w:rsidR="00461D48">
        <w:rPr>
          <w:rFonts w:ascii="Arial" w:eastAsia="Calibri" w:hAnsi="Arial" w:cs="Arial"/>
          <w:bCs/>
          <w:sz w:val="26"/>
          <w:szCs w:val="26"/>
        </w:rPr>
        <w:t xml:space="preserve"> en consecuencia</w:t>
      </w:r>
      <w:r w:rsidR="00461D48" w:rsidRPr="00E01098">
        <w:rPr>
          <w:rFonts w:ascii="Arial" w:eastAsia="Calibri" w:hAnsi="Arial" w:cs="Arial"/>
          <w:bCs/>
          <w:sz w:val="26"/>
          <w:szCs w:val="26"/>
        </w:rPr>
        <w:t>, el plazo de treinta días hábiles para presentar la demanda de nulidad, previsto por el artículo 166  párrafo primero de la Ley de Procedimiento y Justicia Administrativa para el Estado, transcurrió del doce de mayo al veintidós de junio de dos mil veintidós, descontándose los días catorce, quince, veintiuno, veintidós, veintiocho y veintinueve de mayo, y cuatro, cinco, once, doce, dieciocho y diecinueve de junio del año que transcurre, por</w:t>
      </w:r>
      <w:r w:rsidR="00461D48">
        <w:rPr>
          <w:rFonts w:ascii="Arial" w:eastAsia="Calibri" w:hAnsi="Arial" w:cs="Arial"/>
          <w:bCs/>
          <w:sz w:val="26"/>
          <w:szCs w:val="26"/>
        </w:rPr>
        <w:t xml:space="preserve"> haber sido sábados y domingos. </w:t>
      </w:r>
    </w:p>
    <w:tbl>
      <w:tblPr>
        <w:tblW w:w="498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1131"/>
        <w:gridCol w:w="1417"/>
        <w:gridCol w:w="1134"/>
        <w:gridCol w:w="1132"/>
        <w:gridCol w:w="992"/>
        <w:gridCol w:w="1277"/>
        <w:gridCol w:w="1709"/>
      </w:tblGrid>
      <w:tr w:rsidR="00F54F2E" w:rsidRPr="005D6AEA" w14:paraId="2BBBBD62" w14:textId="77777777" w:rsidTr="00510375">
        <w:trPr>
          <w:cantSplit/>
          <w:trHeight w:val="289"/>
          <w:tblHeader/>
          <w:jc w:val="center"/>
        </w:trPr>
        <w:tc>
          <w:tcPr>
            <w:tcW w:w="643" w:type="pct"/>
            <w:tcBorders>
              <w:top w:val="single" w:sz="4" w:space="0" w:color="7C91B9"/>
              <w:left w:val="single" w:sz="4" w:space="0" w:color="7C91B9"/>
              <w:bottom w:val="single" w:sz="8" w:space="0" w:color="E6E6E6"/>
              <w:right w:val="nil"/>
            </w:tcBorders>
            <w:shd w:val="clear" w:color="auto" w:fill="F0F3F7"/>
            <w:vAlign w:val="bottom"/>
          </w:tcPr>
          <w:p w14:paraId="166EF9A1" w14:textId="77777777" w:rsidR="00F54F2E" w:rsidRPr="009F73B7" w:rsidRDefault="00F54F2E" w:rsidP="00DD3FC1">
            <w:pPr>
              <w:spacing w:after="0" w:line="360" w:lineRule="auto"/>
              <w:rPr>
                <w:rFonts w:ascii="Arial" w:hAnsi="Arial" w:cs="Arial"/>
                <w:color w:val="345393"/>
                <w:sz w:val="16"/>
                <w:szCs w:val="16"/>
              </w:rPr>
            </w:pPr>
          </w:p>
        </w:tc>
        <w:tc>
          <w:tcPr>
            <w:tcW w:w="3385" w:type="pct"/>
            <w:gridSpan w:val="5"/>
            <w:tcBorders>
              <w:top w:val="single" w:sz="4" w:space="0" w:color="7C91B9"/>
              <w:left w:val="nil"/>
              <w:bottom w:val="single" w:sz="8" w:space="0" w:color="E6E6E6"/>
              <w:right w:val="nil"/>
            </w:tcBorders>
            <w:shd w:val="clear" w:color="auto" w:fill="F0F3F7"/>
            <w:vAlign w:val="bottom"/>
          </w:tcPr>
          <w:p w14:paraId="3A6B5C72" w14:textId="635F62D8" w:rsidR="00F54F2E" w:rsidRPr="009F73B7" w:rsidRDefault="00F54F2E" w:rsidP="00DD3FC1">
            <w:pPr>
              <w:spacing w:after="0" w:line="360" w:lineRule="auto"/>
              <w:jc w:val="center"/>
              <w:rPr>
                <w:rFonts w:ascii="Arial" w:hAnsi="Arial" w:cs="Arial"/>
                <w:b/>
                <w:color w:val="25478B"/>
                <w:sz w:val="16"/>
                <w:szCs w:val="16"/>
              </w:rPr>
            </w:pPr>
            <w:r>
              <w:rPr>
                <w:rFonts w:ascii="Arial" w:hAnsi="Arial" w:cs="Arial"/>
                <w:b/>
                <w:color w:val="25478B"/>
                <w:sz w:val="16"/>
                <w:szCs w:val="16"/>
              </w:rPr>
              <w:t>Mayo 2022</w:t>
            </w:r>
          </w:p>
        </w:tc>
        <w:tc>
          <w:tcPr>
            <w:tcW w:w="972" w:type="pct"/>
            <w:tcBorders>
              <w:top w:val="single" w:sz="4" w:space="0" w:color="7C91B9"/>
              <w:left w:val="nil"/>
              <w:bottom w:val="single" w:sz="8" w:space="0" w:color="E6E6E6"/>
              <w:right w:val="single" w:sz="4" w:space="0" w:color="7C91B9"/>
            </w:tcBorders>
            <w:shd w:val="clear" w:color="auto" w:fill="F0F3F7"/>
            <w:vAlign w:val="bottom"/>
          </w:tcPr>
          <w:p w14:paraId="43C65BC7" w14:textId="77777777" w:rsidR="00F54F2E" w:rsidRPr="009F73B7" w:rsidRDefault="00F54F2E" w:rsidP="00DD3FC1">
            <w:pPr>
              <w:spacing w:after="0" w:line="360" w:lineRule="auto"/>
              <w:jc w:val="right"/>
              <w:rPr>
                <w:rFonts w:ascii="Arial" w:hAnsi="Arial" w:cs="Arial"/>
                <w:color w:val="345393"/>
                <w:sz w:val="16"/>
                <w:szCs w:val="16"/>
              </w:rPr>
            </w:pPr>
          </w:p>
        </w:tc>
      </w:tr>
      <w:tr w:rsidR="00510375" w:rsidRPr="005D6AEA" w14:paraId="69F6C17A" w14:textId="77777777" w:rsidTr="00510375">
        <w:trPr>
          <w:cantSplit/>
          <w:trHeight w:val="157"/>
          <w:tblHeader/>
          <w:jc w:val="center"/>
        </w:trPr>
        <w:tc>
          <w:tcPr>
            <w:tcW w:w="643" w:type="pct"/>
            <w:tcBorders>
              <w:top w:val="single" w:sz="8" w:space="0" w:color="E6E6E6"/>
              <w:left w:val="single" w:sz="4" w:space="0" w:color="25478B"/>
              <w:bottom w:val="nil"/>
              <w:right w:val="single" w:sz="8" w:space="0" w:color="E6E6E6"/>
            </w:tcBorders>
            <w:shd w:val="clear" w:color="auto" w:fill="25478B"/>
            <w:vAlign w:val="bottom"/>
          </w:tcPr>
          <w:p w14:paraId="5C5D1524" w14:textId="77777777" w:rsidR="00F54F2E" w:rsidRPr="009F73B7" w:rsidRDefault="00F54F2E"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806" w:type="pct"/>
            <w:tcBorders>
              <w:top w:val="single" w:sz="8" w:space="0" w:color="E6E6E6"/>
              <w:left w:val="single" w:sz="8" w:space="0" w:color="E6E6E6"/>
              <w:bottom w:val="nil"/>
              <w:right w:val="single" w:sz="8" w:space="0" w:color="E6E6E6"/>
            </w:tcBorders>
            <w:shd w:val="clear" w:color="auto" w:fill="25478B"/>
            <w:vAlign w:val="bottom"/>
          </w:tcPr>
          <w:p w14:paraId="7A00FD49" w14:textId="77777777" w:rsidR="00F54F2E" w:rsidRPr="009F73B7" w:rsidRDefault="00F54F2E"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645" w:type="pct"/>
            <w:tcBorders>
              <w:top w:val="single" w:sz="8" w:space="0" w:color="E6E6E6"/>
              <w:left w:val="single" w:sz="8" w:space="0" w:color="E6E6E6"/>
              <w:bottom w:val="nil"/>
              <w:right w:val="single" w:sz="8" w:space="0" w:color="E6E6E6"/>
            </w:tcBorders>
            <w:shd w:val="clear" w:color="auto" w:fill="25478B"/>
            <w:vAlign w:val="bottom"/>
          </w:tcPr>
          <w:p w14:paraId="1301D95A" w14:textId="77777777" w:rsidR="00F54F2E" w:rsidRPr="009F73B7" w:rsidRDefault="00F54F2E"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644" w:type="pct"/>
            <w:tcBorders>
              <w:top w:val="single" w:sz="8" w:space="0" w:color="E6E6E6"/>
              <w:left w:val="single" w:sz="8" w:space="0" w:color="E6E6E6"/>
              <w:bottom w:val="nil"/>
              <w:right w:val="single" w:sz="8" w:space="0" w:color="E6E6E6"/>
            </w:tcBorders>
            <w:shd w:val="clear" w:color="auto" w:fill="25478B"/>
            <w:vAlign w:val="bottom"/>
          </w:tcPr>
          <w:p w14:paraId="48FC00AD" w14:textId="77777777" w:rsidR="00F54F2E" w:rsidRPr="009F73B7" w:rsidRDefault="00F54F2E"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564" w:type="pct"/>
            <w:tcBorders>
              <w:top w:val="single" w:sz="8" w:space="0" w:color="E6E6E6"/>
              <w:left w:val="single" w:sz="8" w:space="0" w:color="E6E6E6"/>
              <w:bottom w:val="nil"/>
              <w:right w:val="single" w:sz="8" w:space="0" w:color="E6E6E6"/>
            </w:tcBorders>
            <w:shd w:val="clear" w:color="auto" w:fill="25478B"/>
            <w:vAlign w:val="bottom"/>
          </w:tcPr>
          <w:p w14:paraId="06B2C26B" w14:textId="77777777" w:rsidR="00F54F2E" w:rsidRPr="009F73B7" w:rsidRDefault="00F54F2E"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26" w:type="pct"/>
            <w:tcBorders>
              <w:top w:val="single" w:sz="8" w:space="0" w:color="E6E6E6"/>
              <w:left w:val="single" w:sz="8" w:space="0" w:color="E6E6E6"/>
              <w:bottom w:val="nil"/>
              <w:right w:val="single" w:sz="8" w:space="0" w:color="E6E6E6"/>
            </w:tcBorders>
            <w:shd w:val="clear" w:color="auto" w:fill="25478B"/>
            <w:vAlign w:val="bottom"/>
          </w:tcPr>
          <w:p w14:paraId="12D946FC" w14:textId="77777777" w:rsidR="00F54F2E" w:rsidRPr="009F73B7" w:rsidRDefault="00F54F2E"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972" w:type="pct"/>
            <w:tcBorders>
              <w:top w:val="single" w:sz="8" w:space="0" w:color="E6E6E6"/>
              <w:left w:val="single" w:sz="8" w:space="0" w:color="E6E6E6"/>
              <w:bottom w:val="nil"/>
              <w:right w:val="single" w:sz="4" w:space="0" w:color="25478B"/>
            </w:tcBorders>
            <w:shd w:val="clear" w:color="auto" w:fill="25478B"/>
            <w:vAlign w:val="bottom"/>
          </w:tcPr>
          <w:p w14:paraId="3484E94B" w14:textId="77777777" w:rsidR="00F54F2E" w:rsidRPr="009F73B7" w:rsidRDefault="00F54F2E"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10375" w:rsidRPr="003D6B5B" w14:paraId="28B31F94" w14:textId="77777777" w:rsidTr="00510375">
        <w:trPr>
          <w:cantSplit/>
          <w:trHeight w:val="543"/>
          <w:jc w:val="center"/>
        </w:trPr>
        <w:tc>
          <w:tcPr>
            <w:tcW w:w="643" w:type="pct"/>
            <w:tcBorders>
              <w:top w:val="nil"/>
              <w:left w:val="single" w:sz="4" w:space="0" w:color="25478B"/>
              <w:bottom w:val="single" w:sz="8" w:space="0" w:color="25478B"/>
              <w:right w:val="single" w:sz="8" w:space="0" w:color="25478B"/>
            </w:tcBorders>
            <w:shd w:val="clear" w:color="auto" w:fill="808080" w:themeFill="background1" w:themeFillShade="80"/>
          </w:tcPr>
          <w:p w14:paraId="3A69605A" w14:textId="41E87D4B"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1</w:t>
            </w:r>
          </w:p>
        </w:tc>
        <w:tc>
          <w:tcPr>
            <w:tcW w:w="806" w:type="pct"/>
            <w:tcBorders>
              <w:top w:val="nil"/>
              <w:left w:val="single" w:sz="8" w:space="0" w:color="25478B"/>
              <w:bottom w:val="single" w:sz="8" w:space="0" w:color="25478B"/>
              <w:right w:val="single" w:sz="8" w:space="0" w:color="25478B"/>
            </w:tcBorders>
            <w:shd w:val="clear" w:color="auto" w:fill="auto"/>
          </w:tcPr>
          <w:p w14:paraId="77A24046" w14:textId="2A0E2032"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2</w:t>
            </w:r>
          </w:p>
        </w:tc>
        <w:tc>
          <w:tcPr>
            <w:tcW w:w="645" w:type="pct"/>
            <w:tcBorders>
              <w:top w:val="nil"/>
              <w:left w:val="single" w:sz="8" w:space="0" w:color="25478B"/>
              <w:bottom w:val="single" w:sz="8" w:space="0" w:color="25478B"/>
              <w:right w:val="single" w:sz="8" w:space="0" w:color="25478B"/>
            </w:tcBorders>
            <w:shd w:val="clear" w:color="auto" w:fill="auto"/>
          </w:tcPr>
          <w:p w14:paraId="2688A6A2" w14:textId="475245E4"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3</w:t>
            </w:r>
          </w:p>
        </w:tc>
        <w:tc>
          <w:tcPr>
            <w:tcW w:w="644" w:type="pct"/>
            <w:tcBorders>
              <w:top w:val="nil"/>
              <w:left w:val="single" w:sz="8" w:space="0" w:color="25478B"/>
              <w:bottom w:val="single" w:sz="8" w:space="0" w:color="25478B"/>
              <w:right w:val="single" w:sz="8" w:space="0" w:color="25478B"/>
            </w:tcBorders>
            <w:shd w:val="clear" w:color="auto" w:fill="auto"/>
          </w:tcPr>
          <w:p w14:paraId="636D4939" w14:textId="2E30C939"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4</w:t>
            </w:r>
          </w:p>
        </w:tc>
        <w:tc>
          <w:tcPr>
            <w:tcW w:w="564" w:type="pct"/>
            <w:tcBorders>
              <w:top w:val="nil"/>
              <w:left w:val="single" w:sz="8" w:space="0" w:color="25478B"/>
              <w:bottom w:val="single" w:sz="8" w:space="0" w:color="25478B"/>
              <w:right w:val="single" w:sz="8" w:space="0" w:color="25478B"/>
            </w:tcBorders>
            <w:shd w:val="clear" w:color="auto" w:fill="auto"/>
          </w:tcPr>
          <w:p w14:paraId="729F0EA2" w14:textId="5EAB6EF1"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5</w:t>
            </w:r>
          </w:p>
        </w:tc>
        <w:tc>
          <w:tcPr>
            <w:tcW w:w="726" w:type="pct"/>
            <w:tcBorders>
              <w:top w:val="nil"/>
              <w:left w:val="single" w:sz="8" w:space="0" w:color="25478B"/>
              <w:bottom w:val="single" w:sz="8" w:space="0" w:color="25478B"/>
              <w:right w:val="single" w:sz="8" w:space="0" w:color="25478B"/>
            </w:tcBorders>
            <w:shd w:val="clear" w:color="auto" w:fill="auto"/>
          </w:tcPr>
          <w:p w14:paraId="5B015183" w14:textId="3C32EF64"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6</w:t>
            </w:r>
          </w:p>
        </w:tc>
        <w:tc>
          <w:tcPr>
            <w:tcW w:w="972" w:type="pct"/>
            <w:tcBorders>
              <w:top w:val="nil"/>
              <w:left w:val="single" w:sz="8" w:space="0" w:color="25478B"/>
              <w:bottom w:val="single" w:sz="8" w:space="0" w:color="25478B"/>
              <w:right w:val="single" w:sz="4" w:space="0" w:color="25478B"/>
            </w:tcBorders>
            <w:shd w:val="clear" w:color="auto" w:fill="00B0F0"/>
          </w:tcPr>
          <w:p w14:paraId="4C97D3DA" w14:textId="77777777" w:rsidR="00F54F2E" w:rsidRDefault="00F54F2E" w:rsidP="00DD3FC1">
            <w:pPr>
              <w:pStyle w:val="CalendarText"/>
              <w:spacing w:line="360" w:lineRule="auto"/>
              <w:jc w:val="center"/>
              <w:rPr>
                <w:rStyle w:val="WinCalendarBLANKCELLSTYLE0"/>
                <w:b/>
                <w:bCs/>
                <w:szCs w:val="16"/>
                <w:lang w:val="es-ES"/>
              </w:rPr>
            </w:pPr>
            <w:r w:rsidRPr="00F54F2E">
              <w:rPr>
                <w:rStyle w:val="WinCalendarBLANKCELLSTYLE0"/>
                <w:b/>
                <w:bCs/>
                <w:szCs w:val="16"/>
                <w:lang w:val="es-ES"/>
              </w:rPr>
              <w:t xml:space="preserve">7 </w:t>
            </w:r>
          </w:p>
          <w:p w14:paraId="7867FFE2" w14:textId="77777777" w:rsidR="00510375" w:rsidRDefault="00F54F2E" w:rsidP="00510375">
            <w:pPr>
              <w:pStyle w:val="Sinespaciado"/>
              <w:rPr>
                <w:rStyle w:val="WinCalendarBLANKCELLSTYLE0"/>
                <w:b/>
                <w:bCs/>
                <w:szCs w:val="16"/>
                <w:lang w:val="es-ES"/>
              </w:rPr>
            </w:pPr>
            <w:r w:rsidRPr="00F54F2E">
              <w:rPr>
                <w:rStyle w:val="WinCalendarBLANKCELLSTYLE0"/>
                <w:b/>
                <w:bCs/>
                <w:szCs w:val="16"/>
                <w:lang w:val="es-ES"/>
              </w:rPr>
              <w:t xml:space="preserve">notificación del acto </w:t>
            </w:r>
          </w:p>
          <w:p w14:paraId="5CA107BF" w14:textId="48D0802E" w:rsidR="00F54F2E" w:rsidRPr="00F54F2E" w:rsidRDefault="00F54F2E" w:rsidP="00510375">
            <w:pPr>
              <w:pStyle w:val="Sinespaciado"/>
              <w:rPr>
                <w:rStyle w:val="WinCalendarBLANKCELLSTYLE0"/>
                <w:b/>
                <w:bCs/>
                <w:szCs w:val="16"/>
                <w:lang w:val="es-ES"/>
              </w:rPr>
            </w:pPr>
            <w:r w:rsidRPr="00F54F2E">
              <w:rPr>
                <w:rStyle w:val="WinCalendarBLANKCELLSTYLE0"/>
                <w:b/>
                <w:bCs/>
                <w:szCs w:val="16"/>
                <w:lang w:val="es-ES"/>
              </w:rPr>
              <w:t>impugnado</w:t>
            </w:r>
            <w:r>
              <w:rPr>
                <w:rStyle w:val="WinCalendarBLANKCELLSTYLE0"/>
                <w:b/>
                <w:bCs/>
                <w:szCs w:val="16"/>
                <w:lang w:val="es-ES"/>
              </w:rPr>
              <w:t xml:space="preserve"> (día inhábil)</w:t>
            </w:r>
          </w:p>
        </w:tc>
      </w:tr>
      <w:tr w:rsidR="00510375" w:rsidRPr="003D6B5B" w14:paraId="7AFA21CF" w14:textId="77777777" w:rsidTr="00510375">
        <w:trPr>
          <w:cantSplit/>
          <w:trHeight w:val="1092"/>
          <w:jc w:val="center"/>
        </w:trPr>
        <w:tc>
          <w:tcPr>
            <w:tcW w:w="64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7ACF2789" w14:textId="112212EF"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8</w:t>
            </w:r>
          </w:p>
        </w:tc>
        <w:tc>
          <w:tcPr>
            <w:tcW w:w="806" w:type="pct"/>
            <w:tcBorders>
              <w:top w:val="single" w:sz="8" w:space="0" w:color="25478B"/>
              <w:left w:val="single" w:sz="8" w:space="0" w:color="25478B"/>
              <w:bottom w:val="single" w:sz="8" w:space="0" w:color="25478B"/>
              <w:right w:val="single" w:sz="8" w:space="0" w:color="25478B"/>
            </w:tcBorders>
            <w:shd w:val="clear" w:color="auto" w:fill="auto"/>
          </w:tcPr>
          <w:p w14:paraId="782CAA80" w14:textId="396E653B" w:rsidR="00F54F2E" w:rsidRPr="00F54F2E" w:rsidRDefault="00F54F2E" w:rsidP="00510375">
            <w:pPr>
              <w:pStyle w:val="Sinespaciado"/>
              <w:rPr>
                <w:rStyle w:val="WinCalendarBLANKCELLSTYLE0"/>
                <w:b/>
                <w:bCs/>
                <w:szCs w:val="16"/>
                <w:lang w:val="es-ES"/>
              </w:rPr>
            </w:pPr>
            <w:r w:rsidRPr="00F54F2E">
              <w:rPr>
                <w:rStyle w:val="WinCalendarBLANKCELLSTYLE0"/>
                <w:b/>
                <w:bCs/>
                <w:szCs w:val="16"/>
                <w:lang w:val="es-ES"/>
              </w:rPr>
              <w:t>9</w:t>
            </w:r>
          </w:p>
          <w:p w14:paraId="6495FAE4" w14:textId="5BFBA890" w:rsidR="00F54F2E" w:rsidRPr="00F54F2E" w:rsidRDefault="00510375" w:rsidP="00510375">
            <w:pPr>
              <w:pStyle w:val="Sinespaciado"/>
              <w:rPr>
                <w:rStyle w:val="WinCalendarBLANKCELLSTYLE0"/>
                <w:b/>
                <w:bCs/>
                <w:szCs w:val="16"/>
                <w:lang w:val="es-ES"/>
              </w:rPr>
            </w:pPr>
            <w:r>
              <w:rPr>
                <w:rStyle w:val="WinCalendarBLANKCELLSTYLE0"/>
                <w:b/>
                <w:bCs/>
                <w:szCs w:val="16"/>
                <w:lang w:val="es-ES"/>
              </w:rPr>
              <w:t>Se tiene como el día en que se realizó la notificación por ser el primer día hábil</w:t>
            </w:r>
            <w:r w:rsidR="00F54F2E" w:rsidRPr="00F54F2E">
              <w:rPr>
                <w:rStyle w:val="WinCalendarBLANKCELLSTYLE0"/>
                <w:b/>
                <w:bCs/>
                <w:szCs w:val="16"/>
                <w:lang w:val="es-ES"/>
              </w:rPr>
              <w:t xml:space="preserve"> </w:t>
            </w:r>
            <w:r>
              <w:rPr>
                <w:rStyle w:val="WinCalendarBLANKCELLSTYLE0"/>
                <w:b/>
                <w:bCs/>
                <w:szCs w:val="16"/>
                <w:lang w:val="es-ES"/>
              </w:rPr>
              <w:t>siguiente.</w:t>
            </w:r>
          </w:p>
        </w:tc>
        <w:tc>
          <w:tcPr>
            <w:tcW w:w="645" w:type="pct"/>
            <w:tcBorders>
              <w:top w:val="single" w:sz="8" w:space="0" w:color="25478B"/>
              <w:left w:val="single" w:sz="8" w:space="0" w:color="25478B"/>
              <w:bottom w:val="single" w:sz="8" w:space="0" w:color="25478B"/>
              <w:right w:val="single" w:sz="8" w:space="0" w:color="25478B"/>
            </w:tcBorders>
            <w:shd w:val="clear" w:color="auto" w:fill="00B050"/>
          </w:tcPr>
          <w:p w14:paraId="13A48D59" w14:textId="77777777" w:rsidR="00F54F2E" w:rsidRPr="00510375" w:rsidRDefault="00F54F2E" w:rsidP="00510375">
            <w:pPr>
              <w:pStyle w:val="Sinespaciado"/>
              <w:rPr>
                <w:rStyle w:val="WinCalendarBLANKCELLSTYLE0"/>
                <w:b/>
                <w:bCs/>
                <w:szCs w:val="16"/>
                <w:lang w:val="es-ES"/>
              </w:rPr>
            </w:pPr>
            <w:r w:rsidRPr="00510375">
              <w:rPr>
                <w:rStyle w:val="WinCalendarBLANKCELLSTYLE0"/>
                <w:b/>
                <w:bCs/>
                <w:szCs w:val="16"/>
                <w:lang w:val="es-ES"/>
              </w:rPr>
              <w:t>10</w:t>
            </w:r>
          </w:p>
          <w:p w14:paraId="68C6E98C" w14:textId="6736743B" w:rsidR="00F54F2E" w:rsidRPr="00F54F2E" w:rsidRDefault="00F54F2E" w:rsidP="00510375">
            <w:pPr>
              <w:pStyle w:val="Sinespaciado"/>
              <w:rPr>
                <w:rStyle w:val="WinCalendarBLANKCELLSTYLE0"/>
                <w:b/>
                <w:bCs/>
                <w:szCs w:val="16"/>
                <w:lang w:val="es-ES"/>
              </w:rPr>
            </w:pPr>
            <w:r w:rsidRPr="00F54F2E">
              <w:rPr>
                <w:rStyle w:val="WinCalendarBLANKCELLSTYLE0"/>
                <w:b/>
                <w:bCs/>
                <w:szCs w:val="16"/>
                <w:lang w:val="es-ES"/>
              </w:rPr>
              <w:t>Inhábil conforme al calendario oficial</w:t>
            </w:r>
          </w:p>
        </w:tc>
        <w:tc>
          <w:tcPr>
            <w:tcW w:w="644"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6BC745F" w14:textId="77777777" w:rsidR="00F54F2E" w:rsidRDefault="00F54F2E" w:rsidP="00510375">
            <w:pPr>
              <w:pStyle w:val="Sinespaciado"/>
              <w:rPr>
                <w:rStyle w:val="WinCalendarBLANKCELLSTYLE0"/>
                <w:b/>
                <w:bCs/>
                <w:szCs w:val="16"/>
              </w:rPr>
            </w:pPr>
            <w:r>
              <w:rPr>
                <w:rStyle w:val="WinCalendarBLANKCELLSTYLE0"/>
                <w:b/>
                <w:bCs/>
                <w:szCs w:val="16"/>
              </w:rPr>
              <w:t>11</w:t>
            </w:r>
          </w:p>
          <w:p w14:paraId="31FA8F34" w14:textId="43DFA1D2" w:rsidR="00510375" w:rsidRPr="00510375" w:rsidRDefault="00510375" w:rsidP="00510375">
            <w:pPr>
              <w:pStyle w:val="Sinespaciado"/>
              <w:rPr>
                <w:rStyle w:val="WinCalendarBLANKCELLSTYLE0"/>
                <w:b/>
                <w:bCs/>
                <w:szCs w:val="16"/>
                <w:lang w:val="es-ES"/>
              </w:rPr>
            </w:pPr>
            <w:r w:rsidRPr="00510375">
              <w:rPr>
                <w:rStyle w:val="WinCalendarBLANKCELLSTYLE0"/>
                <w:b/>
                <w:bCs/>
                <w:szCs w:val="16"/>
                <w:lang w:val="es-ES"/>
              </w:rPr>
              <w:t>Surte sus efectos la notificaci</w:t>
            </w:r>
            <w:r>
              <w:rPr>
                <w:rStyle w:val="WinCalendarBLANKCELLSTYLE0"/>
                <w:b/>
                <w:bCs/>
                <w:szCs w:val="16"/>
                <w:lang w:val="es-ES"/>
              </w:rPr>
              <w:t>ón.</w:t>
            </w:r>
          </w:p>
        </w:tc>
        <w:tc>
          <w:tcPr>
            <w:tcW w:w="56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754FD27F" w14:textId="77777777" w:rsidR="00F54F2E" w:rsidRPr="00510375" w:rsidRDefault="00F54F2E" w:rsidP="00510375">
            <w:pPr>
              <w:pStyle w:val="Sinespaciado"/>
              <w:rPr>
                <w:rStyle w:val="WinCalendarBLANKCELLSTYLE0"/>
                <w:b/>
                <w:bCs/>
                <w:szCs w:val="16"/>
                <w:lang w:val="es-ES"/>
              </w:rPr>
            </w:pPr>
            <w:r w:rsidRPr="00510375">
              <w:rPr>
                <w:rStyle w:val="WinCalendarBLANKCELLSTYLE0"/>
                <w:b/>
                <w:bCs/>
                <w:szCs w:val="16"/>
                <w:lang w:val="es-ES"/>
              </w:rPr>
              <w:t>12</w:t>
            </w:r>
          </w:p>
          <w:p w14:paraId="74549494" w14:textId="74A7A309" w:rsidR="00510375" w:rsidRPr="00510375" w:rsidRDefault="00510375" w:rsidP="00510375">
            <w:pPr>
              <w:pStyle w:val="Sinespaciado"/>
              <w:rPr>
                <w:rStyle w:val="WinCalendarBLANKCELLSTYLE0"/>
                <w:b/>
                <w:bCs/>
                <w:szCs w:val="16"/>
                <w:lang w:val="es-ES"/>
              </w:rPr>
            </w:pPr>
            <w:r w:rsidRPr="00510375">
              <w:rPr>
                <w:rStyle w:val="WinCalendarBLANKCELLSTYLE0"/>
                <w:b/>
                <w:bCs/>
                <w:szCs w:val="16"/>
                <w:lang w:val="es-ES"/>
              </w:rPr>
              <w:t>Empieza el cómputo del plazo.</w:t>
            </w:r>
          </w:p>
        </w:tc>
        <w:tc>
          <w:tcPr>
            <w:tcW w:w="72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6BD4F809" w14:textId="07BA214F"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13</w:t>
            </w:r>
          </w:p>
        </w:tc>
        <w:tc>
          <w:tcPr>
            <w:tcW w:w="97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43C5E4A" w14:textId="346A5EF5"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14</w:t>
            </w:r>
          </w:p>
        </w:tc>
      </w:tr>
      <w:tr w:rsidR="00510375" w:rsidRPr="003D6B5B" w14:paraId="24FAD15D" w14:textId="77777777" w:rsidTr="00510375">
        <w:trPr>
          <w:cantSplit/>
          <w:trHeight w:val="556"/>
          <w:jc w:val="center"/>
        </w:trPr>
        <w:tc>
          <w:tcPr>
            <w:tcW w:w="64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8EFF5BD" w14:textId="269E037B" w:rsidR="00F54F2E" w:rsidRPr="009F73B7" w:rsidRDefault="00F54F2E" w:rsidP="00F54F2E">
            <w:pPr>
              <w:pStyle w:val="CalendarText"/>
              <w:spacing w:line="360" w:lineRule="auto"/>
              <w:jc w:val="center"/>
              <w:rPr>
                <w:rStyle w:val="WinCalendarBLANKCELLSTYLE0"/>
                <w:b/>
                <w:bCs/>
                <w:szCs w:val="16"/>
              </w:rPr>
            </w:pPr>
            <w:r>
              <w:rPr>
                <w:rStyle w:val="WinCalendarBLANKCELLSTYLE0"/>
                <w:b/>
                <w:bCs/>
                <w:szCs w:val="16"/>
              </w:rPr>
              <w:t>15</w:t>
            </w:r>
          </w:p>
        </w:tc>
        <w:tc>
          <w:tcPr>
            <w:tcW w:w="80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58B33118" w14:textId="4FD1BC3C"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16</w:t>
            </w:r>
          </w:p>
        </w:tc>
        <w:tc>
          <w:tcPr>
            <w:tcW w:w="645"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6D6F52F6" w14:textId="75940B9C" w:rsidR="00F54F2E" w:rsidRPr="007D6488" w:rsidRDefault="00F54F2E" w:rsidP="00F54F2E">
            <w:pPr>
              <w:pStyle w:val="CalendarText"/>
              <w:spacing w:line="360" w:lineRule="auto"/>
              <w:jc w:val="center"/>
              <w:rPr>
                <w:rStyle w:val="WinCalendarBLANKCELLSTYLE0"/>
                <w:b/>
                <w:bCs/>
                <w:szCs w:val="16"/>
              </w:rPr>
            </w:pPr>
            <w:r>
              <w:rPr>
                <w:rStyle w:val="WinCalendarBLANKCELLSTYLE0"/>
                <w:b/>
                <w:bCs/>
                <w:szCs w:val="16"/>
              </w:rPr>
              <w:t>17</w:t>
            </w:r>
          </w:p>
        </w:tc>
        <w:tc>
          <w:tcPr>
            <w:tcW w:w="64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62CEA120" w14:textId="3034A3CC"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18</w:t>
            </w:r>
          </w:p>
        </w:tc>
        <w:tc>
          <w:tcPr>
            <w:tcW w:w="56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2C0828E9" w14:textId="3A202884"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19</w:t>
            </w:r>
          </w:p>
        </w:tc>
        <w:tc>
          <w:tcPr>
            <w:tcW w:w="72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501635C8" w14:textId="06A7A2F0"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20</w:t>
            </w:r>
          </w:p>
        </w:tc>
        <w:tc>
          <w:tcPr>
            <w:tcW w:w="97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7F1A09E7" w14:textId="11B52380" w:rsidR="00F54F2E" w:rsidRPr="009F73B7" w:rsidRDefault="00F54F2E" w:rsidP="00F54F2E">
            <w:pPr>
              <w:pStyle w:val="CalendarText"/>
              <w:spacing w:line="360" w:lineRule="auto"/>
              <w:jc w:val="center"/>
              <w:rPr>
                <w:rStyle w:val="WinCalendarBLANKCELLSTYLE0"/>
                <w:b/>
                <w:bCs/>
                <w:szCs w:val="16"/>
              </w:rPr>
            </w:pPr>
            <w:r>
              <w:rPr>
                <w:rStyle w:val="WinCalendarBLANKCELLSTYLE0"/>
                <w:b/>
                <w:bCs/>
                <w:szCs w:val="16"/>
              </w:rPr>
              <w:t>21</w:t>
            </w:r>
          </w:p>
        </w:tc>
      </w:tr>
      <w:tr w:rsidR="00510375" w:rsidRPr="003D6B5B" w14:paraId="20149AF2" w14:textId="77777777" w:rsidTr="00510375">
        <w:trPr>
          <w:cantSplit/>
          <w:trHeight w:val="587"/>
          <w:jc w:val="center"/>
        </w:trPr>
        <w:tc>
          <w:tcPr>
            <w:tcW w:w="64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53EACBC" w14:textId="6F004EB7"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22</w:t>
            </w:r>
          </w:p>
        </w:tc>
        <w:tc>
          <w:tcPr>
            <w:tcW w:w="80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10757ADF" w14:textId="0A921242"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23</w:t>
            </w:r>
          </w:p>
        </w:tc>
        <w:tc>
          <w:tcPr>
            <w:tcW w:w="645"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05F776EF" w14:textId="5E38B680"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24</w:t>
            </w:r>
          </w:p>
        </w:tc>
        <w:tc>
          <w:tcPr>
            <w:tcW w:w="64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019A71F7" w14:textId="5DEDB9F1"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25</w:t>
            </w:r>
          </w:p>
        </w:tc>
        <w:tc>
          <w:tcPr>
            <w:tcW w:w="56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1D12BA9E" w14:textId="0CA79D84"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26</w:t>
            </w:r>
          </w:p>
        </w:tc>
        <w:tc>
          <w:tcPr>
            <w:tcW w:w="72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728E077A" w14:textId="19E2FF4F" w:rsidR="00F54F2E" w:rsidRPr="007D6488" w:rsidRDefault="00F54F2E" w:rsidP="00DD3FC1">
            <w:pPr>
              <w:pStyle w:val="CalendarText"/>
              <w:spacing w:line="360" w:lineRule="auto"/>
              <w:jc w:val="center"/>
              <w:rPr>
                <w:rStyle w:val="WinCalendarBLANKCELLSTYLE0"/>
                <w:b/>
                <w:bCs/>
                <w:szCs w:val="16"/>
              </w:rPr>
            </w:pPr>
            <w:r>
              <w:rPr>
                <w:rStyle w:val="WinCalendarBLANKCELLSTYLE0"/>
                <w:b/>
                <w:bCs/>
                <w:szCs w:val="16"/>
              </w:rPr>
              <w:t>27</w:t>
            </w:r>
          </w:p>
        </w:tc>
        <w:tc>
          <w:tcPr>
            <w:tcW w:w="97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DC1D4FC" w14:textId="42476566" w:rsidR="00F54F2E" w:rsidRPr="009F73B7" w:rsidRDefault="00F54F2E" w:rsidP="00DD3FC1">
            <w:pPr>
              <w:pStyle w:val="CalendarText"/>
              <w:spacing w:line="360" w:lineRule="auto"/>
              <w:jc w:val="center"/>
              <w:rPr>
                <w:rStyle w:val="WinCalendarBLANKCELLSTYLE0"/>
                <w:b/>
                <w:bCs/>
                <w:szCs w:val="16"/>
              </w:rPr>
            </w:pPr>
            <w:r>
              <w:rPr>
                <w:rStyle w:val="WinCalendarBLANKCELLSTYLE0"/>
                <w:b/>
                <w:bCs/>
                <w:szCs w:val="16"/>
              </w:rPr>
              <w:t>28</w:t>
            </w:r>
          </w:p>
        </w:tc>
      </w:tr>
      <w:tr w:rsidR="00510375" w:rsidRPr="003D6B5B" w14:paraId="6C659938" w14:textId="77777777" w:rsidTr="00510375">
        <w:trPr>
          <w:cantSplit/>
          <w:trHeight w:val="495"/>
          <w:jc w:val="center"/>
        </w:trPr>
        <w:tc>
          <w:tcPr>
            <w:tcW w:w="643"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188EFC2" w14:textId="3BF60B28" w:rsidR="00F54F2E" w:rsidRPr="009F73B7" w:rsidRDefault="00F54F2E" w:rsidP="00F54F2E">
            <w:pPr>
              <w:pStyle w:val="CalendarText"/>
              <w:spacing w:line="360" w:lineRule="auto"/>
              <w:jc w:val="center"/>
              <w:rPr>
                <w:rStyle w:val="WinCalendarBLANKCELLSTYLE0"/>
                <w:b/>
                <w:bCs/>
                <w:szCs w:val="16"/>
              </w:rPr>
            </w:pPr>
            <w:r>
              <w:rPr>
                <w:rStyle w:val="WinCalendarBLANKCELLSTYLE0"/>
                <w:b/>
                <w:bCs/>
                <w:szCs w:val="16"/>
              </w:rPr>
              <w:t>29</w:t>
            </w:r>
          </w:p>
        </w:tc>
        <w:tc>
          <w:tcPr>
            <w:tcW w:w="806" w:type="pct"/>
            <w:tcBorders>
              <w:top w:val="single" w:sz="8" w:space="0" w:color="25478B"/>
              <w:left w:val="single" w:sz="8" w:space="0" w:color="25478B"/>
              <w:bottom w:val="single" w:sz="4" w:space="0" w:color="25478B"/>
              <w:right w:val="single" w:sz="8" w:space="0" w:color="25478B"/>
            </w:tcBorders>
            <w:shd w:val="clear" w:color="auto" w:fill="8DB3E2" w:themeFill="text2" w:themeFillTint="66"/>
          </w:tcPr>
          <w:p w14:paraId="0D62C803" w14:textId="097305F8" w:rsidR="00F54F2E" w:rsidRPr="007D6488" w:rsidRDefault="00F54F2E" w:rsidP="00DD3FC1">
            <w:pPr>
              <w:pStyle w:val="CalendarText"/>
              <w:spacing w:line="360" w:lineRule="auto"/>
              <w:jc w:val="center"/>
              <w:rPr>
                <w:rStyle w:val="WinCalendarBLANKCELLSTYLE0"/>
                <w:b/>
                <w:bCs/>
                <w:color w:val="auto"/>
                <w:szCs w:val="16"/>
              </w:rPr>
            </w:pPr>
            <w:r>
              <w:rPr>
                <w:rStyle w:val="WinCalendarBLANKCELLSTYLE0"/>
                <w:b/>
                <w:bCs/>
                <w:color w:val="auto"/>
                <w:szCs w:val="16"/>
              </w:rPr>
              <w:t>30</w:t>
            </w:r>
          </w:p>
        </w:tc>
        <w:tc>
          <w:tcPr>
            <w:tcW w:w="645" w:type="pct"/>
            <w:tcBorders>
              <w:top w:val="single" w:sz="8" w:space="0" w:color="25478B"/>
              <w:left w:val="single" w:sz="8" w:space="0" w:color="25478B"/>
              <w:bottom w:val="single" w:sz="4" w:space="0" w:color="25478B"/>
              <w:right w:val="single" w:sz="8" w:space="0" w:color="25478B"/>
            </w:tcBorders>
            <w:shd w:val="clear" w:color="auto" w:fill="8DB3E2" w:themeFill="text2" w:themeFillTint="66"/>
          </w:tcPr>
          <w:p w14:paraId="219FC919" w14:textId="741C4810" w:rsidR="00F54F2E" w:rsidRPr="007D6488" w:rsidRDefault="00F54F2E" w:rsidP="00F54F2E">
            <w:pPr>
              <w:pStyle w:val="CalendarText"/>
              <w:spacing w:line="360" w:lineRule="auto"/>
              <w:jc w:val="center"/>
              <w:rPr>
                <w:rStyle w:val="WinCalendarBLANKCELLSTYLE0"/>
                <w:b/>
                <w:bCs/>
                <w:color w:val="auto"/>
                <w:szCs w:val="16"/>
              </w:rPr>
            </w:pPr>
            <w:r>
              <w:rPr>
                <w:rStyle w:val="WinCalendarBLANKCELLSTYLE0"/>
                <w:b/>
                <w:bCs/>
                <w:color w:val="auto"/>
                <w:szCs w:val="16"/>
              </w:rPr>
              <w:t>31</w:t>
            </w:r>
          </w:p>
        </w:tc>
        <w:tc>
          <w:tcPr>
            <w:tcW w:w="644" w:type="pct"/>
            <w:tcBorders>
              <w:top w:val="single" w:sz="8" w:space="0" w:color="25478B"/>
              <w:left w:val="single" w:sz="8" w:space="0" w:color="25478B"/>
              <w:bottom w:val="single" w:sz="4" w:space="0" w:color="25478B"/>
              <w:right w:val="single" w:sz="4" w:space="0" w:color="25478B"/>
            </w:tcBorders>
            <w:shd w:val="clear" w:color="auto" w:fill="8DB3E2" w:themeFill="text2" w:themeFillTint="66"/>
          </w:tcPr>
          <w:p w14:paraId="09F28BCB" w14:textId="78FE459D" w:rsidR="00F54F2E" w:rsidRPr="007D6488" w:rsidRDefault="00F54F2E" w:rsidP="00F54F2E">
            <w:pPr>
              <w:pStyle w:val="CalendarText"/>
              <w:spacing w:line="360" w:lineRule="auto"/>
              <w:rPr>
                <w:rStyle w:val="CalendarNumbers"/>
                <w:color w:val="auto"/>
                <w:sz w:val="16"/>
                <w:szCs w:val="16"/>
              </w:rPr>
            </w:pPr>
          </w:p>
        </w:tc>
        <w:tc>
          <w:tcPr>
            <w:tcW w:w="564" w:type="pct"/>
            <w:tcBorders>
              <w:top w:val="single" w:sz="8" w:space="0" w:color="25478B"/>
              <w:left w:val="single" w:sz="8" w:space="0" w:color="25478B"/>
              <w:bottom w:val="single" w:sz="4" w:space="0" w:color="25478B"/>
              <w:right w:val="single" w:sz="4" w:space="0" w:color="25478B"/>
            </w:tcBorders>
            <w:shd w:val="clear" w:color="auto" w:fill="8DB3E2" w:themeFill="text2" w:themeFillTint="66"/>
          </w:tcPr>
          <w:p w14:paraId="38E997B4" w14:textId="77777777" w:rsidR="00F54F2E" w:rsidRPr="007D6488" w:rsidRDefault="00F54F2E" w:rsidP="00DD3FC1">
            <w:pPr>
              <w:pStyle w:val="CalendarText"/>
              <w:spacing w:line="360" w:lineRule="auto"/>
              <w:jc w:val="center"/>
              <w:rPr>
                <w:rStyle w:val="CalendarNumbers"/>
                <w:color w:val="auto"/>
                <w:sz w:val="16"/>
                <w:szCs w:val="16"/>
              </w:rPr>
            </w:pPr>
          </w:p>
        </w:tc>
        <w:tc>
          <w:tcPr>
            <w:tcW w:w="726" w:type="pct"/>
            <w:tcBorders>
              <w:top w:val="single" w:sz="8" w:space="0" w:color="25478B"/>
              <w:left w:val="single" w:sz="8" w:space="0" w:color="25478B"/>
              <w:bottom w:val="single" w:sz="4" w:space="0" w:color="25478B"/>
              <w:right w:val="single" w:sz="4" w:space="0" w:color="25478B"/>
            </w:tcBorders>
            <w:shd w:val="clear" w:color="auto" w:fill="8DB3E2" w:themeFill="text2" w:themeFillTint="66"/>
          </w:tcPr>
          <w:p w14:paraId="746DADA1" w14:textId="77777777" w:rsidR="00F54F2E" w:rsidRPr="007D6488" w:rsidRDefault="00F54F2E" w:rsidP="00DD3FC1">
            <w:pPr>
              <w:pStyle w:val="CalendarText"/>
              <w:spacing w:line="360" w:lineRule="auto"/>
              <w:jc w:val="center"/>
              <w:rPr>
                <w:rStyle w:val="CalendarNumbers"/>
                <w:color w:val="auto"/>
                <w:sz w:val="16"/>
                <w:szCs w:val="16"/>
              </w:rPr>
            </w:pPr>
          </w:p>
        </w:tc>
        <w:tc>
          <w:tcPr>
            <w:tcW w:w="972" w:type="pct"/>
            <w:tcBorders>
              <w:top w:val="single" w:sz="8" w:space="0" w:color="25478B"/>
              <w:left w:val="single" w:sz="8" w:space="0" w:color="25478B"/>
              <w:bottom w:val="single" w:sz="4" w:space="0" w:color="25478B"/>
              <w:right w:val="single" w:sz="4" w:space="0" w:color="25478B"/>
            </w:tcBorders>
            <w:shd w:val="clear" w:color="auto" w:fill="E6E6E6"/>
          </w:tcPr>
          <w:p w14:paraId="2EAAE024" w14:textId="77777777" w:rsidR="00F54F2E" w:rsidRPr="00990A0F" w:rsidRDefault="00F54F2E" w:rsidP="00DD3FC1">
            <w:pPr>
              <w:pStyle w:val="CalendarText"/>
              <w:spacing w:line="360" w:lineRule="auto"/>
              <w:jc w:val="center"/>
              <w:rPr>
                <w:rStyle w:val="CalendarNumbers"/>
                <w:color w:val="auto"/>
                <w:sz w:val="16"/>
                <w:szCs w:val="16"/>
              </w:rPr>
            </w:pPr>
          </w:p>
        </w:tc>
      </w:tr>
    </w:tbl>
    <w:p w14:paraId="6A426B32" w14:textId="77777777" w:rsidR="00F54F2E" w:rsidRDefault="00F54F2E" w:rsidP="00461D48">
      <w:pPr>
        <w:spacing w:line="360" w:lineRule="auto"/>
        <w:ind w:right="49" w:firstLine="709"/>
        <w:jc w:val="both"/>
        <w:rPr>
          <w:rFonts w:ascii="Arial" w:eastAsia="Calibri" w:hAnsi="Arial" w:cs="Arial"/>
          <w:bCs/>
          <w:sz w:val="26"/>
          <w:szCs w:val="26"/>
        </w:rPr>
      </w:pPr>
    </w:p>
    <w:p w14:paraId="11175042" w14:textId="77777777" w:rsidR="00F54F2E" w:rsidRDefault="00F54F2E" w:rsidP="00461D48">
      <w:pPr>
        <w:spacing w:line="360" w:lineRule="auto"/>
        <w:ind w:right="49" w:firstLine="709"/>
        <w:jc w:val="both"/>
        <w:rPr>
          <w:rFonts w:ascii="Arial" w:eastAsia="Calibri" w:hAnsi="Arial" w:cs="Arial"/>
          <w:bCs/>
          <w:sz w:val="26"/>
          <w:szCs w:val="26"/>
        </w:rPr>
      </w:pPr>
    </w:p>
    <w:p w14:paraId="229F1C28" w14:textId="77777777" w:rsidR="007D4A5C" w:rsidRDefault="007D4A5C" w:rsidP="00461D48">
      <w:pPr>
        <w:spacing w:line="360" w:lineRule="auto"/>
        <w:ind w:right="49" w:firstLine="709"/>
        <w:jc w:val="both"/>
        <w:rPr>
          <w:rFonts w:ascii="Arial" w:eastAsia="Calibri" w:hAnsi="Arial" w:cs="Arial"/>
          <w:bCs/>
          <w:sz w:val="26"/>
          <w:szCs w:val="26"/>
        </w:rPr>
      </w:pPr>
    </w:p>
    <w:tbl>
      <w:tblPr>
        <w:tblW w:w="498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1131"/>
        <w:gridCol w:w="1417"/>
        <w:gridCol w:w="1134"/>
        <w:gridCol w:w="1132"/>
        <w:gridCol w:w="992"/>
        <w:gridCol w:w="1277"/>
        <w:gridCol w:w="1709"/>
      </w:tblGrid>
      <w:tr w:rsidR="00510375" w:rsidRPr="005D6AEA" w14:paraId="12F398A5" w14:textId="77777777" w:rsidTr="00DD3FC1">
        <w:trPr>
          <w:cantSplit/>
          <w:trHeight w:val="289"/>
          <w:tblHeader/>
          <w:jc w:val="center"/>
        </w:trPr>
        <w:tc>
          <w:tcPr>
            <w:tcW w:w="643" w:type="pct"/>
            <w:tcBorders>
              <w:top w:val="single" w:sz="4" w:space="0" w:color="7C91B9"/>
              <w:left w:val="single" w:sz="4" w:space="0" w:color="7C91B9"/>
              <w:bottom w:val="single" w:sz="8" w:space="0" w:color="E6E6E6"/>
              <w:right w:val="nil"/>
            </w:tcBorders>
            <w:shd w:val="clear" w:color="auto" w:fill="F0F3F7"/>
            <w:vAlign w:val="bottom"/>
          </w:tcPr>
          <w:p w14:paraId="420BDA48" w14:textId="77777777" w:rsidR="00510375" w:rsidRPr="009F73B7" w:rsidRDefault="00510375" w:rsidP="00DD3FC1">
            <w:pPr>
              <w:spacing w:after="0" w:line="360" w:lineRule="auto"/>
              <w:rPr>
                <w:rFonts w:ascii="Arial" w:hAnsi="Arial" w:cs="Arial"/>
                <w:color w:val="345393"/>
                <w:sz w:val="16"/>
                <w:szCs w:val="16"/>
              </w:rPr>
            </w:pPr>
          </w:p>
        </w:tc>
        <w:tc>
          <w:tcPr>
            <w:tcW w:w="3385" w:type="pct"/>
            <w:gridSpan w:val="5"/>
            <w:tcBorders>
              <w:top w:val="single" w:sz="4" w:space="0" w:color="7C91B9"/>
              <w:left w:val="nil"/>
              <w:bottom w:val="single" w:sz="8" w:space="0" w:color="E6E6E6"/>
              <w:right w:val="nil"/>
            </w:tcBorders>
            <w:shd w:val="clear" w:color="auto" w:fill="F0F3F7"/>
            <w:vAlign w:val="bottom"/>
          </w:tcPr>
          <w:p w14:paraId="5BC1C31D" w14:textId="7EFE5761" w:rsidR="00510375" w:rsidRPr="009F73B7" w:rsidRDefault="00510375" w:rsidP="00DD3FC1">
            <w:pPr>
              <w:spacing w:after="0" w:line="360" w:lineRule="auto"/>
              <w:jc w:val="center"/>
              <w:rPr>
                <w:rFonts w:ascii="Arial" w:hAnsi="Arial" w:cs="Arial"/>
                <w:b/>
                <w:color w:val="25478B"/>
                <w:sz w:val="16"/>
                <w:szCs w:val="16"/>
              </w:rPr>
            </w:pPr>
            <w:r>
              <w:rPr>
                <w:rFonts w:ascii="Arial" w:hAnsi="Arial" w:cs="Arial"/>
                <w:b/>
                <w:color w:val="25478B"/>
                <w:sz w:val="16"/>
                <w:szCs w:val="16"/>
              </w:rPr>
              <w:t>Junio 2022</w:t>
            </w:r>
          </w:p>
        </w:tc>
        <w:tc>
          <w:tcPr>
            <w:tcW w:w="972" w:type="pct"/>
            <w:tcBorders>
              <w:top w:val="single" w:sz="4" w:space="0" w:color="7C91B9"/>
              <w:left w:val="nil"/>
              <w:bottom w:val="single" w:sz="8" w:space="0" w:color="E6E6E6"/>
              <w:right w:val="single" w:sz="4" w:space="0" w:color="7C91B9"/>
            </w:tcBorders>
            <w:shd w:val="clear" w:color="auto" w:fill="F0F3F7"/>
            <w:vAlign w:val="bottom"/>
          </w:tcPr>
          <w:p w14:paraId="336709E6" w14:textId="77777777" w:rsidR="00510375" w:rsidRPr="009F73B7" w:rsidRDefault="00510375" w:rsidP="00DD3FC1">
            <w:pPr>
              <w:spacing w:after="0" w:line="360" w:lineRule="auto"/>
              <w:jc w:val="right"/>
              <w:rPr>
                <w:rFonts w:ascii="Arial" w:hAnsi="Arial" w:cs="Arial"/>
                <w:color w:val="345393"/>
                <w:sz w:val="16"/>
                <w:szCs w:val="16"/>
              </w:rPr>
            </w:pPr>
          </w:p>
        </w:tc>
      </w:tr>
      <w:tr w:rsidR="00510375" w:rsidRPr="005D6AEA" w14:paraId="3F218007" w14:textId="77777777" w:rsidTr="00DD3FC1">
        <w:trPr>
          <w:cantSplit/>
          <w:trHeight w:val="157"/>
          <w:tblHeader/>
          <w:jc w:val="center"/>
        </w:trPr>
        <w:tc>
          <w:tcPr>
            <w:tcW w:w="643" w:type="pct"/>
            <w:tcBorders>
              <w:top w:val="single" w:sz="8" w:space="0" w:color="E6E6E6"/>
              <w:left w:val="single" w:sz="4" w:space="0" w:color="25478B"/>
              <w:bottom w:val="nil"/>
              <w:right w:val="single" w:sz="8" w:space="0" w:color="E6E6E6"/>
            </w:tcBorders>
            <w:shd w:val="clear" w:color="auto" w:fill="25478B"/>
            <w:vAlign w:val="bottom"/>
          </w:tcPr>
          <w:p w14:paraId="2633AE7C" w14:textId="77777777" w:rsidR="00510375" w:rsidRPr="009F73B7" w:rsidRDefault="00510375"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806" w:type="pct"/>
            <w:tcBorders>
              <w:top w:val="single" w:sz="8" w:space="0" w:color="E6E6E6"/>
              <w:left w:val="single" w:sz="8" w:space="0" w:color="E6E6E6"/>
              <w:bottom w:val="nil"/>
              <w:right w:val="single" w:sz="8" w:space="0" w:color="E6E6E6"/>
            </w:tcBorders>
            <w:shd w:val="clear" w:color="auto" w:fill="25478B"/>
            <w:vAlign w:val="bottom"/>
          </w:tcPr>
          <w:p w14:paraId="27B99BE5" w14:textId="77777777" w:rsidR="00510375" w:rsidRPr="009F73B7" w:rsidRDefault="00510375"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645" w:type="pct"/>
            <w:tcBorders>
              <w:top w:val="single" w:sz="8" w:space="0" w:color="E6E6E6"/>
              <w:left w:val="single" w:sz="8" w:space="0" w:color="E6E6E6"/>
              <w:bottom w:val="nil"/>
              <w:right w:val="single" w:sz="8" w:space="0" w:color="E6E6E6"/>
            </w:tcBorders>
            <w:shd w:val="clear" w:color="auto" w:fill="25478B"/>
            <w:vAlign w:val="bottom"/>
          </w:tcPr>
          <w:p w14:paraId="169E79A9" w14:textId="77777777" w:rsidR="00510375" w:rsidRPr="009F73B7" w:rsidRDefault="00510375"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644" w:type="pct"/>
            <w:tcBorders>
              <w:top w:val="single" w:sz="8" w:space="0" w:color="E6E6E6"/>
              <w:left w:val="single" w:sz="8" w:space="0" w:color="E6E6E6"/>
              <w:bottom w:val="nil"/>
              <w:right w:val="single" w:sz="8" w:space="0" w:color="E6E6E6"/>
            </w:tcBorders>
            <w:shd w:val="clear" w:color="auto" w:fill="25478B"/>
            <w:vAlign w:val="bottom"/>
          </w:tcPr>
          <w:p w14:paraId="58ADF739" w14:textId="77777777" w:rsidR="00510375" w:rsidRPr="009F73B7" w:rsidRDefault="00510375"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564" w:type="pct"/>
            <w:tcBorders>
              <w:top w:val="single" w:sz="8" w:space="0" w:color="E6E6E6"/>
              <w:left w:val="single" w:sz="8" w:space="0" w:color="E6E6E6"/>
              <w:bottom w:val="nil"/>
              <w:right w:val="single" w:sz="8" w:space="0" w:color="E6E6E6"/>
            </w:tcBorders>
            <w:shd w:val="clear" w:color="auto" w:fill="25478B"/>
            <w:vAlign w:val="bottom"/>
          </w:tcPr>
          <w:p w14:paraId="24F233B4" w14:textId="77777777" w:rsidR="00510375" w:rsidRPr="009F73B7" w:rsidRDefault="00510375"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26" w:type="pct"/>
            <w:tcBorders>
              <w:top w:val="single" w:sz="8" w:space="0" w:color="E6E6E6"/>
              <w:left w:val="single" w:sz="8" w:space="0" w:color="E6E6E6"/>
              <w:bottom w:val="nil"/>
              <w:right w:val="single" w:sz="8" w:space="0" w:color="E6E6E6"/>
            </w:tcBorders>
            <w:shd w:val="clear" w:color="auto" w:fill="25478B"/>
            <w:vAlign w:val="bottom"/>
          </w:tcPr>
          <w:p w14:paraId="7AB64CBD" w14:textId="77777777" w:rsidR="00510375" w:rsidRPr="009F73B7" w:rsidRDefault="00510375"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972" w:type="pct"/>
            <w:tcBorders>
              <w:top w:val="single" w:sz="8" w:space="0" w:color="E6E6E6"/>
              <w:left w:val="single" w:sz="8" w:space="0" w:color="E6E6E6"/>
              <w:bottom w:val="nil"/>
              <w:right w:val="single" w:sz="4" w:space="0" w:color="25478B"/>
            </w:tcBorders>
            <w:shd w:val="clear" w:color="auto" w:fill="25478B"/>
            <w:vAlign w:val="bottom"/>
          </w:tcPr>
          <w:p w14:paraId="3EAAF262" w14:textId="77777777" w:rsidR="00510375" w:rsidRPr="009F73B7" w:rsidRDefault="00510375" w:rsidP="00DD3FC1">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10375" w:rsidRPr="003D6B5B" w14:paraId="279CBFA3" w14:textId="77777777" w:rsidTr="00510375">
        <w:trPr>
          <w:cantSplit/>
          <w:trHeight w:val="543"/>
          <w:jc w:val="center"/>
        </w:trPr>
        <w:tc>
          <w:tcPr>
            <w:tcW w:w="643" w:type="pct"/>
            <w:tcBorders>
              <w:top w:val="nil"/>
              <w:left w:val="single" w:sz="4" w:space="0" w:color="25478B"/>
              <w:bottom w:val="single" w:sz="8" w:space="0" w:color="25478B"/>
              <w:right w:val="single" w:sz="8" w:space="0" w:color="25478B"/>
            </w:tcBorders>
            <w:shd w:val="clear" w:color="auto" w:fill="808080" w:themeFill="background1" w:themeFillShade="80"/>
          </w:tcPr>
          <w:p w14:paraId="03397200" w14:textId="04758C51" w:rsidR="00510375" w:rsidRPr="009F73B7" w:rsidRDefault="00510375" w:rsidP="00DD3FC1">
            <w:pPr>
              <w:pStyle w:val="CalendarText"/>
              <w:spacing w:line="360" w:lineRule="auto"/>
              <w:jc w:val="center"/>
              <w:rPr>
                <w:rStyle w:val="WinCalendarBLANKCELLSTYLE0"/>
                <w:b/>
                <w:bCs/>
                <w:szCs w:val="16"/>
              </w:rPr>
            </w:pPr>
          </w:p>
        </w:tc>
        <w:tc>
          <w:tcPr>
            <w:tcW w:w="806" w:type="pct"/>
            <w:tcBorders>
              <w:top w:val="nil"/>
              <w:left w:val="single" w:sz="8" w:space="0" w:color="25478B"/>
              <w:bottom w:val="single" w:sz="8" w:space="0" w:color="25478B"/>
              <w:right w:val="single" w:sz="8" w:space="0" w:color="25478B"/>
            </w:tcBorders>
            <w:shd w:val="clear" w:color="auto" w:fill="8DB3E2" w:themeFill="text2" w:themeFillTint="66"/>
          </w:tcPr>
          <w:p w14:paraId="4DD71B3A" w14:textId="7E6B2DE1" w:rsidR="00510375" w:rsidRPr="009F73B7" w:rsidRDefault="00510375" w:rsidP="00DD3FC1">
            <w:pPr>
              <w:pStyle w:val="CalendarText"/>
              <w:spacing w:line="360" w:lineRule="auto"/>
              <w:jc w:val="center"/>
              <w:rPr>
                <w:rStyle w:val="WinCalendarBLANKCELLSTYLE0"/>
                <w:b/>
                <w:bCs/>
                <w:szCs w:val="16"/>
              </w:rPr>
            </w:pPr>
          </w:p>
        </w:tc>
        <w:tc>
          <w:tcPr>
            <w:tcW w:w="645" w:type="pct"/>
            <w:tcBorders>
              <w:top w:val="nil"/>
              <w:left w:val="single" w:sz="8" w:space="0" w:color="25478B"/>
              <w:bottom w:val="single" w:sz="8" w:space="0" w:color="25478B"/>
              <w:right w:val="single" w:sz="8" w:space="0" w:color="25478B"/>
            </w:tcBorders>
            <w:shd w:val="clear" w:color="auto" w:fill="8DB3E2" w:themeFill="text2" w:themeFillTint="66"/>
          </w:tcPr>
          <w:p w14:paraId="503C66E0" w14:textId="70CC0480" w:rsidR="00510375" w:rsidRPr="009F73B7" w:rsidRDefault="00510375" w:rsidP="00DD3FC1">
            <w:pPr>
              <w:pStyle w:val="CalendarText"/>
              <w:spacing w:line="360" w:lineRule="auto"/>
              <w:jc w:val="center"/>
              <w:rPr>
                <w:rStyle w:val="WinCalendarBLANKCELLSTYLE0"/>
                <w:b/>
                <w:bCs/>
                <w:szCs w:val="16"/>
              </w:rPr>
            </w:pPr>
          </w:p>
        </w:tc>
        <w:tc>
          <w:tcPr>
            <w:tcW w:w="644" w:type="pct"/>
            <w:tcBorders>
              <w:top w:val="nil"/>
              <w:left w:val="single" w:sz="8" w:space="0" w:color="25478B"/>
              <w:bottom w:val="single" w:sz="8" w:space="0" w:color="25478B"/>
              <w:right w:val="single" w:sz="8" w:space="0" w:color="25478B"/>
            </w:tcBorders>
            <w:shd w:val="clear" w:color="auto" w:fill="8DB3E2" w:themeFill="text2" w:themeFillTint="66"/>
          </w:tcPr>
          <w:p w14:paraId="384371F2" w14:textId="65B8FD31"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1</w:t>
            </w:r>
          </w:p>
        </w:tc>
        <w:tc>
          <w:tcPr>
            <w:tcW w:w="564" w:type="pct"/>
            <w:tcBorders>
              <w:top w:val="nil"/>
              <w:left w:val="single" w:sz="8" w:space="0" w:color="25478B"/>
              <w:bottom w:val="single" w:sz="8" w:space="0" w:color="25478B"/>
              <w:right w:val="single" w:sz="8" w:space="0" w:color="25478B"/>
            </w:tcBorders>
            <w:shd w:val="clear" w:color="auto" w:fill="auto"/>
          </w:tcPr>
          <w:p w14:paraId="0E773133" w14:textId="25A62D4B"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2</w:t>
            </w:r>
          </w:p>
        </w:tc>
        <w:tc>
          <w:tcPr>
            <w:tcW w:w="726" w:type="pct"/>
            <w:tcBorders>
              <w:top w:val="nil"/>
              <w:left w:val="single" w:sz="8" w:space="0" w:color="25478B"/>
              <w:bottom w:val="single" w:sz="8" w:space="0" w:color="25478B"/>
              <w:right w:val="single" w:sz="8" w:space="0" w:color="25478B"/>
            </w:tcBorders>
            <w:shd w:val="clear" w:color="auto" w:fill="auto"/>
          </w:tcPr>
          <w:p w14:paraId="0DA734AB" w14:textId="564C006A"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3</w:t>
            </w:r>
          </w:p>
        </w:tc>
        <w:tc>
          <w:tcPr>
            <w:tcW w:w="972" w:type="pct"/>
            <w:tcBorders>
              <w:top w:val="nil"/>
              <w:left w:val="single" w:sz="8" w:space="0" w:color="25478B"/>
              <w:bottom w:val="single" w:sz="8" w:space="0" w:color="25478B"/>
              <w:right w:val="single" w:sz="4" w:space="0" w:color="25478B"/>
            </w:tcBorders>
            <w:shd w:val="clear" w:color="auto" w:fill="00B0F0"/>
          </w:tcPr>
          <w:p w14:paraId="629C2E01" w14:textId="19600E81" w:rsidR="00510375" w:rsidRDefault="00510375" w:rsidP="00DD3FC1">
            <w:pPr>
              <w:pStyle w:val="CalendarText"/>
              <w:spacing w:line="360" w:lineRule="auto"/>
              <w:jc w:val="center"/>
              <w:rPr>
                <w:rStyle w:val="WinCalendarBLANKCELLSTYLE0"/>
                <w:b/>
                <w:bCs/>
                <w:szCs w:val="16"/>
                <w:lang w:val="es-ES"/>
              </w:rPr>
            </w:pPr>
            <w:r>
              <w:rPr>
                <w:rStyle w:val="WinCalendarBLANKCELLSTYLE0"/>
                <w:b/>
                <w:bCs/>
                <w:szCs w:val="16"/>
                <w:lang w:val="es-ES"/>
              </w:rPr>
              <w:t>4</w:t>
            </w:r>
            <w:r w:rsidRPr="00F54F2E">
              <w:rPr>
                <w:rStyle w:val="WinCalendarBLANKCELLSTYLE0"/>
                <w:b/>
                <w:bCs/>
                <w:szCs w:val="16"/>
                <w:lang w:val="es-ES"/>
              </w:rPr>
              <w:t xml:space="preserve"> </w:t>
            </w:r>
          </w:p>
          <w:p w14:paraId="6C7A36FF" w14:textId="1519180C" w:rsidR="00510375" w:rsidRPr="00F54F2E" w:rsidRDefault="00510375" w:rsidP="00DD3FC1">
            <w:pPr>
              <w:pStyle w:val="Sinespaciado"/>
              <w:rPr>
                <w:rStyle w:val="WinCalendarBLANKCELLSTYLE0"/>
                <w:b/>
                <w:bCs/>
                <w:szCs w:val="16"/>
                <w:lang w:val="es-ES"/>
              </w:rPr>
            </w:pPr>
          </w:p>
        </w:tc>
      </w:tr>
      <w:tr w:rsidR="00510375" w:rsidRPr="003D6B5B" w14:paraId="0479342F" w14:textId="77777777" w:rsidTr="003535BD">
        <w:trPr>
          <w:cantSplit/>
          <w:trHeight w:val="1092"/>
          <w:jc w:val="center"/>
        </w:trPr>
        <w:tc>
          <w:tcPr>
            <w:tcW w:w="64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3709260" w14:textId="18C1DB5F"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5</w:t>
            </w:r>
          </w:p>
        </w:tc>
        <w:tc>
          <w:tcPr>
            <w:tcW w:w="80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7E5DB26A" w14:textId="3ABF654C" w:rsidR="00510375" w:rsidRPr="00F54F2E" w:rsidRDefault="00510375" w:rsidP="00510375">
            <w:pPr>
              <w:pStyle w:val="Sinespaciado"/>
              <w:rPr>
                <w:rStyle w:val="WinCalendarBLANKCELLSTYLE0"/>
                <w:b/>
                <w:bCs/>
                <w:szCs w:val="16"/>
                <w:lang w:val="es-ES"/>
              </w:rPr>
            </w:pPr>
            <w:r>
              <w:rPr>
                <w:rStyle w:val="WinCalendarBLANKCELLSTYLE0"/>
                <w:b/>
                <w:bCs/>
                <w:szCs w:val="16"/>
                <w:lang w:val="es-ES"/>
              </w:rPr>
              <w:t>6</w:t>
            </w:r>
          </w:p>
        </w:tc>
        <w:tc>
          <w:tcPr>
            <w:tcW w:w="645"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6DF0ED86" w14:textId="55589D5F" w:rsidR="00510375" w:rsidRPr="00F54F2E" w:rsidRDefault="00510375" w:rsidP="00DD3FC1">
            <w:pPr>
              <w:pStyle w:val="Sinespaciado"/>
              <w:rPr>
                <w:rStyle w:val="WinCalendarBLANKCELLSTYLE0"/>
                <w:b/>
                <w:bCs/>
                <w:szCs w:val="16"/>
                <w:lang w:val="es-ES"/>
              </w:rPr>
            </w:pPr>
            <w:r>
              <w:rPr>
                <w:rStyle w:val="WinCalendarBLANKCELLSTYLE0"/>
                <w:b/>
                <w:bCs/>
                <w:szCs w:val="16"/>
                <w:lang w:val="es-ES"/>
              </w:rPr>
              <w:t>7</w:t>
            </w:r>
          </w:p>
        </w:tc>
        <w:tc>
          <w:tcPr>
            <w:tcW w:w="64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5FAAB2C0" w14:textId="0A587561" w:rsidR="00510375" w:rsidRPr="00510375" w:rsidRDefault="00510375" w:rsidP="00DD3FC1">
            <w:pPr>
              <w:pStyle w:val="Sinespaciado"/>
              <w:rPr>
                <w:rStyle w:val="WinCalendarBLANKCELLSTYLE0"/>
                <w:b/>
                <w:bCs/>
                <w:szCs w:val="16"/>
                <w:lang w:val="es-ES"/>
              </w:rPr>
            </w:pPr>
            <w:r>
              <w:rPr>
                <w:rStyle w:val="WinCalendarBLANKCELLSTYLE0"/>
                <w:b/>
                <w:bCs/>
                <w:szCs w:val="16"/>
              </w:rPr>
              <w:t>8</w:t>
            </w:r>
          </w:p>
        </w:tc>
        <w:tc>
          <w:tcPr>
            <w:tcW w:w="56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17269936" w14:textId="399E7213" w:rsidR="00510375" w:rsidRPr="00510375" w:rsidRDefault="00510375" w:rsidP="00DD3FC1">
            <w:pPr>
              <w:pStyle w:val="Sinespaciado"/>
              <w:rPr>
                <w:rStyle w:val="WinCalendarBLANKCELLSTYLE0"/>
                <w:b/>
                <w:bCs/>
                <w:szCs w:val="16"/>
                <w:lang w:val="es-ES"/>
              </w:rPr>
            </w:pPr>
            <w:r>
              <w:rPr>
                <w:rStyle w:val="WinCalendarBLANKCELLSTYLE0"/>
                <w:b/>
                <w:bCs/>
                <w:szCs w:val="16"/>
                <w:lang w:val="es-ES"/>
              </w:rPr>
              <w:t>9</w:t>
            </w:r>
          </w:p>
        </w:tc>
        <w:tc>
          <w:tcPr>
            <w:tcW w:w="72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3ED06EDB" w14:textId="06DDD91A"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10</w:t>
            </w:r>
          </w:p>
        </w:tc>
        <w:tc>
          <w:tcPr>
            <w:tcW w:w="97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5D3990E9" w14:textId="78A7E55F"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11</w:t>
            </w:r>
          </w:p>
        </w:tc>
      </w:tr>
      <w:tr w:rsidR="00510375" w:rsidRPr="003D6B5B" w14:paraId="4C14FAE4" w14:textId="77777777" w:rsidTr="003535BD">
        <w:trPr>
          <w:cantSplit/>
          <w:trHeight w:val="787"/>
          <w:jc w:val="center"/>
        </w:trPr>
        <w:tc>
          <w:tcPr>
            <w:tcW w:w="64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8D39404" w14:textId="0A2393DE"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12</w:t>
            </w:r>
          </w:p>
        </w:tc>
        <w:tc>
          <w:tcPr>
            <w:tcW w:w="80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27E225FC" w14:textId="3634E756"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13</w:t>
            </w:r>
          </w:p>
        </w:tc>
        <w:tc>
          <w:tcPr>
            <w:tcW w:w="645"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29D807CB" w14:textId="3E048E5C"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14</w:t>
            </w:r>
          </w:p>
        </w:tc>
        <w:tc>
          <w:tcPr>
            <w:tcW w:w="64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5FAFC904" w14:textId="67E3F692"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15</w:t>
            </w:r>
          </w:p>
        </w:tc>
        <w:tc>
          <w:tcPr>
            <w:tcW w:w="56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75BF8939" w14:textId="0A803932"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16</w:t>
            </w:r>
          </w:p>
        </w:tc>
        <w:tc>
          <w:tcPr>
            <w:tcW w:w="72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500049B1" w14:textId="5E18EF0E"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17</w:t>
            </w:r>
          </w:p>
        </w:tc>
        <w:tc>
          <w:tcPr>
            <w:tcW w:w="97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617DA0D" w14:textId="430F6114"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18</w:t>
            </w:r>
          </w:p>
        </w:tc>
      </w:tr>
      <w:tr w:rsidR="00510375" w:rsidRPr="003D6B5B" w14:paraId="445060E5" w14:textId="77777777" w:rsidTr="00510375">
        <w:trPr>
          <w:cantSplit/>
          <w:trHeight w:val="587"/>
          <w:jc w:val="center"/>
        </w:trPr>
        <w:tc>
          <w:tcPr>
            <w:tcW w:w="64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5BE9D252" w14:textId="2C3FC9E5"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19</w:t>
            </w:r>
          </w:p>
        </w:tc>
        <w:tc>
          <w:tcPr>
            <w:tcW w:w="806"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3436774B" w14:textId="447A5DB4"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20</w:t>
            </w:r>
          </w:p>
        </w:tc>
        <w:tc>
          <w:tcPr>
            <w:tcW w:w="645"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288B5A7B" w14:textId="6075CB46"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21</w:t>
            </w:r>
          </w:p>
        </w:tc>
        <w:tc>
          <w:tcPr>
            <w:tcW w:w="644" w:type="pct"/>
            <w:tcBorders>
              <w:top w:val="single" w:sz="8" w:space="0" w:color="25478B"/>
              <w:left w:val="single" w:sz="8" w:space="0" w:color="25478B"/>
              <w:bottom w:val="single" w:sz="8" w:space="0" w:color="25478B"/>
              <w:right w:val="single" w:sz="8" w:space="0" w:color="25478B"/>
            </w:tcBorders>
            <w:shd w:val="clear" w:color="auto" w:fill="8DB3E2" w:themeFill="text2" w:themeFillTint="66"/>
          </w:tcPr>
          <w:p w14:paraId="43F8D68D" w14:textId="77777777" w:rsidR="00510375" w:rsidRPr="005B3782" w:rsidRDefault="00510375" w:rsidP="00DD3FC1">
            <w:pPr>
              <w:pStyle w:val="CalendarText"/>
              <w:spacing w:line="360" w:lineRule="auto"/>
              <w:jc w:val="center"/>
              <w:rPr>
                <w:rStyle w:val="WinCalendarBLANKCELLSTYLE0"/>
                <w:b/>
                <w:bCs/>
                <w:szCs w:val="16"/>
                <w:lang w:val="es-ES"/>
              </w:rPr>
            </w:pPr>
            <w:r w:rsidRPr="005B3782">
              <w:rPr>
                <w:rStyle w:val="WinCalendarBLANKCELLSTYLE0"/>
                <w:b/>
                <w:bCs/>
                <w:szCs w:val="16"/>
                <w:lang w:val="es-ES"/>
              </w:rPr>
              <w:t>22</w:t>
            </w:r>
          </w:p>
          <w:p w14:paraId="051AD92F" w14:textId="60E43DAA" w:rsidR="003535BD" w:rsidRPr="003535BD" w:rsidRDefault="003535BD" w:rsidP="00DD3FC1">
            <w:pPr>
              <w:pStyle w:val="CalendarText"/>
              <w:spacing w:line="360" w:lineRule="auto"/>
              <w:jc w:val="center"/>
              <w:rPr>
                <w:rStyle w:val="WinCalendarBLANKCELLSTYLE0"/>
                <w:b/>
                <w:bCs/>
                <w:szCs w:val="16"/>
                <w:lang w:val="es-ES"/>
              </w:rPr>
            </w:pPr>
            <w:r w:rsidRPr="003535BD">
              <w:rPr>
                <w:rStyle w:val="WinCalendarBLANKCELLSTYLE0"/>
                <w:b/>
                <w:bCs/>
                <w:szCs w:val="16"/>
                <w:lang w:val="es-ES"/>
              </w:rPr>
              <w:t>Vence el plazo de 30 d</w:t>
            </w:r>
            <w:r>
              <w:rPr>
                <w:rStyle w:val="WinCalendarBLANKCELLSTYLE0"/>
                <w:b/>
                <w:bCs/>
                <w:szCs w:val="16"/>
                <w:lang w:val="es-ES"/>
              </w:rPr>
              <w:t>ías hábiles.</w:t>
            </w:r>
          </w:p>
        </w:tc>
        <w:tc>
          <w:tcPr>
            <w:tcW w:w="564" w:type="pct"/>
            <w:tcBorders>
              <w:top w:val="single" w:sz="8" w:space="0" w:color="25478B"/>
              <w:left w:val="single" w:sz="8" w:space="0" w:color="25478B"/>
              <w:bottom w:val="single" w:sz="8" w:space="0" w:color="25478B"/>
              <w:right w:val="single" w:sz="8" w:space="0" w:color="25478B"/>
            </w:tcBorders>
            <w:shd w:val="clear" w:color="auto" w:fill="auto"/>
          </w:tcPr>
          <w:p w14:paraId="720A91E6" w14:textId="3852C884"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23</w:t>
            </w:r>
          </w:p>
        </w:tc>
        <w:tc>
          <w:tcPr>
            <w:tcW w:w="726" w:type="pct"/>
            <w:tcBorders>
              <w:top w:val="single" w:sz="8" w:space="0" w:color="25478B"/>
              <w:left w:val="single" w:sz="8" w:space="0" w:color="25478B"/>
              <w:bottom w:val="single" w:sz="8" w:space="0" w:color="25478B"/>
              <w:right w:val="single" w:sz="8" w:space="0" w:color="25478B"/>
            </w:tcBorders>
            <w:shd w:val="clear" w:color="auto" w:fill="auto"/>
          </w:tcPr>
          <w:p w14:paraId="1A8C1CBE" w14:textId="5BF78966" w:rsidR="00510375" w:rsidRPr="007D6488" w:rsidRDefault="00510375" w:rsidP="00DD3FC1">
            <w:pPr>
              <w:pStyle w:val="CalendarText"/>
              <w:spacing w:line="360" w:lineRule="auto"/>
              <w:jc w:val="center"/>
              <w:rPr>
                <w:rStyle w:val="WinCalendarBLANKCELLSTYLE0"/>
                <w:b/>
                <w:bCs/>
                <w:szCs w:val="16"/>
              </w:rPr>
            </w:pPr>
            <w:r>
              <w:rPr>
                <w:rStyle w:val="WinCalendarBLANKCELLSTYLE0"/>
                <w:b/>
                <w:bCs/>
                <w:szCs w:val="16"/>
              </w:rPr>
              <w:t>24</w:t>
            </w:r>
          </w:p>
        </w:tc>
        <w:tc>
          <w:tcPr>
            <w:tcW w:w="97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0C3765FD" w14:textId="527C599D"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25</w:t>
            </w:r>
          </w:p>
        </w:tc>
      </w:tr>
      <w:tr w:rsidR="00510375" w:rsidRPr="003D6B5B" w14:paraId="65BC50D3" w14:textId="77777777" w:rsidTr="00DD3FC1">
        <w:trPr>
          <w:cantSplit/>
          <w:trHeight w:val="495"/>
          <w:jc w:val="center"/>
        </w:trPr>
        <w:tc>
          <w:tcPr>
            <w:tcW w:w="643"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AA1FDB1" w14:textId="59603CFD" w:rsidR="00510375" w:rsidRPr="009F73B7" w:rsidRDefault="00510375" w:rsidP="00DD3FC1">
            <w:pPr>
              <w:pStyle w:val="CalendarText"/>
              <w:spacing w:line="360" w:lineRule="auto"/>
              <w:jc w:val="center"/>
              <w:rPr>
                <w:rStyle w:val="WinCalendarBLANKCELLSTYLE0"/>
                <w:b/>
                <w:bCs/>
                <w:szCs w:val="16"/>
              </w:rPr>
            </w:pPr>
            <w:r>
              <w:rPr>
                <w:rStyle w:val="WinCalendarBLANKCELLSTYLE0"/>
                <w:b/>
                <w:bCs/>
                <w:szCs w:val="16"/>
              </w:rPr>
              <w:t>26</w:t>
            </w:r>
          </w:p>
        </w:tc>
        <w:tc>
          <w:tcPr>
            <w:tcW w:w="806" w:type="pct"/>
            <w:tcBorders>
              <w:top w:val="single" w:sz="8" w:space="0" w:color="25478B"/>
              <w:left w:val="single" w:sz="8" w:space="0" w:color="25478B"/>
              <w:bottom w:val="single" w:sz="4" w:space="0" w:color="25478B"/>
              <w:right w:val="single" w:sz="8" w:space="0" w:color="25478B"/>
            </w:tcBorders>
            <w:shd w:val="clear" w:color="auto" w:fill="auto"/>
          </w:tcPr>
          <w:p w14:paraId="138E5A9A" w14:textId="058C6637" w:rsidR="00510375" w:rsidRPr="007D6488" w:rsidRDefault="00510375" w:rsidP="00DD3FC1">
            <w:pPr>
              <w:pStyle w:val="CalendarText"/>
              <w:spacing w:line="360" w:lineRule="auto"/>
              <w:jc w:val="center"/>
              <w:rPr>
                <w:rStyle w:val="WinCalendarBLANKCELLSTYLE0"/>
                <w:b/>
                <w:bCs/>
                <w:color w:val="auto"/>
                <w:szCs w:val="16"/>
              </w:rPr>
            </w:pPr>
            <w:r>
              <w:rPr>
                <w:rStyle w:val="WinCalendarBLANKCELLSTYLE0"/>
                <w:b/>
                <w:bCs/>
                <w:color w:val="auto"/>
                <w:szCs w:val="16"/>
              </w:rPr>
              <w:t>27</w:t>
            </w:r>
          </w:p>
        </w:tc>
        <w:tc>
          <w:tcPr>
            <w:tcW w:w="645" w:type="pct"/>
            <w:tcBorders>
              <w:top w:val="single" w:sz="8" w:space="0" w:color="25478B"/>
              <w:left w:val="single" w:sz="8" w:space="0" w:color="25478B"/>
              <w:bottom w:val="single" w:sz="4" w:space="0" w:color="25478B"/>
              <w:right w:val="single" w:sz="8" w:space="0" w:color="25478B"/>
            </w:tcBorders>
            <w:shd w:val="clear" w:color="auto" w:fill="auto"/>
          </w:tcPr>
          <w:p w14:paraId="57367D9E" w14:textId="2985C320" w:rsidR="00510375" w:rsidRPr="007D6488" w:rsidRDefault="00510375" w:rsidP="00DD3FC1">
            <w:pPr>
              <w:pStyle w:val="CalendarText"/>
              <w:spacing w:line="360" w:lineRule="auto"/>
              <w:jc w:val="center"/>
              <w:rPr>
                <w:rStyle w:val="WinCalendarBLANKCELLSTYLE0"/>
                <w:b/>
                <w:bCs/>
                <w:color w:val="auto"/>
                <w:szCs w:val="16"/>
              </w:rPr>
            </w:pPr>
            <w:r>
              <w:rPr>
                <w:rStyle w:val="WinCalendarBLANKCELLSTYLE0"/>
                <w:b/>
                <w:bCs/>
                <w:color w:val="auto"/>
                <w:szCs w:val="16"/>
              </w:rPr>
              <w:t>28</w:t>
            </w:r>
          </w:p>
        </w:tc>
        <w:tc>
          <w:tcPr>
            <w:tcW w:w="644" w:type="pct"/>
            <w:tcBorders>
              <w:top w:val="single" w:sz="8" w:space="0" w:color="25478B"/>
              <w:left w:val="single" w:sz="8" w:space="0" w:color="25478B"/>
              <w:bottom w:val="single" w:sz="4" w:space="0" w:color="25478B"/>
              <w:right w:val="single" w:sz="4" w:space="0" w:color="25478B"/>
            </w:tcBorders>
            <w:shd w:val="clear" w:color="auto" w:fill="auto"/>
          </w:tcPr>
          <w:p w14:paraId="607DEEAA" w14:textId="0B9B79C5" w:rsidR="00510375" w:rsidRPr="007D6488" w:rsidRDefault="00510375" w:rsidP="00510375">
            <w:pPr>
              <w:pStyle w:val="CalendarText"/>
              <w:spacing w:line="360" w:lineRule="auto"/>
              <w:jc w:val="center"/>
              <w:rPr>
                <w:rStyle w:val="CalendarNumbers"/>
                <w:color w:val="auto"/>
                <w:sz w:val="16"/>
                <w:szCs w:val="16"/>
              </w:rPr>
            </w:pPr>
            <w:r>
              <w:rPr>
                <w:rStyle w:val="CalendarNumbers"/>
                <w:color w:val="auto"/>
                <w:sz w:val="16"/>
                <w:szCs w:val="16"/>
              </w:rPr>
              <w:t>29</w:t>
            </w:r>
          </w:p>
        </w:tc>
        <w:tc>
          <w:tcPr>
            <w:tcW w:w="564" w:type="pct"/>
            <w:tcBorders>
              <w:top w:val="single" w:sz="8" w:space="0" w:color="25478B"/>
              <w:left w:val="single" w:sz="8" w:space="0" w:color="25478B"/>
              <w:bottom w:val="single" w:sz="4" w:space="0" w:color="25478B"/>
              <w:right w:val="single" w:sz="4" w:space="0" w:color="25478B"/>
            </w:tcBorders>
            <w:shd w:val="clear" w:color="auto" w:fill="auto"/>
          </w:tcPr>
          <w:p w14:paraId="5A39C88C" w14:textId="669B378E" w:rsidR="00510375" w:rsidRPr="007D6488" w:rsidRDefault="00510375" w:rsidP="00DD3FC1">
            <w:pPr>
              <w:pStyle w:val="CalendarText"/>
              <w:spacing w:line="360" w:lineRule="auto"/>
              <w:jc w:val="center"/>
              <w:rPr>
                <w:rStyle w:val="CalendarNumbers"/>
                <w:color w:val="auto"/>
                <w:sz w:val="16"/>
                <w:szCs w:val="16"/>
              </w:rPr>
            </w:pPr>
            <w:r>
              <w:rPr>
                <w:rStyle w:val="CalendarNumbers"/>
                <w:color w:val="auto"/>
                <w:sz w:val="16"/>
                <w:szCs w:val="16"/>
              </w:rPr>
              <w:t>30</w:t>
            </w:r>
          </w:p>
        </w:tc>
        <w:tc>
          <w:tcPr>
            <w:tcW w:w="726" w:type="pct"/>
            <w:tcBorders>
              <w:top w:val="single" w:sz="8" w:space="0" w:color="25478B"/>
              <w:left w:val="single" w:sz="8" w:space="0" w:color="25478B"/>
              <w:bottom w:val="single" w:sz="4" w:space="0" w:color="25478B"/>
              <w:right w:val="single" w:sz="4" w:space="0" w:color="25478B"/>
            </w:tcBorders>
            <w:shd w:val="clear" w:color="auto" w:fill="auto"/>
          </w:tcPr>
          <w:p w14:paraId="75CF8610" w14:textId="77777777" w:rsidR="00510375" w:rsidRPr="007D6488" w:rsidRDefault="00510375" w:rsidP="00DD3FC1">
            <w:pPr>
              <w:pStyle w:val="CalendarText"/>
              <w:spacing w:line="360" w:lineRule="auto"/>
              <w:jc w:val="center"/>
              <w:rPr>
                <w:rStyle w:val="CalendarNumbers"/>
                <w:color w:val="auto"/>
                <w:sz w:val="16"/>
                <w:szCs w:val="16"/>
              </w:rPr>
            </w:pPr>
          </w:p>
        </w:tc>
        <w:tc>
          <w:tcPr>
            <w:tcW w:w="972" w:type="pct"/>
            <w:tcBorders>
              <w:top w:val="single" w:sz="8" w:space="0" w:color="25478B"/>
              <w:left w:val="single" w:sz="8" w:space="0" w:color="25478B"/>
              <w:bottom w:val="single" w:sz="4" w:space="0" w:color="25478B"/>
              <w:right w:val="single" w:sz="4" w:space="0" w:color="25478B"/>
            </w:tcBorders>
            <w:shd w:val="clear" w:color="auto" w:fill="E6E6E6"/>
          </w:tcPr>
          <w:p w14:paraId="35570089" w14:textId="77777777" w:rsidR="00510375" w:rsidRPr="00990A0F" w:rsidRDefault="00510375" w:rsidP="00DD3FC1">
            <w:pPr>
              <w:pStyle w:val="CalendarText"/>
              <w:spacing w:line="360" w:lineRule="auto"/>
              <w:jc w:val="center"/>
              <w:rPr>
                <w:rStyle w:val="CalendarNumbers"/>
                <w:color w:val="auto"/>
                <w:sz w:val="16"/>
                <w:szCs w:val="16"/>
              </w:rPr>
            </w:pPr>
          </w:p>
        </w:tc>
      </w:tr>
    </w:tbl>
    <w:p w14:paraId="6291A6F8" w14:textId="77777777" w:rsidR="00510375" w:rsidRDefault="00510375" w:rsidP="00461D48">
      <w:pPr>
        <w:spacing w:line="360" w:lineRule="auto"/>
        <w:ind w:right="49" w:firstLine="709"/>
        <w:jc w:val="both"/>
        <w:rPr>
          <w:rFonts w:ascii="Arial" w:eastAsia="Calibri" w:hAnsi="Arial" w:cs="Arial"/>
          <w:bCs/>
          <w:sz w:val="26"/>
          <w:szCs w:val="26"/>
        </w:rPr>
      </w:pPr>
    </w:p>
    <w:p w14:paraId="661D3A06" w14:textId="50034E72" w:rsidR="00461D48" w:rsidRDefault="007C426D" w:rsidP="00461D48">
      <w:pPr>
        <w:spacing w:line="360" w:lineRule="auto"/>
        <w:ind w:right="49" w:firstLine="709"/>
        <w:jc w:val="both"/>
        <w:rPr>
          <w:rFonts w:ascii="Arial" w:eastAsia="Calibri" w:hAnsi="Arial" w:cs="Arial"/>
          <w:bCs/>
          <w:sz w:val="26"/>
          <w:szCs w:val="26"/>
        </w:rPr>
      </w:pPr>
      <w:r>
        <w:rPr>
          <w:rFonts w:ascii="Arial" w:eastAsia="Calibri" w:hAnsi="Arial" w:cs="Arial"/>
          <w:bCs/>
          <w:sz w:val="26"/>
          <w:szCs w:val="26"/>
        </w:rPr>
        <w:t>20</w:t>
      </w:r>
      <w:r w:rsidR="000F31C8">
        <w:rPr>
          <w:rFonts w:ascii="Arial" w:eastAsia="Calibri" w:hAnsi="Arial" w:cs="Arial"/>
          <w:bCs/>
          <w:sz w:val="26"/>
          <w:szCs w:val="26"/>
        </w:rPr>
        <w:t xml:space="preserve">. </w:t>
      </w:r>
      <w:r w:rsidR="00461D48">
        <w:rPr>
          <w:rFonts w:ascii="Arial" w:eastAsia="Calibri" w:hAnsi="Arial" w:cs="Arial"/>
          <w:bCs/>
          <w:sz w:val="26"/>
          <w:szCs w:val="26"/>
        </w:rPr>
        <w:t xml:space="preserve">En ese orden de ideas, la Sala </w:t>
      </w:r>
      <w:r w:rsidR="00461D48" w:rsidRPr="007F40EC">
        <w:rPr>
          <w:rFonts w:ascii="Arial" w:eastAsia="Calibri" w:hAnsi="Arial" w:cs="Arial"/>
          <w:bCs/>
          <w:i/>
          <w:sz w:val="26"/>
          <w:szCs w:val="26"/>
        </w:rPr>
        <w:t>A quo</w:t>
      </w:r>
      <w:r w:rsidR="00461D48">
        <w:rPr>
          <w:rFonts w:ascii="Arial" w:eastAsia="Calibri" w:hAnsi="Arial" w:cs="Arial"/>
          <w:bCs/>
          <w:sz w:val="26"/>
          <w:szCs w:val="26"/>
        </w:rPr>
        <w:t>, estimó que la demanda fue presentada fuera del plazo legal de treinta días hábiles, porque observó que en el sobre</w:t>
      </w:r>
      <w:r w:rsidR="00461D48">
        <w:rPr>
          <w:rStyle w:val="Refdenotaalpie"/>
          <w:rFonts w:ascii="Arial" w:eastAsia="Calibri" w:hAnsi="Arial" w:cs="Arial"/>
          <w:bCs/>
          <w:sz w:val="26"/>
          <w:szCs w:val="26"/>
        </w:rPr>
        <w:footnoteReference w:id="6"/>
      </w:r>
      <w:r w:rsidR="00461D48">
        <w:rPr>
          <w:rFonts w:ascii="Arial" w:eastAsia="Calibri" w:hAnsi="Arial" w:cs="Arial"/>
          <w:bCs/>
          <w:sz w:val="26"/>
          <w:szCs w:val="26"/>
        </w:rPr>
        <w:t xml:space="preserve"> que se recibió en este Tribunal, se encuentra estampado por parte de Correos de México un sello fechado el veintisiete de junio de dos mil veintidós, data que tomó en cuenta como el día en que fue depositada la demanda en el correo.</w:t>
      </w:r>
    </w:p>
    <w:p w14:paraId="0A47D7F1" w14:textId="7D71F10E" w:rsidR="00461D48" w:rsidRPr="000028B8" w:rsidRDefault="007C426D" w:rsidP="00461D48">
      <w:pPr>
        <w:spacing w:line="360" w:lineRule="auto"/>
        <w:ind w:right="49" w:firstLine="709"/>
        <w:jc w:val="both"/>
        <w:rPr>
          <w:rFonts w:ascii="Arial" w:eastAsia="Calibri" w:hAnsi="Arial" w:cs="Arial"/>
          <w:bCs/>
          <w:sz w:val="26"/>
          <w:szCs w:val="26"/>
        </w:rPr>
      </w:pPr>
      <w:r>
        <w:rPr>
          <w:rFonts w:ascii="Arial" w:eastAsia="Calibri" w:hAnsi="Arial" w:cs="Arial"/>
          <w:bCs/>
          <w:sz w:val="26"/>
          <w:szCs w:val="26"/>
        </w:rPr>
        <w:t>21</w:t>
      </w:r>
      <w:r w:rsidR="000F31C8">
        <w:rPr>
          <w:rFonts w:ascii="Arial" w:eastAsia="Calibri" w:hAnsi="Arial" w:cs="Arial"/>
          <w:bCs/>
          <w:sz w:val="26"/>
          <w:szCs w:val="26"/>
        </w:rPr>
        <w:t xml:space="preserve">. </w:t>
      </w:r>
      <w:r w:rsidR="00461D48">
        <w:rPr>
          <w:rFonts w:ascii="Arial" w:eastAsia="Calibri" w:hAnsi="Arial" w:cs="Arial"/>
          <w:bCs/>
          <w:sz w:val="26"/>
          <w:szCs w:val="26"/>
        </w:rPr>
        <w:t>Sin embargo, en el escrito de recurso de revisión, el inconforme sostiene que depositó su demanda vía correo certificado el día veintiuno de junio de dos mil veintidós, y adjuntó un fragmento de papel para apoyar su dicho.</w:t>
      </w:r>
    </w:p>
    <w:p w14:paraId="0133F147" w14:textId="4631EB65" w:rsidR="00461D48" w:rsidRDefault="00461D48"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color w:val="000000"/>
          <w:sz w:val="26"/>
          <w:szCs w:val="26"/>
        </w:rPr>
        <w:tab/>
      </w:r>
      <w:r w:rsidR="000F31C8">
        <w:rPr>
          <w:rFonts w:ascii="Arial" w:hAnsi="Arial" w:cs="Arial"/>
          <w:color w:val="000000"/>
          <w:sz w:val="26"/>
          <w:szCs w:val="26"/>
        </w:rPr>
        <w:t>2</w:t>
      </w:r>
      <w:r w:rsidR="007C426D">
        <w:rPr>
          <w:rFonts w:ascii="Arial" w:hAnsi="Arial" w:cs="Arial"/>
          <w:color w:val="000000"/>
          <w:sz w:val="26"/>
          <w:szCs w:val="26"/>
        </w:rPr>
        <w:t>2</w:t>
      </w:r>
      <w:r w:rsidR="000F31C8">
        <w:rPr>
          <w:rFonts w:ascii="Arial" w:hAnsi="Arial" w:cs="Arial"/>
          <w:color w:val="000000"/>
          <w:sz w:val="26"/>
          <w:szCs w:val="26"/>
        </w:rPr>
        <w:t xml:space="preserve">. </w:t>
      </w:r>
      <w:r>
        <w:rPr>
          <w:rFonts w:ascii="Arial" w:eastAsia="Calibri" w:hAnsi="Arial" w:cs="Arial"/>
          <w:bCs/>
          <w:sz w:val="26"/>
          <w:szCs w:val="26"/>
        </w:rPr>
        <w:t>En virtud de lo anterior, esta instancia revisora solicitó a través de la Secretaría General de este Tribunal mediante oficio 0024/2023 de diez de abril de dos mil veintitrés</w:t>
      </w:r>
      <w:r>
        <w:rPr>
          <w:rStyle w:val="Refdenotaalpie"/>
          <w:rFonts w:ascii="Arial" w:eastAsia="Calibri" w:hAnsi="Arial" w:cs="Arial"/>
          <w:bCs/>
          <w:sz w:val="26"/>
          <w:szCs w:val="26"/>
        </w:rPr>
        <w:footnoteReference w:id="7"/>
      </w:r>
      <w:r>
        <w:rPr>
          <w:rFonts w:ascii="Arial" w:eastAsia="Calibri" w:hAnsi="Arial" w:cs="Arial"/>
          <w:bCs/>
          <w:sz w:val="26"/>
          <w:szCs w:val="26"/>
        </w:rPr>
        <w:t xml:space="preserve">, a la Dirección Regional Sur del Servicio Postal Mexicano, Gerencia Postal Estatal “Oaxaca”, </w:t>
      </w:r>
      <w:proofErr w:type="spellStart"/>
      <w:r>
        <w:rPr>
          <w:rFonts w:ascii="Arial" w:eastAsia="Calibri" w:hAnsi="Arial" w:cs="Arial"/>
          <w:bCs/>
          <w:sz w:val="26"/>
          <w:szCs w:val="26"/>
        </w:rPr>
        <w:t>Cap</w:t>
      </w:r>
      <w:proofErr w:type="spellEnd"/>
      <w:r>
        <w:rPr>
          <w:rFonts w:ascii="Arial" w:eastAsia="Calibri" w:hAnsi="Arial" w:cs="Arial"/>
          <w:bCs/>
          <w:sz w:val="26"/>
          <w:szCs w:val="26"/>
        </w:rPr>
        <w:t xml:space="preserve"> centro, Oaxaca, para que informara la fecha en que fue depositada en el correo, la pieza postal identificada con el número de guía MN684010150MX del ejercicio dos mil veintidós a nombre del remitente</w:t>
      </w:r>
      <w:r w:rsidR="007455B8">
        <w:rPr>
          <w:rFonts w:ascii="Arial" w:eastAsia="Calibri" w:hAnsi="Arial" w:cs="Arial"/>
          <w:bCs/>
          <w:sz w:val="26"/>
          <w:szCs w:val="26"/>
        </w:rPr>
        <w:t xml:space="preserve"> </w:t>
      </w:r>
      <w:r w:rsidR="007455B8">
        <w:rPr>
          <w:rFonts w:ascii="Arial" w:eastAsia="Times New Roman" w:hAnsi="Arial" w:cs="Arial"/>
          <w:sz w:val="26"/>
          <w:szCs w:val="26"/>
          <w:lang w:val="es-ES_tradnl" w:eastAsia="es-ES"/>
        </w:rPr>
        <w:t>**********</w:t>
      </w:r>
      <w:r>
        <w:rPr>
          <w:rFonts w:ascii="Arial" w:eastAsia="Calibri" w:hAnsi="Arial" w:cs="Arial"/>
          <w:bCs/>
          <w:sz w:val="26"/>
          <w:szCs w:val="26"/>
        </w:rPr>
        <w:t xml:space="preserve">, con el fin de estar en condiciones de resolver el presente asunto. </w:t>
      </w:r>
    </w:p>
    <w:p w14:paraId="40BBD12A" w14:textId="5C0AC1EF" w:rsidR="00461D48" w:rsidRDefault="00461D48"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r>
      <w:r w:rsidR="007C426D">
        <w:rPr>
          <w:rFonts w:ascii="Arial" w:eastAsia="Calibri" w:hAnsi="Arial" w:cs="Arial"/>
          <w:bCs/>
          <w:sz w:val="26"/>
          <w:szCs w:val="26"/>
        </w:rPr>
        <w:t>23</w:t>
      </w:r>
      <w:r w:rsidR="000F31C8">
        <w:rPr>
          <w:rFonts w:ascii="Arial" w:eastAsia="Calibri" w:hAnsi="Arial" w:cs="Arial"/>
          <w:bCs/>
          <w:sz w:val="26"/>
          <w:szCs w:val="26"/>
        </w:rPr>
        <w:t xml:space="preserve">. </w:t>
      </w:r>
      <w:r>
        <w:rPr>
          <w:rFonts w:ascii="Arial" w:eastAsia="Calibri" w:hAnsi="Arial" w:cs="Arial"/>
          <w:bCs/>
          <w:sz w:val="26"/>
          <w:szCs w:val="26"/>
        </w:rPr>
        <w:t xml:space="preserve">En respuesta a la solicitud referida, mediante oficio CAP/1189/2022 de diecinueve de junio de dos mil veintidós (sic), el jefe del CAP Centro, Oaxaca de la Dirección Regional Sur del Servicio Postal Mexicano, Gerencia Postal Estatal “Oaxaca”, remitió copia certificada del registro número MN684010150MX, del cual se puede observar que la fecha en que fue depositada la demanda fue el veintitrés de junio de dos mil veintidós, pues obra el sello estampado con la leyenda “Correos de México, Servicio Postal Mexicano, Dirección Regional Sur, Sucursal de Correos 68401 Loma Bonita Oaxaca, por lo tanto, se advierte que, contrariamente a lo afirmado por el recurrente, de todas maneras la demanda fue presentada fuera del plazo legal establecido en el numeral 166 de la Ley de Procedimiento y Justicia Administrativa para el Estado de Oaxaca. </w:t>
      </w:r>
    </w:p>
    <w:p w14:paraId="0053FDB9" w14:textId="5F96D258" w:rsidR="00461D48" w:rsidRDefault="00461D48"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0F31C8">
        <w:rPr>
          <w:rFonts w:ascii="Arial" w:eastAsia="Calibri" w:hAnsi="Arial" w:cs="Arial"/>
          <w:bCs/>
          <w:sz w:val="26"/>
          <w:szCs w:val="26"/>
        </w:rPr>
        <w:t>2</w:t>
      </w:r>
      <w:r w:rsidR="007C426D">
        <w:rPr>
          <w:rFonts w:ascii="Arial" w:eastAsia="Calibri" w:hAnsi="Arial" w:cs="Arial"/>
          <w:bCs/>
          <w:sz w:val="26"/>
          <w:szCs w:val="26"/>
        </w:rPr>
        <w:t>4</w:t>
      </w:r>
      <w:r w:rsidR="000F31C8">
        <w:rPr>
          <w:rFonts w:ascii="Arial" w:eastAsia="Calibri" w:hAnsi="Arial" w:cs="Arial"/>
          <w:bCs/>
          <w:sz w:val="26"/>
          <w:szCs w:val="26"/>
        </w:rPr>
        <w:t xml:space="preserve">. </w:t>
      </w:r>
      <w:r>
        <w:rPr>
          <w:rFonts w:ascii="Arial" w:eastAsia="Calibri" w:hAnsi="Arial" w:cs="Arial"/>
          <w:bCs/>
          <w:sz w:val="26"/>
          <w:szCs w:val="26"/>
        </w:rPr>
        <w:t xml:space="preserve">Aunado a lo anterior, es pertinente indicar que si bien es cierto que </w:t>
      </w:r>
      <w:r w:rsidR="007455B8">
        <w:rPr>
          <w:rFonts w:ascii="Arial" w:eastAsia="Calibri" w:hAnsi="Arial" w:cs="Arial"/>
          <w:bCs/>
          <w:sz w:val="26"/>
          <w:szCs w:val="26"/>
        </w:rPr>
        <w:t xml:space="preserve"> </w:t>
      </w:r>
      <w:r w:rsidR="007455B8">
        <w:rPr>
          <w:rFonts w:ascii="Arial" w:eastAsia="Times New Roman" w:hAnsi="Arial" w:cs="Arial"/>
          <w:sz w:val="26"/>
          <w:szCs w:val="26"/>
          <w:lang w:val="es-ES_tradnl" w:eastAsia="es-ES"/>
        </w:rPr>
        <w:t>**********</w:t>
      </w:r>
      <w:r w:rsidR="007455B8">
        <w:rPr>
          <w:rFonts w:ascii="Arial" w:eastAsia="Times New Roman" w:hAnsi="Arial" w:cs="Arial"/>
          <w:sz w:val="26"/>
          <w:szCs w:val="26"/>
          <w:lang w:val="es-ES_tradnl" w:eastAsia="es-ES"/>
        </w:rPr>
        <w:t xml:space="preserve"> </w:t>
      </w:r>
      <w:r>
        <w:rPr>
          <w:rFonts w:ascii="Arial" w:eastAsia="Calibri" w:hAnsi="Arial" w:cs="Arial"/>
          <w:bCs/>
          <w:sz w:val="26"/>
          <w:szCs w:val="26"/>
        </w:rPr>
        <w:t>adjuntó a su recurso de revisión el supuesto acuse del número de guía que le fue entregado al depositar su demanda en la Oficina de Correos de Loma Bonita, Oaxaca, lo cierto es también que en este fragmento de papel no se observa ningún dato relativo al lugar de expedición o al nombre de la oficina postal en la que fue depositada la pieza, o que dé certeza a esta instancia revisora de que la demanda fue entregada en Correos de México en la fecha señalada por el actor, aunado a que el actor no aportó mayores elementos de prueba para acreditar su dicho, ya que la carga de la prueba le corresponde a quien afirma, en términos de lo dispuesto en el artículo 280</w:t>
      </w:r>
      <w:r>
        <w:rPr>
          <w:rStyle w:val="Refdenotaalpie"/>
          <w:rFonts w:ascii="Arial" w:eastAsia="Calibri" w:hAnsi="Arial" w:cs="Arial"/>
          <w:bCs/>
          <w:sz w:val="26"/>
          <w:szCs w:val="26"/>
        </w:rPr>
        <w:footnoteReference w:id="8"/>
      </w:r>
      <w:r>
        <w:rPr>
          <w:rFonts w:ascii="Arial" w:eastAsia="Calibri" w:hAnsi="Arial" w:cs="Arial"/>
          <w:bCs/>
          <w:sz w:val="26"/>
          <w:szCs w:val="26"/>
        </w:rPr>
        <w:t xml:space="preserve"> del Código de Procedimientos Civiles para el Estado de Oaxaca, de aplicación supletoria al trámite de este medio de defensa, en términos del artículo 1 de la Ley de Procedimiento y Justicia Administrativa para el Estado de Oaxaca.</w:t>
      </w:r>
      <w:r w:rsidRPr="004E6B06">
        <w:rPr>
          <w:rFonts w:ascii="Arial" w:eastAsia="Calibri" w:hAnsi="Arial" w:cs="Arial"/>
          <w:bCs/>
          <w:sz w:val="26"/>
          <w:szCs w:val="26"/>
        </w:rPr>
        <w:t xml:space="preserve"> </w:t>
      </w:r>
      <w:r>
        <w:rPr>
          <w:rFonts w:ascii="Arial" w:eastAsia="Calibri" w:hAnsi="Arial" w:cs="Arial"/>
          <w:bCs/>
          <w:sz w:val="26"/>
          <w:szCs w:val="26"/>
        </w:rPr>
        <w:t xml:space="preserve">De ahí lo </w:t>
      </w:r>
      <w:r w:rsidRPr="000028B8">
        <w:rPr>
          <w:rFonts w:ascii="Arial" w:eastAsia="Calibri" w:hAnsi="Arial" w:cs="Arial"/>
          <w:b/>
          <w:bCs/>
          <w:sz w:val="26"/>
          <w:szCs w:val="26"/>
        </w:rPr>
        <w:t xml:space="preserve">INFUNDADO </w:t>
      </w:r>
      <w:r>
        <w:rPr>
          <w:rFonts w:ascii="Arial" w:eastAsia="Calibri" w:hAnsi="Arial" w:cs="Arial"/>
          <w:bCs/>
          <w:sz w:val="26"/>
          <w:szCs w:val="26"/>
        </w:rPr>
        <w:t xml:space="preserve">del agravio. </w:t>
      </w:r>
    </w:p>
    <w:p w14:paraId="31394965" w14:textId="6D6E0358" w:rsidR="00461D48" w:rsidRPr="004E6B06" w:rsidRDefault="00461D48" w:rsidP="00461D4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7C426D">
        <w:rPr>
          <w:rFonts w:ascii="Arial" w:eastAsia="Calibri" w:hAnsi="Arial" w:cs="Arial"/>
          <w:bCs/>
          <w:sz w:val="26"/>
          <w:szCs w:val="26"/>
        </w:rPr>
        <w:t>25</w:t>
      </w:r>
      <w:r w:rsidR="000F31C8">
        <w:rPr>
          <w:rFonts w:ascii="Arial" w:eastAsia="Calibri" w:hAnsi="Arial" w:cs="Arial"/>
          <w:bCs/>
          <w:sz w:val="26"/>
          <w:szCs w:val="26"/>
        </w:rPr>
        <w:t xml:space="preserve">. </w:t>
      </w:r>
      <w:r>
        <w:rPr>
          <w:rFonts w:ascii="Arial" w:eastAsia="Calibri" w:hAnsi="Arial" w:cs="Arial"/>
          <w:bCs/>
          <w:sz w:val="26"/>
          <w:szCs w:val="26"/>
        </w:rPr>
        <w:t>En apoyo a lo anterior, se invoca la tesis VIII.2o.60 A, con registro digital</w:t>
      </w:r>
      <w:r w:rsidRPr="004E6B06">
        <w:rPr>
          <w:rFonts w:ascii="Arial" w:eastAsia="Calibri" w:hAnsi="Arial" w:cs="Arial"/>
          <w:bCs/>
          <w:sz w:val="26"/>
          <w:szCs w:val="26"/>
        </w:rPr>
        <w:t xml:space="preserve"> 193220</w:t>
      </w:r>
      <w:r>
        <w:rPr>
          <w:rFonts w:ascii="Arial" w:eastAsia="Calibri" w:hAnsi="Arial" w:cs="Arial"/>
          <w:bCs/>
          <w:sz w:val="26"/>
          <w:szCs w:val="26"/>
        </w:rPr>
        <w:t xml:space="preserve">, emitida por los </w:t>
      </w:r>
      <w:r w:rsidRPr="004E6B06">
        <w:rPr>
          <w:rFonts w:ascii="Arial" w:eastAsia="Calibri" w:hAnsi="Arial" w:cs="Arial"/>
          <w:bCs/>
          <w:sz w:val="26"/>
          <w:szCs w:val="26"/>
        </w:rPr>
        <w:t>Tribunales Colegiados de Circuito</w:t>
      </w:r>
      <w:r>
        <w:rPr>
          <w:rFonts w:ascii="Arial" w:eastAsia="Calibri" w:hAnsi="Arial" w:cs="Arial"/>
          <w:bCs/>
          <w:sz w:val="26"/>
          <w:szCs w:val="26"/>
        </w:rPr>
        <w:t xml:space="preserve">, en la Novena Época, visible en el </w:t>
      </w:r>
      <w:r w:rsidRPr="004E6B06">
        <w:rPr>
          <w:rFonts w:ascii="Arial" w:eastAsia="Calibri" w:hAnsi="Arial" w:cs="Arial"/>
          <w:bCs/>
          <w:sz w:val="26"/>
          <w:szCs w:val="26"/>
        </w:rPr>
        <w:t xml:space="preserve">Semanario Judicial de la Federación y su Gaceta. Tomo X, </w:t>
      </w:r>
      <w:proofErr w:type="gramStart"/>
      <w:r w:rsidRPr="004E6B06">
        <w:rPr>
          <w:rFonts w:ascii="Arial" w:eastAsia="Calibri" w:hAnsi="Arial" w:cs="Arial"/>
          <w:bCs/>
          <w:sz w:val="26"/>
          <w:szCs w:val="26"/>
        </w:rPr>
        <w:t>Octubre</w:t>
      </w:r>
      <w:proofErr w:type="gramEnd"/>
      <w:r w:rsidRPr="004E6B06">
        <w:rPr>
          <w:rFonts w:ascii="Arial" w:eastAsia="Calibri" w:hAnsi="Arial" w:cs="Arial"/>
          <w:bCs/>
          <w:sz w:val="26"/>
          <w:szCs w:val="26"/>
        </w:rPr>
        <w:t xml:space="preserve"> de 1999, página 1263</w:t>
      </w:r>
      <w:r>
        <w:rPr>
          <w:rFonts w:ascii="Arial" w:eastAsia="Calibri" w:hAnsi="Arial" w:cs="Arial"/>
          <w:bCs/>
          <w:sz w:val="26"/>
          <w:szCs w:val="26"/>
        </w:rPr>
        <w:t xml:space="preserve">, de rubro y texto siguientes: </w:t>
      </w:r>
    </w:p>
    <w:p w14:paraId="4D07FB4E" w14:textId="77777777" w:rsidR="007D4A5C" w:rsidRDefault="007D4A5C" w:rsidP="00461D48">
      <w:pPr>
        <w:widowControl w:val="0"/>
        <w:spacing w:before="240" w:after="0" w:line="360" w:lineRule="auto"/>
        <w:ind w:left="567" w:right="616"/>
        <w:jc w:val="both"/>
        <w:rPr>
          <w:rFonts w:ascii="Arial" w:eastAsia="Calibri" w:hAnsi="Arial" w:cs="Arial"/>
          <w:b/>
          <w:bCs/>
          <w:i/>
        </w:rPr>
      </w:pPr>
    </w:p>
    <w:p w14:paraId="7DC18174" w14:textId="77777777" w:rsidR="00461D48" w:rsidRPr="007C426D" w:rsidRDefault="00461D48" w:rsidP="00461D48">
      <w:pPr>
        <w:widowControl w:val="0"/>
        <w:spacing w:before="240" w:after="0" w:line="360" w:lineRule="auto"/>
        <w:ind w:left="567" w:right="616"/>
        <w:jc w:val="both"/>
        <w:rPr>
          <w:rFonts w:ascii="Arial" w:eastAsia="Calibri" w:hAnsi="Arial" w:cs="Arial"/>
          <w:b/>
          <w:bCs/>
          <w:i/>
        </w:rPr>
      </w:pPr>
      <w:r w:rsidRPr="007C426D">
        <w:rPr>
          <w:rFonts w:ascii="Arial" w:eastAsia="Calibri" w:hAnsi="Arial" w:cs="Arial"/>
          <w:b/>
          <w:bCs/>
          <w:i/>
        </w:rPr>
        <w:t>“DEMANDA DE NULIDAD. SU ENVÍO POR CORREO CERTIFICADO DEBE ACREDITARSE CON EL ACUSE DE RECIBO.</w:t>
      </w:r>
    </w:p>
    <w:p w14:paraId="03903E99" w14:textId="77777777" w:rsidR="00461D48" w:rsidRPr="004E6B06" w:rsidRDefault="00461D48" w:rsidP="00461D48">
      <w:pPr>
        <w:widowControl w:val="0"/>
        <w:spacing w:before="240" w:after="0" w:line="360" w:lineRule="auto"/>
        <w:ind w:left="567" w:right="616"/>
        <w:jc w:val="both"/>
        <w:rPr>
          <w:rFonts w:ascii="Arial" w:eastAsia="Calibri" w:hAnsi="Arial" w:cs="Arial"/>
          <w:bCs/>
          <w:i/>
        </w:rPr>
      </w:pPr>
      <w:r w:rsidRPr="004E6B06">
        <w:rPr>
          <w:rFonts w:ascii="Arial" w:eastAsia="Calibri" w:hAnsi="Arial" w:cs="Arial"/>
          <w:bCs/>
          <w:i/>
        </w:rPr>
        <w:t xml:space="preserve">El artículo 207, segundo párrafo, del Código Fiscal de la Federación, contempla </w:t>
      </w:r>
      <w:r w:rsidRPr="004E6B06">
        <w:rPr>
          <w:rFonts w:ascii="Arial" w:eastAsia="Calibri" w:hAnsi="Arial" w:cs="Arial"/>
          <w:bCs/>
          <w:i/>
        </w:rPr>
        <w:lastRenderedPageBreak/>
        <w:t>que la demanda podrá enviarse por correo certificado con acuse de recibo, si el demandante tiene su domicilio fiscal fuera de la población donde esté la sede de la Sala o cuando ésta se encuentre en el Distrito Federal y el domicilio fuera de él, siempre que el envío se efectúe en el lugar en que resida el demandante. Ahora bien, si el accionante no acreditó que utilizó el servicio de correo certificado con acuse de recibo, entonces, en términos del artículo 68 del Código Fiscal de la Federación, se presume que envió la demanda por un sistema de paquetería ordinario, según la guía de depósito que obra en el juicio de nulidad, de la cual no se desprende algún indicio del que se pueda concluir que hizo uso del servicio que prevé el precepto legal citado con anterioridad; por tanto, al recibirse extemporáneamente la demanda de nulidad, su desechamiento se ajusta a derecho. Lo anterior es así, pues de acuerdo con lo establecido por el artículo 42 de la Ley del Servicio Postal Mexicano, el servicio de acuse de recibo de envíos o de correspondencia registrados, consiste en recabar en un documento especial, la firma de recepción del destinatario o de su representante legal y en entregar ese documento al remitente, para acreditar que la demanda se presentó con la oportunidad debida.</w:t>
      </w:r>
    </w:p>
    <w:p w14:paraId="4FBE2602" w14:textId="77777777" w:rsidR="00461D48" w:rsidRPr="004E6B06" w:rsidRDefault="00461D48" w:rsidP="00461D48">
      <w:pPr>
        <w:widowControl w:val="0"/>
        <w:spacing w:before="240" w:line="360" w:lineRule="auto"/>
        <w:ind w:left="567" w:right="616"/>
        <w:jc w:val="both"/>
        <w:rPr>
          <w:rFonts w:ascii="Arial" w:eastAsia="Calibri" w:hAnsi="Arial" w:cs="Arial"/>
          <w:bCs/>
        </w:rPr>
      </w:pPr>
      <w:r w:rsidRPr="004E6B06">
        <w:rPr>
          <w:rFonts w:ascii="Arial" w:eastAsia="Calibri" w:hAnsi="Arial" w:cs="Arial"/>
          <w:bCs/>
          <w:i/>
        </w:rPr>
        <w:t>SEGUNDO TRIBUNAL COLEGIADO DEL OCTAVO CIRCUITO.</w:t>
      </w:r>
      <w:r>
        <w:rPr>
          <w:rFonts w:ascii="Arial" w:eastAsia="Calibri" w:hAnsi="Arial" w:cs="Arial"/>
          <w:bCs/>
          <w:i/>
        </w:rPr>
        <w:t>”</w:t>
      </w:r>
    </w:p>
    <w:p w14:paraId="4640B1D5" w14:textId="77777777" w:rsidR="007D4A5C" w:rsidRDefault="007D4A5C" w:rsidP="007C426D">
      <w:pPr>
        <w:widowControl w:val="0"/>
        <w:spacing w:before="240" w:line="360" w:lineRule="auto"/>
        <w:ind w:left="-142" w:right="18" w:firstLine="850"/>
        <w:jc w:val="both"/>
        <w:rPr>
          <w:rFonts w:ascii="Arial" w:hAnsi="Arial" w:cs="Arial"/>
          <w:b/>
          <w:snapToGrid w:val="0"/>
          <w:sz w:val="26"/>
          <w:szCs w:val="26"/>
        </w:rPr>
      </w:pPr>
    </w:p>
    <w:p w14:paraId="34C1B204" w14:textId="77777777" w:rsidR="007C426D" w:rsidRPr="00C963A1" w:rsidRDefault="007C426D" w:rsidP="007C426D">
      <w:pPr>
        <w:widowControl w:val="0"/>
        <w:spacing w:before="240" w:line="360" w:lineRule="auto"/>
        <w:ind w:left="-142" w:right="18" w:firstLine="850"/>
        <w:jc w:val="both"/>
        <w:rPr>
          <w:rFonts w:ascii="Arial" w:hAnsi="Arial" w:cs="Arial"/>
          <w:b/>
          <w:snapToGrid w:val="0"/>
          <w:sz w:val="26"/>
          <w:szCs w:val="26"/>
        </w:rPr>
      </w:pPr>
      <w:r>
        <w:rPr>
          <w:rFonts w:ascii="Arial" w:hAnsi="Arial" w:cs="Arial"/>
          <w:b/>
          <w:snapToGrid w:val="0"/>
          <w:sz w:val="26"/>
          <w:szCs w:val="26"/>
        </w:rPr>
        <w:t>CUARTO. DECISIÓN.</w:t>
      </w:r>
    </w:p>
    <w:p w14:paraId="3EFC4D9C" w14:textId="570F73DC" w:rsidR="007D4A5C" w:rsidRDefault="00461D48" w:rsidP="007455B8">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0F31C8">
        <w:rPr>
          <w:rFonts w:ascii="Arial" w:eastAsia="Calibri" w:hAnsi="Arial" w:cs="Arial"/>
          <w:bCs/>
          <w:sz w:val="26"/>
          <w:szCs w:val="26"/>
        </w:rPr>
        <w:t>2</w:t>
      </w:r>
      <w:r w:rsidR="007C426D">
        <w:rPr>
          <w:rFonts w:ascii="Arial" w:eastAsia="Calibri" w:hAnsi="Arial" w:cs="Arial"/>
          <w:bCs/>
          <w:sz w:val="26"/>
          <w:szCs w:val="26"/>
        </w:rPr>
        <w:t>6</w:t>
      </w:r>
      <w:r w:rsidR="000F31C8">
        <w:rPr>
          <w:rFonts w:ascii="Arial" w:eastAsia="Calibri" w:hAnsi="Arial" w:cs="Arial"/>
          <w:bCs/>
          <w:sz w:val="26"/>
          <w:szCs w:val="26"/>
        </w:rPr>
        <w:t xml:space="preserve">. </w:t>
      </w:r>
      <w:r>
        <w:rPr>
          <w:rFonts w:ascii="Arial" w:eastAsia="Calibri" w:hAnsi="Arial" w:cs="Arial"/>
          <w:bCs/>
          <w:sz w:val="26"/>
          <w:szCs w:val="26"/>
        </w:rPr>
        <w:t>En virtud de lo anterior, atendiendo a las consideraciones anteriormente expuestas, es procedente</w:t>
      </w:r>
      <w:r>
        <w:rPr>
          <w:rFonts w:ascii="Arial" w:eastAsia="Calibri" w:hAnsi="Arial" w:cs="Arial"/>
          <w:b/>
          <w:bCs/>
          <w:sz w:val="26"/>
          <w:szCs w:val="26"/>
        </w:rPr>
        <w:t xml:space="preserve"> CONFIRMAR </w:t>
      </w:r>
      <w:r>
        <w:rPr>
          <w:rFonts w:ascii="Arial" w:eastAsia="Calibri" w:hAnsi="Arial" w:cs="Arial"/>
          <w:sz w:val="26"/>
          <w:szCs w:val="26"/>
        </w:rPr>
        <w:t>el</w:t>
      </w:r>
      <w:r w:rsidRPr="00867780">
        <w:rPr>
          <w:rFonts w:ascii="Arial" w:eastAsia="Calibri" w:hAnsi="Arial" w:cs="Arial"/>
          <w:sz w:val="26"/>
          <w:szCs w:val="26"/>
        </w:rPr>
        <w:t xml:space="preserve"> </w:t>
      </w:r>
      <w:r>
        <w:rPr>
          <w:rFonts w:ascii="Arial" w:eastAsia="Calibri" w:hAnsi="Arial" w:cs="Arial"/>
          <w:sz w:val="26"/>
          <w:szCs w:val="26"/>
        </w:rPr>
        <w:t xml:space="preserve">acuerdo de ocho de septiembre de dos mil veintidós, </w:t>
      </w:r>
      <w:r w:rsidRPr="00867780">
        <w:rPr>
          <w:rFonts w:ascii="Arial" w:eastAsia="Calibri" w:hAnsi="Arial" w:cs="Arial"/>
          <w:sz w:val="26"/>
          <w:szCs w:val="26"/>
        </w:rPr>
        <w:t>por las consideraciones expuestas por esta</w:t>
      </w:r>
      <w:r>
        <w:rPr>
          <w:rFonts w:ascii="Arial" w:eastAsia="Calibri" w:hAnsi="Arial" w:cs="Arial"/>
          <w:sz w:val="26"/>
          <w:szCs w:val="26"/>
        </w:rPr>
        <w:t xml:space="preserve"> Sala Superior</w:t>
      </w:r>
      <w:r w:rsidRPr="00867780">
        <w:rPr>
          <w:rFonts w:ascii="Arial" w:eastAsia="Calibri" w:hAnsi="Arial" w:cs="Arial"/>
          <w:sz w:val="26"/>
          <w:szCs w:val="26"/>
        </w:rPr>
        <w:t>,</w:t>
      </w:r>
      <w:r>
        <w:rPr>
          <w:rFonts w:ascii="Arial" w:eastAsia="Calibri" w:hAnsi="Arial" w:cs="Arial"/>
          <w:bCs/>
          <w:sz w:val="26"/>
          <w:szCs w:val="26"/>
        </w:rPr>
        <w:t xml:space="preserve"> </w:t>
      </w:r>
      <w:r w:rsidRPr="006406CE">
        <w:rPr>
          <w:rFonts w:ascii="Arial" w:eastAsia="Calibri" w:hAnsi="Arial" w:cs="Arial"/>
          <w:sz w:val="26"/>
          <w:szCs w:val="26"/>
        </w:rPr>
        <w:t xml:space="preserve">y con </w:t>
      </w:r>
      <w:r>
        <w:rPr>
          <w:rFonts w:ascii="Arial" w:eastAsia="Calibri" w:hAnsi="Arial" w:cs="Arial"/>
          <w:sz w:val="26"/>
          <w:szCs w:val="26"/>
        </w:rPr>
        <w:t xml:space="preserve">fundamento en los artículos 236 </w:t>
      </w:r>
      <w:r w:rsidRPr="006406CE">
        <w:rPr>
          <w:rFonts w:ascii="Arial" w:eastAsia="Calibri" w:hAnsi="Arial" w:cs="Arial"/>
          <w:sz w:val="26"/>
          <w:szCs w:val="26"/>
        </w:rPr>
        <w:t>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p>
    <w:p w14:paraId="58CBD7C7" w14:textId="77777777" w:rsidR="007455B8" w:rsidRPr="007455B8" w:rsidRDefault="007455B8" w:rsidP="007455B8">
      <w:pPr>
        <w:widowControl w:val="0"/>
        <w:tabs>
          <w:tab w:val="left" w:pos="0"/>
        </w:tabs>
        <w:spacing w:before="240" w:after="0" w:line="360" w:lineRule="auto"/>
        <w:ind w:right="18"/>
        <w:jc w:val="both"/>
        <w:rPr>
          <w:rFonts w:ascii="Arial" w:hAnsi="Arial" w:cs="Arial"/>
          <w:sz w:val="26"/>
          <w:szCs w:val="26"/>
        </w:rPr>
      </w:pPr>
    </w:p>
    <w:p w14:paraId="10BA3488" w14:textId="77777777" w:rsidR="00461D48" w:rsidRPr="00E0662D" w:rsidRDefault="00461D48" w:rsidP="00461D48">
      <w:pPr>
        <w:pStyle w:val="Sinespaciado"/>
        <w:spacing w:before="240" w:line="360" w:lineRule="auto"/>
        <w:jc w:val="center"/>
        <w:rPr>
          <w:rFonts w:ascii="Arial" w:hAnsi="Arial" w:cs="Arial"/>
          <w:b/>
          <w:sz w:val="26"/>
          <w:szCs w:val="26"/>
        </w:rPr>
      </w:pPr>
      <w:r>
        <w:rPr>
          <w:rFonts w:ascii="Arial" w:hAnsi="Arial" w:cs="Arial"/>
          <w:b/>
          <w:sz w:val="26"/>
          <w:szCs w:val="26"/>
        </w:rPr>
        <w:t xml:space="preserve">3. </w:t>
      </w:r>
      <w:r w:rsidRPr="00E0662D">
        <w:rPr>
          <w:rFonts w:ascii="Arial" w:hAnsi="Arial" w:cs="Arial"/>
          <w:b/>
          <w:sz w:val="26"/>
          <w:szCs w:val="26"/>
        </w:rPr>
        <w:t>R E S U E L V E</w:t>
      </w:r>
    </w:p>
    <w:p w14:paraId="527DFF53" w14:textId="7BF8A925" w:rsidR="00461D48" w:rsidRPr="00E0662D" w:rsidRDefault="00461D48" w:rsidP="00461D48">
      <w:pPr>
        <w:pStyle w:val="Sinespaciado"/>
        <w:spacing w:before="240" w:line="360" w:lineRule="auto"/>
        <w:ind w:firstLine="708"/>
        <w:jc w:val="both"/>
        <w:rPr>
          <w:rFonts w:ascii="Arial" w:hAnsi="Arial" w:cs="Arial"/>
          <w:b/>
          <w:color w:val="000000"/>
          <w:sz w:val="26"/>
          <w:szCs w:val="26"/>
        </w:rPr>
      </w:pPr>
      <w:r w:rsidRPr="00E0662D">
        <w:rPr>
          <w:rFonts w:ascii="Arial" w:hAnsi="Arial" w:cs="Arial"/>
          <w:b/>
          <w:color w:val="000000"/>
          <w:sz w:val="26"/>
          <w:szCs w:val="26"/>
        </w:rPr>
        <w:t>PRIMERO</w:t>
      </w:r>
      <w:r w:rsidRPr="00E0662D">
        <w:rPr>
          <w:rFonts w:ascii="Arial" w:hAnsi="Arial" w:cs="Arial"/>
          <w:color w:val="000000"/>
          <w:sz w:val="26"/>
          <w:szCs w:val="26"/>
        </w:rPr>
        <w:t>. Se</w:t>
      </w:r>
      <w:r w:rsidRPr="00E0662D">
        <w:rPr>
          <w:rFonts w:ascii="Arial" w:hAnsi="Arial" w:cs="Arial"/>
          <w:b/>
          <w:color w:val="000000"/>
          <w:sz w:val="26"/>
          <w:szCs w:val="26"/>
        </w:rPr>
        <w:t xml:space="preserve"> CONFIRMA </w:t>
      </w:r>
      <w:r w:rsidRPr="00E0662D">
        <w:rPr>
          <w:rFonts w:ascii="Arial" w:eastAsia="Calibri" w:hAnsi="Arial" w:cs="Arial"/>
          <w:sz w:val="26"/>
          <w:szCs w:val="26"/>
        </w:rPr>
        <w:t>el acuerdo de ocho de septiembre de dos mil veintidós</w:t>
      </w:r>
      <w:r w:rsidRPr="00E0662D">
        <w:rPr>
          <w:rFonts w:ascii="Arial" w:hAnsi="Arial" w:cs="Arial"/>
          <w:bCs/>
          <w:color w:val="000000"/>
          <w:sz w:val="26"/>
          <w:szCs w:val="26"/>
        </w:rPr>
        <w:t>,</w:t>
      </w:r>
      <w:r w:rsidRPr="00E0662D">
        <w:rPr>
          <w:rFonts w:ascii="Arial" w:hAnsi="Arial" w:cs="Arial"/>
          <w:color w:val="000000"/>
          <w:sz w:val="26"/>
          <w:szCs w:val="26"/>
        </w:rPr>
        <w:t xml:space="preserve"> por las razones expuestas por esta Sala Superior en el considerando que antecede. - - - - - - - - - - - - - - - - - - - - - - - - - - - - - -</w:t>
      </w:r>
      <w:r w:rsidR="000F31C8">
        <w:rPr>
          <w:rFonts w:ascii="Arial" w:hAnsi="Arial" w:cs="Arial"/>
          <w:color w:val="000000"/>
          <w:sz w:val="26"/>
          <w:szCs w:val="26"/>
        </w:rPr>
        <w:t xml:space="preserve"> - - - - -</w:t>
      </w:r>
    </w:p>
    <w:p w14:paraId="46B8FCA7" w14:textId="0761980A" w:rsidR="00461D48" w:rsidRPr="00E0662D" w:rsidRDefault="00461D48" w:rsidP="000F31C8">
      <w:pPr>
        <w:widowControl w:val="0"/>
        <w:tabs>
          <w:tab w:val="left" w:pos="0"/>
        </w:tabs>
        <w:spacing w:before="240" w:line="360" w:lineRule="auto"/>
        <w:ind w:right="18"/>
        <w:jc w:val="both"/>
        <w:rPr>
          <w:rFonts w:ascii="Arial" w:hAnsi="Arial" w:cs="Arial"/>
          <w:sz w:val="26"/>
          <w:szCs w:val="26"/>
        </w:rPr>
      </w:pPr>
      <w:r w:rsidRPr="00E0662D">
        <w:rPr>
          <w:rFonts w:ascii="Arial" w:hAnsi="Arial" w:cs="Arial"/>
          <w:b/>
          <w:sz w:val="26"/>
          <w:szCs w:val="26"/>
        </w:rPr>
        <w:tab/>
        <w:t>SEGUNDO. - NOTIFÍQUESE Y CÚMPLASE,</w:t>
      </w:r>
      <w:r w:rsidRPr="00E0662D">
        <w:rPr>
          <w:rFonts w:ascii="Arial" w:hAnsi="Arial" w:cs="Arial"/>
          <w:sz w:val="26"/>
          <w:szCs w:val="26"/>
        </w:rPr>
        <w:t xml:space="preserve"> remítase copia certificada de la presente resolución a la Segunda Sala Unitaria de Primera Instancia de este Tribunal y en su oportunidad archívese el presente cuaderno de revisión como asunto concluido. - - - - - - - - - - - - </w:t>
      </w:r>
      <w:r w:rsidR="000F31C8">
        <w:rPr>
          <w:rFonts w:ascii="Arial" w:hAnsi="Arial" w:cs="Arial"/>
          <w:sz w:val="26"/>
          <w:szCs w:val="26"/>
        </w:rPr>
        <w:t>- - - - - - - - - -</w:t>
      </w:r>
    </w:p>
    <w:p w14:paraId="3E9B4A91" w14:textId="6671D65B" w:rsidR="00CC2EBB" w:rsidRDefault="00F47A37" w:rsidP="002417AF">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B979B6">
        <w:rPr>
          <w:rFonts w:ascii="Arial" w:eastAsia="Times New Roman" w:hAnsi="Arial" w:cs="Arial"/>
          <w:sz w:val="26"/>
          <w:szCs w:val="26"/>
          <w:lang w:val="es-ES" w:eastAsia="es-ES"/>
        </w:rPr>
        <w:t xml:space="preserve"> (</w:t>
      </w:r>
      <w:r w:rsidR="00B979B6">
        <w:rPr>
          <w:rFonts w:ascii="Arial" w:eastAsia="Times New Roman" w:hAnsi="Arial" w:cs="Arial"/>
          <w:b/>
          <w:sz w:val="26"/>
          <w:szCs w:val="26"/>
          <w:lang w:val="es-ES" w:eastAsia="es-ES"/>
        </w:rPr>
        <w:t>ponente)</w:t>
      </w:r>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w:t>
      </w:r>
      <w:r>
        <w:rPr>
          <w:rFonts w:ascii="Arial" w:eastAsia="Times New Roman" w:hAnsi="Arial" w:cs="Arial"/>
          <w:sz w:val="26"/>
          <w:szCs w:val="26"/>
          <w:lang w:val="es-ES" w:eastAsia="es-ES"/>
        </w:rPr>
        <w:lastRenderedPageBreak/>
        <w:t xml:space="preserve">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r w:rsidR="00B979B6">
        <w:rPr>
          <w:rFonts w:ascii="Arial" w:eastAsia="Times New Roman" w:hAnsi="Arial" w:cs="Arial"/>
          <w:sz w:val="26"/>
          <w:szCs w:val="26"/>
          <w:lang w:val="es-ES" w:eastAsia="es-ES"/>
        </w:rPr>
        <w:t xml:space="preserve"> - - - - - - -</w:t>
      </w:r>
    </w:p>
    <w:p w14:paraId="055DDA90" w14:textId="4CDEBEB5" w:rsidR="00790CBB" w:rsidRDefault="00790CBB" w:rsidP="00F47A37">
      <w:pPr>
        <w:widowControl w:val="0"/>
        <w:spacing w:line="360" w:lineRule="auto"/>
        <w:ind w:right="51" w:firstLine="567"/>
        <w:jc w:val="both"/>
        <w:rPr>
          <w:rFonts w:ascii="Arial" w:eastAsia="Times New Roman" w:hAnsi="Arial" w:cs="Arial"/>
          <w:sz w:val="26"/>
          <w:szCs w:val="26"/>
          <w:lang w:val="es-ES" w:eastAsia="es-ES"/>
        </w:rPr>
      </w:pPr>
    </w:p>
    <w:p w14:paraId="184709DC" w14:textId="77777777" w:rsidR="000F31C8" w:rsidRDefault="000F31C8"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1D436F65" w:rsidR="00F47A37" w:rsidRDefault="00F47A37" w:rsidP="00461D48">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3F152951" w14:textId="19B894CD" w:rsidR="00461D48" w:rsidRDefault="00461D48"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7C968AF2" w14:textId="6AE4CEF6" w:rsidR="00790CBB" w:rsidRDefault="00790CBB" w:rsidP="00F47A37">
      <w:pPr>
        <w:widowControl w:val="0"/>
        <w:spacing w:line="360" w:lineRule="auto"/>
        <w:ind w:right="51" w:firstLine="567"/>
        <w:jc w:val="center"/>
        <w:rPr>
          <w:rFonts w:ascii="Arial" w:eastAsia="Times New Roman" w:hAnsi="Arial" w:cs="Arial"/>
          <w:sz w:val="26"/>
          <w:szCs w:val="26"/>
          <w:lang w:val="es-ES" w:eastAsia="es-ES"/>
        </w:rPr>
      </w:pPr>
    </w:p>
    <w:p w14:paraId="110C2AB4" w14:textId="77777777"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200065B1" w14:textId="5BFBFDCE"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6D44BB86" w14:textId="7CFDB2B6"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2BBDF903"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C76F626" w14:textId="3D36D532"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7B9DAA3D" w14:textId="0D8C92B8"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64E56765"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sectPr w:rsidR="00E34A79" w:rsidSect="007455B8">
      <w:headerReference w:type="even" r:id="rId10"/>
      <w:headerReference w:type="default" r:id="rId11"/>
      <w:footerReference w:type="default" r:id="rId12"/>
      <w:headerReference w:type="first" r:id="rId13"/>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F58B2" w14:textId="77777777" w:rsidR="00275623" w:rsidRDefault="00275623" w:rsidP="00604752">
      <w:pPr>
        <w:spacing w:after="0" w:line="240" w:lineRule="auto"/>
      </w:pPr>
      <w:r>
        <w:separator/>
      </w:r>
    </w:p>
  </w:endnote>
  <w:endnote w:type="continuationSeparator" w:id="0">
    <w:p w14:paraId="29AB2DB8" w14:textId="77777777" w:rsidR="00275623" w:rsidRDefault="0027562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18610" w14:textId="77777777" w:rsidR="00275623" w:rsidRDefault="00275623" w:rsidP="00604752">
      <w:pPr>
        <w:spacing w:after="0" w:line="240" w:lineRule="auto"/>
      </w:pPr>
      <w:r>
        <w:separator/>
      </w:r>
    </w:p>
  </w:footnote>
  <w:footnote w:type="continuationSeparator" w:id="0">
    <w:p w14:paraId="30D8869B" w14:textId="77777777" w:rsidR="00275623" w:rsidRDefault="00275623" w:rsidP="00604752">
      <w:pPr>
        <w:spacing w:after="0" w:line="240" w:lineRule="auto"/>
      </w:pPr>
      <w:r>
        <w:continuationSeparator/>
      </w:r>
    </w:p>
  </w:footnote>
  <w:footnote w:id="1">
    <w:p w14:paraId="71B210C7" w14:textId="1511C6B7" w:rsidR="003C3183" w:rsidRPr="007C426D" w:rsidRDefault="003C3183"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bCs/>
          <w:i/>
          <w:color w:val="000000"/>
        </w:rPr>
        <w:t>“CONCEPTOS DE VIOLACIÓN. NO ES OBLIGATORIO TRANSCRIBIRLOS EN LA SENTENCIA</w:t>
      </w:r>
      <w:r w:rsidRPr="007C426D">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3C4E802F" w14:textId="3FA670D9" w:rsidR="00461D48" w:rsidRPr="007C426D" w:rsidRDefault="00461D48" w:rsidP="000F31C8">
      <w:pPr>
        <w:spacing w:after="240"/>
        <w:ind w:right="49"/>
        <w:jc w:val="both"/>
        <w:rPr>
          <w:rFonts w:ascii="Arial" w:hAnsi="Arial" w:cs="Arial"/>
          <w:i/>
          <w:sz w:val="20"/>
          <w:szCs w:val="20"/>
        </w:rPr>
      </w:pPr>
      <w:r w:rsidRPr="007C426D">
        <w:rPr>
          <w:rStyle w:val="Refdenotaalpie"/>
          <w:rFonts w:ascii="Arial" w:hAnsi="Arial" w:cs="Arial"/>
          <w:i/>
          <w:sz w:val="20"/>
          <w:szCs w:val="20"/>
        </w:rPr>
        <w:footnoteRef/>
      </w:r>
      <w:r w:rsidRPr="007C426D">
        <w:rPr>
          <w:rFonts w:ascii="Arial" w:hAnsi="Arial" w:cs="Arial"/>
          <w:i/>
          <w:sz w:val="20"/>
          <w:szCs w:val="20"/>
        </w:rPr>
        <w:t xml:space="preserve"> </w:t>
      </w:r>
      <w:r w:rsidRPr="007C426D">
        <w:rPr>
          <w:rFonts w:ascii="Arial" w:hAnsi="Arial" w:cs="Arial"/>
          <w:b/>
          <w:i/>
          <w:sz w:val="20"/>
          <w:szCs w:val="20"/>
        </w:rPr>
        <w:t>“ARTÍCULO 166.-</w:t>
      </w:r>
      <w:r w:rsidRPr="007C426D">
        <w:rPr>
          <w:rFonts w:ascii="Arial" w:hAnsi="Arial" w:cs="Arial"/>
          <w:i/>
          <w:sz w:val="20"/>
          <w:szCs w:val="20"/>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footnote>
  <w:footnote w:id="3">
    <w:p w14:paraId="3AAF7934" w14:textId="2425A184" w:rsidR="00461D48" w:rsidRPr="007C426D" w:rsidRDefault="00461D48" w:rsidP="000F31C8">
      <w:pPr>
        <w:pStyle w:val="Textonotapie"/>
        <w:spacing w:after="240" w:line="276" w:lineRule="auto"/>
        <w:ind w:right="49"/>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i/>
        </w:rPr>
        <w:t>ARTÍCULO 169.-</w:t>
      </w:r>
      <w:r w:rsidRPr="007C426D">
        <w:rPr>
          <w:rFonts w:ascii="Arial" w:hAnsi="Arial" w:cs="Arial"/>
          <w:i/>
        </w:rPr>
        <w:t xml:space="preserve"> Para los efectos del artículo anterior, cuando alguna de las partes resida fuera del lugar donde se encuentre el Tribunal, se tendrán por presentadas en tiempo las promociones, si aquélla deposita el escrito u oficio relativos dentro del plazo legal, por correo certificado con acuse de recibo, en la oficina de correos que corresponda al lugar de su residencia.” </w:t>
      </w:r>
    </w:p>
  </w:footnote>
  <w:footnote w:id="4">
    <w:p w14:paraId="78C9868B" w14:textId="77777777" w:rsidR="00461D48" w:rsidRPr="007C426D" w:rsidRDefault="00461D48"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i/>
        </w:rPr>
        <w:t>ARTÍCULO 203.-</w:t>
      </w:r>
      <w:r w:rsidRPr="007C426D">
        <w:rPr>
          <w:rFonts w:ascii="Arial" w:hAnsi="Arial" w:cs="Arial"/>
          <w:i/>
        </w:rPr>
        <w:t xml:space="preserve"> La valoración de las pruebas se hará de acuerdo con las siguientes reglas:</w:t>
      </w:r>
    </w:p>
    <w:p w14:paraId="663B8DB6" w14:textId="77777777" w:rsidR="00461D48" w:rsidRPr="007C426D" w:rsidRDefault="00461D48" w:rsidP="000F31C8">
      <w:pPr>
        <w:pStyle w:val="Textonotapie"/>
        <w:spacing w:after="240" w:line="276" w:lineRule="auto"/>
        <w:jc w:val="both"/>
        <w:rPr>
          <w:rFonts w:ascii="Arial" w:hAnsi="Arial" w:cs="Arial"/>
          <w:i/>
        </w:rPr>
      </w:pPr>
      <w:r w:rsidRPr="007C426D">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5">
    <w:p w14:paraId="15B86BD7" w14:textId="77777777" w:rsidR="00461D48" w:rsidRPr="000F31C8" w:rsidRDefault="00461D48" w:rsidP="000F31C8">
      <w:pPr>
        <w:pStyle w:val="Textonotapie"/>
        <w:spacing w:after="240" w:line="276" w:lineRule="auto"/>
        <w:jc w:val="both"/>
        <w:rPr>
          <w:rFonts w:ascii="Arial" w:hAnsi="Arial" w:cs="Arial"/>
          <w:i/>
          <w:sz w:val="16"/>
          <w:szCs w:val="16"/>
        </w:rPr>
      </w:pPr>
      <w:r w:rsidRPr="007C426D">
        <w:rPr>
          <w:rStyle w:val="Refdenotaalpie"/>
          <w:rFonts w:ascii="Arial" w:hAnsi="Arial" w:cs="Arial"/>
          <w:i/>
        </w:rPr>
        <w:footnoteRef/>
      </w:r>
      <w:r w:rsidRPr="007C426D">
        <w:rPr>
          <w:rFonts w:ascii="Arial" w:hAnsi="Arial" w:cs="Arial"/>
          <w:i/>
        </w:rPr>
        <w:t xml:space="preserve"> En el sello estampado por la Oficialía de Partes Común de Primera Instancia, obra en la certificación de recepción la leyenda “un sobre amarillo con timbres postales y número de guía MN684010150MX, del cual se puede advertir que la demanda de nulidad fue interpuesta fuera de la residencia de este Tribunal, es decir por correo certificado.</w:t>
      </w:r>
    </w:p>
  </w:footnote>
  <w:footnote w:id="6">
    <w:p w14:paraId="5F0DE016" w14:textId="77777777" w:rsidR="00461D48" w:rsidRPr="007C426D" w:rsidRDefault="00461D48"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Agregado en la foja 32 (treinta y dos) del expediente </w:t>
      </w:r>
      <w:r w:rsidRPr="007C426D">
        <w:rPr>
          <w:rFonts w:ascii="Arial" w:hAnsi="Arial" w:cs="Arial"/>
          <w:b/>
          <w:i/>
        </w:rPr>
        <w:t>0062/2022</w:t>
      </w:r>
      <w:r w:rsidRPr="007C426D">
        <w:rPr>
          <w:rFonts w:ascii="Arial" w:hAnsi="Arial" w:cs="Arial"/>
          <w:i/>
        </w:rPr>
        <w:t xml:space="preserve"> del índice de la Segunda Sala Unitaria de Primera Instancia.</w:t>
      </w:r>
    </w:p>
  </w:footnote>
  <w:footnote w:id="7">
    <w:p w14:paraId="325A82AF" w14:textId="64062D75" w:rsidR="00461D48" w:rsidRPr="007C426D" w:rsidRDefault="00461D48"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007C426D">
        <w:rPr>
          <w:rFonts w:ascii="Arial" w:hAnsi="Arial" w:cs="Arial"/>
          <w:i/>
        </w:rPr>
        <w:t xml:space="preserve"> Consultable en las fojas 24 (veinticuatro) y 25 (veinticinco)</w:t>
      </w:r>
      <w:r w:rsidRPr="007C426D">
        <w:rPr>
          <w:rFonts w:ascii="Arial" w:hAnsi="Arial" w:cs="Arial"/>
          <w:i/>
        </w:rPr>
        <w:t xml:space="preserve"> </w:t>
      </w:r>
      <w:r w:rsidR="007C426D">
        <w:rPr>
          <w:rFonts w:ascii="Arial" w:hAnsi="Arial" w:cs="Arial"/>
          <w:i/>
        </w:rPr>
        <w:t>del cuaderno de</w:t>
      </w:r>
      <w:r w:rsidRPr="007C426D">
        <w:rPr>
          <w:rFonts w:ascii="Arial" w:hAnsi="Arial" w:cs="Arial"/>
          <w:i/>
        </w:rPr>
        <w:t xml:space="preserve"> </w:t>
      </w:r>
      <w:r w:rsidR="007C426D">
        <w:rPr>
          <w:rFonts w:ascii="Arial" w:hAnsi="Arial" w:cs="Arial"/>
          <w:i/>
        </w:rPr>
        <w:t>r</w:t>
      </w:r>
      <w:r w:rsidRPr="007C426D">
        <w:rPr>
          <w:rFonts w:ascii="Arial" w:hAnsi="Arial" w:cs="Arial"/>
          <w:i/>
        </w:rPr>
        <w:t xml:space="preserve">ecurso de </w:t>
      </w:r>
      <w:r w:rsidR="007C426D">
        <w:rPr>
          <w:rFonts w:ascii="Arial" w:hAnsi="Arial" w:cs="Arial"/>
          <w:i/>
        </w:rPr>
        <w:t>r</w:t>
      </w:r>
      <w:r w:rsidRPr="007C426D">
        <w:rPr>
          <w:rFonts w:ascii="Arial" w:hAnsi="Arial" w:cs="Arial"/>
          <w:i/>
        </w:rPr>
        <w:t xml:space="preserve">evisión 320/2022 del índice de la Sala Superior.   </w:t>
      </w:r>
    </w:p>
  </w:footnote>
  <w:footnote w:id="8">
    <w:p w14:paraId="1F1382B5" w14:textId="77777777" w:rsidR="00461D48" w:rsidRPr="00F54F2E" w:rsidRDefault="00461D48" w:rsidP="000F31C8">
      <w:pPr>
        <w:pStyle w:val="Textonotapie"/>
        <w:spacing w:after="240" w:line="276" w:lineRule="auto"/>
        <w:jc w:val="both"/>
        <w:rPr>
          <w:rFonts w:ascii="Arial" w:hAnsi="Arial" w:cs="Arial"/>
          <w:i/>
        </w:rPr>
      </w:pPr>
      <w:r w:rsidRPr="00F54F2E">
        <w:rPr>
          <w:rStyle w:val="Refdenotaalpie"/>
          <w:rFonts w:ascii="Arial" w:hAnsi="Arial" w:cs="Arial"/>
          <w:i/>
        </w:rPr>
        <w:footnoteRef/>
      </w:r>
      <w:r w:rsidRPr="00F54F2E">
        <w:rPr>
          <w:rFonts w:ascii="Arial" w:hAnsi="Arial" w:cs="Arial"/>
          <w:i/>
        </w:rPr>
        <w:t xml:space="preserve"> </w:t>
      </w:r>
      <w:r w:rsidRPr="00F54F2E">
        <w:rPr>
          <w:rFonts w:ascii="Arial" w:hAnsi="Arial" w:cs="Arial"/>
          <w:b/>
          <w:i/>
        </w:rPr>
        <w:t>“Artículo 280</w:t>
      </w:r>
      <w:r w:rsidRPr="00F54F2E">
        <w:rPr>
          <w:rFonts w:ascii="Arial" w:hAnsi="Arial" w:cs="Arial"/>
          <w:i/>
        </w:rPr>
        <w:t>.- El actor debe probar los hechos constitutivos de su acción y el reo los de sus excepciones.”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92D27" w14:textId="4CFBC9FD" w:rsidR="007455B8" w:rsidRDefault="007455B8">
    <w:pPr>
      <w:pStyle w:val="Encabezado"/>
    </w:pPr>
    <w:r>
      <w:rPr>
        <w:noProof/>
      </w:rPr>
      <w:drawing>
        <wp:anchor distT="0" distB="0" distL="114300" distR="114300" simplePos="0" relativeHeight="251662336" behindDoc="1" locked="0" layoutInCell="1" allowOverlap="1" wp14:anchorId="22063A2C" wp14:editId="7029F939">
          <wp:simplePos x="0" y="0"/>
          <wp:positionH relativeFrom="column">
            <wp:posOffset>5881370</wp:posOffset>
          </wp:positionH>
          <wp:positionV relativeFrom="paragraph">
            <wp:posOffset>5874385</wp:posOffset>
          </wp:positionV>
          <wp:extent cx="1030605" cy="1256030"/>
          <wp:effectExtent l="0" t="0" r="0" b="1270"/>
          <wp:wrapNone/>
          <wp:docPr id="8393673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67369" name="Imagen 83936736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130A707C" w:rsidR="003C3183" w:rsidRDefault="003C3183">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61312" behindDoc="0" locked="0" layoutInCell="1" allowOverlap="1" wp14:anchorId="7E4D2DD9" wp14:editId="3B9305BF">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376124" w:rsidRPr="00376124">
          <w:rPr>
            <w:noProof/>
            <w:lang w:val="es-ES"/>
          </w:rPr>
          <w:t>11</w:t>
        </w:r>
        <w:r>
          <w:fldChar w:fldCharType="end"/>
        </w:r>
      </w:p>
    </w:sdtContent>
  </w:sdt>
  <w:p w14:paraId="6DE680F6" w14:textId="128A07D0" w:rsidR="003C3183" w:rsidRDefault="007455B8">
    <w:pPr>
      <w:pStyle w:val="Encabezado"/>
    </w:pPr>
    <w:r>
      <w:rPr>
        <w:noProof/>
      </w:rPr>
      <w:drawing>
        <wp:anchor distT="0" distB="0" distL="114300" distR="114300" simplePos="0" relativeHeight="251663360" behindDoc="1" locked="0" layoutInCell="1" allowOverlap="1" wp14:anchorId="1EFFF5D9" wp14:editId="740B93DE">
          <wp:simplePos x="0" y="0"/>
          <wp:positionH relativeFrom="column">
            <wp:posOffset>-1308100</wp:posOffset>
          </wp:positionH>
          <wp:positionV relativeFrom="paragraph">
            <wp:posOffset>3884295</wp:posOffset>
          </wp:positionV>
          <wp:extent cx="1030605" cy="1256030"/>
          <wp:effectExtent l="0" t="0" r="0" b="1270"/>
          <wp:wrapNone/>
          <wp:docPr id="393332667" name="Imagen 39333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67369" name="Imagen 83936736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5B560037" w:rsidR="003C3183" w:rsidRDefault="003C3183">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59264" behindDoc="0" locked="0" layoutInCell="1" allowOverlap="1" wp14:anchorId="1E5F3248" wp14:editId="6D75EB6E">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376124" w:rsidRPr="00376124">
          <w:rPr>
            <w:noProof/>
            <w:lang w:val="es-ES"/>
          </w:rPr>
          <w:t>1</w:t>
        </w:r>
        <w:r>
          <w:fldChar w:fldCharType="end"/>
        </w:r>
      </w:p>
    </w:sdtContent>
  </w:sdt>
  <w:p w14:paraId="703CC1EE" w14:textId="4D9AF333" w:rsidR="003C3183" w:rsidRDefault="007455B8">
    <w:pPr>
      <w:pStyle w:val="Encabezado"/>
    </w:pPr>
    <w:r>
      <w:rPr>
        <w:noProof/>
      </w:rPr>
      <w:drawing>
        <wp:anchor distT="0" distB="0" distL="114300" distR="114300" simplePos="0" relativeHeight="251664384" behindDoc="1" locked="0" layoutInCell="1" allowOverlap="1" wp14:anchorId="6424D66D" wp14:editId="4DB75EBD">
          <wp:simplePos x="0" y="0"/>
          <wp:positionH relativeFrom="column">
            <wp:posOffset>-1268095</wp:posOffset>
          </wp:positionH>
          <wp:positionV relativeFrom="paragraph">
            <wp:posOffset>4398645</wp:posOffset>
          </wp:positionV>
          <wp:extent cx="1030605" cy="1256030"/>
          <wp:effectExtent l="0" t="0" r="0" b="1270"/>
          <wp:wrapNone/>
          <wp:docPr id="495507422" name="Imagen 495507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67369" name="Imagen 83936736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408236324">
    <w:abstractNumId w:val="10"/>
  </w:num>
  <w:num w:numId="2" w16cid:durableId="549420786">
    <w:abstractNumId w:val="13"/>
  </w:num>
  <w:num w:numId="3" w16cid:durableId="971639789">
    <w:abstractNumId w:val="19"/>
  </w:num>
  <w:num w:numId="4" w16cid:durableId="1347516000">
    <w:abstractNumId w:val="7"/>
  </w:num>
  <w:num w:numId="5" w16cid:durableId="1562213841">
    <w:abstractNumId w:val="16"/>
  </w:num>
  <w:num w:numId="6" w16cid:durableId="1087651791">
    <w:abstractNumId w:val="9"/>
  </w:num>
  <w:num w:numId="7" w16cid:durableId="586618839">
    <w:abstractNumId w:val="17"/>
  </w:num>
  <w:num w:numId="8" w16cid:durableId="1621375027">
    <w:abstractNumId w:val="4"/>
  </w:num>
  <w:num w:numId="9" w16cid:durableId="2054884015">
    <w:abstractNumId w:val="5"/>
  </w:num>
  <w:num w:numId="10" w16cid:durableId="702825885">
    <w:abstractNumId w:val="3"/>
  </w:num>
  <w:num w:numId="11" w16cid:durableId="1574975281">
    <w:abstractNumId w:val="2"/>
  </w:num>
  <w:num w:numId="12" w16cid:durableId="1601522635">
    <w:abstractNumId w:val="11"/>
  </w:num>
  <w:num w:numId="13" w16cid:durableId="979770133">
    <w:abstractNumId w:val="14"/>
  </w:num>
  <w:num w:numId="14" w16cid:durableId="1259026559">
    <w:abstractNumId w:val="8"/>
  </w:num>
  <w:num w:numId="15" w16cid:durableId="1376004552">
    <w:abstractNumId w:val="0"/>
  </w:num>
  <w:num w:numId="16" w16cid:durableId="958071507">
    <w:abstractNumId w:val="12"/>
  </w:num>
  <w:num w:numId="17" w16cid:durableId="1415591884">
    <w:abstractNumId w:val="15"/>
  </w:num>
  <w:num w:numId="18" w16cid:durableId="602304805">
    <w:abstractNumId w:val="1"/>
  </w:num>
  <w:num w:numId="19" w16cid:durableId="1085564934">
    <w:abstractNumId w:val="20"/>
  </w:num>
  <w:num w:numId="20" w16cid:durableId="389311007">
    <w:abstractNumId w:val="21"/>
  </w:num>
  <w:num w:numId="21" w16cid:durableId="1064833047">
    <w:abstractNumId w:val="6"/>
  </w:num>
  <w:num w:numId="22" w16cid:durableId="13829431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0B27"/>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4AC2"/>
    <w:rsid w:val="000662B7"/>
    <w:rsid w:val="00070605"/>
    <w:rsid w:val="00075A85"/>
    <w:rsid w:val="00076B0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6A96"/>
    <w:rsid w:val="000D6EB7"/>
    <w:rsid w:val="000D730C"/>
    <w:rsid w:val="000E05B1"/>
    <w:rsid w:val="000E1601"/>
    <w:rsid w:val="000E2FD3"/>
    <w:rsid w:val="000E4994"/>
    <w:rsid w:val="000E728E"/>
    <w:rsid w:val="000F22D4"/>
    <w:rsid w:val="000F31C8"/>
    <w:rsid w:val="000F39BF"/>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5F1F"/>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63D95"/>
    <w:rsid w:val="00265704"/>
    <w:rsid w:val="00267C69"/>
    <w:rsid w:val="0027164D"/>
    <w:rsid w:val="0027381E"/>
    <w:rsid w:val="00273FAA"/>
    <w:rsid w:val="002744FF"/>
    <w:rsid w:val="002747AF"/>
    <w:rsid w:val="00274E07"/>
    <w:rsid w:val="00275623"/>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3EBF"/>
    <w:rsid w:val="002D696F"/>
    <w:rsid w:val="002D794E"/>
    <w:rsid w:val="002E0F64"/>
    <w:rsid w:val="002E19D5"/>
    <w:rsid w:val="002E2170"/>
    <w:rsid w:val="002E51ED"/>
    <w:rsid w:val="002E6A31"/>
    <w:rsid w:val="002F02FB"/>
    <w:rsid w:val="002F08AA"/>
    <w:rsid w:val="002F0F70"/>
    <w:rsid w:val="002F2F88"/>
    <w:rsid w:val="002F4A47"/>
    <w:rsid w:val="002F62ED"/>
    <w:rsid w:val="002F71C8"/>
    <w:rsid w:val="00300882"/>
    <w:rsid w:val="00301470"/>
    <w:rsid w:val="003039BE"/>
    <w:rsid w:val="00304F2A"/>
    <w:rsid w:val="003054D8"/>
    <w:rsid w:val="003056FB"/>
    <w:rsid w:val="003057ED"/>
    <w:rsid w:val="00307C60"/>
    <w:rsid w:val="00310690"/>
    <w:rsid w:val="0031131E"/>
    <w:rsid w:val="003119B9"/>
    <w:rsid w:val="00312C45"/>
    <w:rsid w:val="00313126"/>
    <w:rsid w:val="00314C35"/>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BD"/>
    <w:rsid w:val="003535ED"/>
    <w:rsid w:val="0035374B"/>
    <w:rsid w:val="00354B88"/>
    <w:rsid w:val="0035585B"/>
    <w:rsid w:val="00356717"/>
    <w:rsid w:val="003569E3"/>
    <w:rsid w:val="003620DA"/>
    <w:rsid w:val="00363EFF"/>
    <w:rsid w:val="0036421E"/>
    <w:rsid w:val="00364AFA"/>
    <w:rsid w:val="00370536"/>
    <w:rsid w:val="00370E42"/>
    <w:rsid w:val="00371394"/>
    <w:rsid w:val="00371465"/>
    <w:rsid w:val="003721BC"/>
    <w:rsid w:val="00374B30"/>
    <w:rsid w:val="00375072"/>
    <w:rsid w:val="00375671"/>
    <w:rsid w:val="00375C9A"/>
    <w:rsid w:val="00376124"/>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5C"/>
    <w:rsid w:val="0040451D"/>
    <w:rsid w:val="004107AC"/>
    <w:rsid w:val="00410B0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1D4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375"/>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F63"/>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3782"/>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3B58"/>
    <w:rsid w:val="005D444A"/>
    <w:rsid w:val="005D495F"/>
    <w:rsid w:val="005D64B5"/>
    <w:rsid w:val="005D6536"/>
    <w:rsid w:val="005E209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57101"/>
    <w:rsid w:val="0066005E"/>
    <w:rsid w:val="00661DF3"/>
    <w:rsid w:val="00662D5D"/>
    <w:rsid w:val="00663D6B"/>
    <w:rsid w:val="0066436A"/>
    <w:rsid w:val="00670A60"/>
    <w:rsid w:val="00671A70"/>
    <w:rsid w:val="00672582"/>
    <w:rsid w:val="00676804"/>
    <w:rsid w:val="006801B9"/>
    <w:rsid w:val="0068021E"/>
    <w:rsid w:val="00683324"/>
    <w:rsid w:val="006834CB"/>
    <w:rsid w:val="00684FE5"/>
    <w:rsid w:val="0068565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DBA"/>
    <w:rsid w:val="00700F4F"/>
    <w:rsid w:val="007018C1"/>
    <w:rsid w:val="00701933"/>
    <w:rsid w:val="00702C0B"/>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55B8"/>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651"/>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26D"/>
    <w:rsid w:val="007C4592"/>
    <w:rsid w:val="007C46E4"/>
    <w:rsid w:val="007C4EBB"/>
    <w:rsid w:val="007C5D60"/>
    <w:rsid w:val="007C7071"/>
    <w:rsid w:val="007C75B7"/>
    <w:rsid w:val="007D0938"/>
    <w:rsid w:val="007D0F26"/>
    <w:rsid w:val="007D1E1B"/>
    <w:rsid w:val="007D22FE"/>
    <w:rsid w:val="007D4A5C"/>
    <w:rsid w:val="007D5781"/>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3F"/>
    <w:rsid w:val="00833A74"/>
    <w:rsid w:val="00835131"/>
    <w:rsid w:val="008357E7"/>
    <w:rsid w:val="00835922"/>
    <w:rsid w:val="008362A2"/>
    <w:rsid w:val="00840B49"/>
    <w:rsid w:val="00842D14"/>
    <w:rsid w:val="00844411"/>
    <w:rsid w:val="00846424"/>
    <w:rsid w:val="0084703A"/>
    <w:rsid w:val="0084744F"/>
    <w:rsid w:val="0085241C"/>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3FA6"/>
    <w:rsid w:val="009544F4"/>
    <w:rsid w:val="00954BB5"/>
    <w:rsid w:val="00956581"/>
    <w:rsid w:val="00960A43"/>
    <w:rsid w:val="00961B74"/>
    <w:rsid w:val="00961D75"/>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BDD"/>
    <w:rsid w:val="00993332"/>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C28"/>
    <w:rsid w:val="009E0F1C"/>
    <w:rsid w:val="009E1ACE"/>
    <w:rsid w:val="009E2C90"/>
    <w:rsid w:val="009E317D"/>
    <w:rsid w:val="009E364D"/>
    <w:rsid w:val="009E4DBD"/>
    <w:rsid w:val="009E5B18"/>
    <w:rsid w:val="009E6F49"/>
    <w:rsid w:val="009F1C38"/>
    <w:rsid w:val="009F22D6"/>
    <w:rsid w:val="009F2E87"/>
    <w:rsid w:val="009F3E45"/>
    <w:rsid w:val="009F5247"/>
    <w:rsid w:val="009F7D2D"/>
    <w:rsid w:val="009F7EC0"/>
    <w:rsid w:val="00A02773"/>
    <w:rsid w:val="00A03248"/>
    <w:rsid w:val="00A04B22"/>
    <w:rsid w:val="00A04DC3"/>
    <w:rsid w:val="00A061F4"/>
    <w:rsid w:val="00A06686"/>
    <w:rsid w:val="00A067E5"/>
    <w:rsid w:val="00A0698B"/>
    <w:rsid w:val="00A11EE4"/>
    <w:rsid w:val="00A127E8"/>
    <w:rsid w:val="00A12CD4"/>
    <w:rsid w:val="00A155F9"/>
    <w:rsid w:val="00A15671"/>
    <w:rsid w:val="00A17D80"/>
    <w:rsid w:val="00A21D11"/>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350D"/>
    <w:rsid w:val="00A54C84"/>
    <w:rsid w:val="00A56DBD"/>
    <w:rsid w:val="00A57D88"/>
    <w:rsid w:val="00A642E6"/>
    <w:rsid w:val="00A646F1"/>
    <w:rsid w:val="00A650C2"/>
    <w:rsid w:val="00A65340"/>
    <w:rsid w:val="00A65537"/>
    <w:rsid w:val="00A66CB3"/>
    <w:rsid w:val="00A70289"/>
    <w:rsid w:val="00A710F1"/>
    <w:rsid w:val="00A75BA6"/>
    <w:rsid w:val="00A76135"/>
    <w:rsid w:val="00A76F90"/>
    <w:rsid w:val="00A775C0"/>
    <w:rsid w:val="00A77769"/>
    <w:rsid w:val="00A81AD2"/>
    <w:rsid w:val="00A82939"/>
    <w:rsid w:val="00A84898"/>
    <w:rsid w:val="00A853A8"/>
    <w:rsid w:val="00A853EE"/>
    <w:rsid w:val="00A858EB"/>
    <w:rsid w:val="00A85CC1"/>
    <w:rsid w:val="00A86463"/>
    <w:rsid w:val="00A86917"/>
    <w:rsid w:val="00A870BF"/>
    <w:rsid w:val="00A877A0"/>
    <w:rsid w:val="00A87F32"/>
    <w:rsid w:val="00A90CAE"/>
    <w:rsid w:val="00A90E17"/>
    <w:rsid w:val="00A911EA"/>
    <w:rsid w:val="00A9124C"/>
    <w:rsid w:val="00A92CEE"/>
    <w:rsid w:val="00A92EC1"/>
    <w:rsid w:val="00A94211"/>
    <w:rsid w:val="00A94B98"/>
    <w:rsid w:val="00A9514B"/>
    <w:rsid w:val="00A95593"/>
    <w:rsid w:val="00A95C95"/>
    <w:rsid w:val="00A96768"/>
    <w:rsid w:val="00A96B17"/>
    <w:rsid w:val="00A96FEC"/>
    <w:rsid w:val="00AA32BD"/>
    <w:rsid w:val="00AA5112"/>
    <w:rsid w:val="00AA5876"/>
    <w:rsid w:val="00AA68B4"/>
    <w:rsid w:val="00AA750C"/>
    <w:rsid w:val="00AB07F0"/>
    <w:rsid w:val="00AB0979"/>
    <w:rsid w:val="00AB34AE"/>
    <w:rsid w:val="00AB5A0D"/>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2B90"/>
    <w:rsid w:val="00B14904"/>
    <w:rsid w:val="00B15B86"/>
    <w:rsid w:val="00B17526"/>
    <w:rsid w:val="00B20292"/>
    <w:rsid w:val="00B20A18"/>
    <w:rsid w:val="00B2155C"/>
    <w:rsid w:val="00B224EB"/>
    <w:rsid w:val="00B2367A"/>
    <w:rsid w:val="00B25059"/>
    <w:rsid w:val="00B26266"/>
    <w:rsid w:val="00B267BE"/>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5230"/>
    <w:rsid w:val="00C7592B"/>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70DA"/>
    <w:rsid w:val="00D67268"/>
    <w:rsid w:val="00D67D4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26C96"/>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5939"/>
    <w:rsid w:val="00F3684C"/>
    <w:rsid w:val="00F37940"/>
    <w:rsid w:val="00F40571"/>
    <w:rsid w:val="00F412C3"/>
    <w:rsid w:val="00F41707"/>
    <w:rsid w:val="00F4186F"/>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4F2E"/>
    <w:rsid w:val="00F55045"/>
    <w:rsid w:val="00F571F9"/>
    <w:rsid w:val="00F6100D"/>
    <w:rsid w:val="00F6211E"/>
    <w:rsid w:val="00F64899"/>
    <w:rsid w:val="00F64CF9"/>
    <w:rsid w:val="00F65A57"/>
    <w:rsid w:val="00F67F53"/>
    <w:rsid w:val="00F706E7"/>
    <w:rsid w:val="00F718D9"/>
    <w:rsid w:val="00F71B86"/>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222"/>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correosdemexico.com.mx/porta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rreosdemexico.gob.mx/SSLServicios/SeguimientoEnvio/Seguimiento.asp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69DA8-C4A5-4999-9B96-9F2CF76EB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3252</Words>
  <Characters>17891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14</cp:revision>
  <cp:lastPrinted>2023-09-13T20:03:00Z</cp:lastPrinted>
  <dcterms:created xsi:type="dcterms:W3CDTF">2023-09-12T20:36:00Z</dcterms:created>
  <dcterms:modified xsi:type="dcterms:W3CDTF">2023-10-25T18:13:00Z</dcterms:modified>
</cp:coreProperties>
</file>