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01BE9" w14:textId="77777777" w:rsidR="008925EB" w:rsidRDefault="00CF0D35">
      <w:pPr>
        <w:tabs>
          <w:tab w:val="left" w:pos="2127"/>
        </w:tabs>
        <w:spacing w:after="120" w:line="240" w:lineRule="auto"/>
        <w:ind w:left="3402"/>
        <w:rPr>
          <w:rFonts w:ascii="Century Gothic" w:eastAsia="Century Gothic" w:hAnsi="Century Gothic" w:cs="Century Gothic"/>
          <w:b/>
        </w:rPr>
      </w:pPr>
      <w:bookmarkStart w:id="0" w:name="_heading=h.gjdgxs" w:colFirst="0" w:colLast="0"/>
      <w:bookmarkEnd w:id="0"/>
      <w:r>
        <w:rPr>
          <w:rFonts w:ascii="Century Gothic" w:eastAsia="Century Gothic" w:hAnsi="Century Gothic" w:cs="Century Gothic"/>
          <w:b/>
        </w:rPr>
        <w:t xml:space="preserve">RECURSO DE REVISIÓN: </w:t>
      </w:r>
      <w:r>
        <w:rPr>
          <w:rFonts w:ascii="Century Gothic" w:eastAsia="Century Gothic" w:hAnsi="Century Gothic" w:cs="Century Gothic"/>
        </w:rPr>
        <w:t>0324/2023.</w:t>
      </w:r>
    </w:p>
    <w:p w14:paraId="1DBB75AA" w14:textId="77777777" w:rsidR="008925EB" w:rsidRDefault="00CF0D35">
      <w:pPr>
        <w:tabs>
          <w:tab w:val="left" w:pos="2127"/>
        </w:tabs>
        <w:spacing w:after="120" w:line="240" w:lineRule="auto"/>
        <w:ind w:left="3402"/>
        <w:jc w:val="both"/>
        <w:rPr>
          <w:rFonts w:ascii="Century Gothic" w:eastAsia="Century Gothic" w:hAnsi="Century Gothic" w:cs="Century Gothic"/>
        </w:rPr>
      </w:pPr>
      <w:r>
        <w:rPr>
          <w:rFonts w:ascii="Century Gothic" w:eastAsia="Century Gothic" w:hAnsi="Century Gothic" w:cs="Century Gothic"/>
          <w:b/>
        </w:rPr>
        <w:t xml:space="preserve">EXPEDIENTE: </w:t>
      </w:r>
      <w:r>
        <w:rPr>
          <w:rFonts w:ascii="Century Gothic" w:eastAsia="Century Gothic" w:hAnsi="Century Gothic" w:cs="Century Gothic"/>
        </w:rPr>
        <w:t>0303/2023 DE LA PRIMERA SALA UNITARIA DE PRIMERA INSTANCIA DEL TRIBUNAL DE JUSTICIA ADMINISTRATIVA Y COMBATE A LA CORRUPCIÓN DEL ESTADO DE OAXACA,</w:t>
      </w:r>
      <w:r>
        <w:rPr>
          <w:rFonts w:ascii="Century Gothic" w:eastAsia="Century Gothic" w:hAnsi="Century Gothic" w:cs="Century Gothic"/>
          <w:b/>
        </w:rPr>
        <w:t xml:space="preserve"> </w:t>
      </w:r>
      <w:r>
        <w:rPr>
          <w:rFonts w:ascii="Century Gothic" w:eastAsia="Century Gothic" w:hAnsi="Century Gothic" w:cs="Century Gothic"/>
        </w:rPr>
        <w:t xml:space="preserve">(ANTES 38/2023 SEXTA SALA UNITARIA DE PRIMERA INSTANCIA). </w:t>
      </w:r>
    </w:p>
    <w:p w14:paraId="3B9DC131" w14:textId="77777777" w:rsidR="008925EB" w:rsidRDefault="00CF0D35">
      <w:pPr>
        <w:tabs>
          <w:tab w:val="left" w:pos="2127"/>
        </w:tabs>
        <w:spacing w:after="120" w:line="240" w:lineRule="auto"/>
        <w:ind w:left="3402"/>
        <w:jc w:val="both"/>
        <w:rPr>
          <w:rFonts w:ascii="Century Gothic" w:eastAsia="Century Gothic" w:hAnsi="Century Gothic" w:cs="Century Gothic"/>
        </w:rPr>
      </w:pPr>
      <w:r>
        <w:rPr>
          <w:rFonts w:ascii="Century Gothic" w:eastAsia="Century Gothic" w:hAnsi="Century Gothic" w:cs="Century Gothic"/>
          <w:b/>
        </w:rPr>
        <w:t xml:space="preserve">RECURRENTE: </w:t>
      </w:r>
      <w:r>
        <w:rPr>
          <w:rFonts w:ascii="Century Gothic" w:eastAsia="Century Gothic" w:hAnsi="Century Gothic" w:cs="Century Gothic"/>
        </w:rPr>
        <w:t>JEFE DEL DEPARTAMENTO DE LO CONTENCIOS</w:t>
      </w:r>
      <w:r>
        <w:rPr>
          <w:rFonts w:ascii="Century Gothic" w:eastAsia="Century Gothic" w:hAnsi="Century Gothic" w:cs="Century Gothic"/>
        </w:rPr>
        <w:t>O Y ADMINISTRATIVO DEPENDIENTE DE LA DIRECCIÓN DE ASUNTOS JURÍDICOS DE LOS SERVICIOS DE SALUD DE OAXACA</w:t>
      </w:r>
    </w:p>
    <w:p w14:paraId="2E0944C0" w14:textId="77777777" w:rsidR="008925EB" w:rsidRDefault="00CF0D35">
      <w:pPr>
        <w:spacing w:after="120" w:line="240" w:lineRule="auto"/>
        <w:ind w:left="3402"/>
        <w:jc w:val="both"/>
        <w:rPr>
          <w:rFonts w:ascii="Century Gothic" w:eastAsia="Century Gothic" w:hAnsi="Century Gothic" w:cs="Century Gothic"/>
        </w:rPr>
      </w:pPr>
      <w:r>
        <w:rPr>
          <w:rFonts w:ascii="Century Gothic" w:eastAsia="Century Gothic" w:hAnsi="Century Gothic" w:cs="Century Gothic"/>
          <w:b/>
        </w:rPr>
        <w:t xml:space="preserve">PONENTE: </w:t>
      </w:r>
      <w:r>
        <w:rPr>
          <w:rFonts w:ascii="Century Gothic" w:eastAsia="Century Gothic" w:hAnsi="Century Gothic" w:cs="Century Gothic"/>
        </w:rPr>
        <w:t>MAGISTRADA CRUZ ITZEL ESPINOSA ROJAS.</w:t>
      </w:r>
    </w:p>
    <w:p w14:paraId="349F4C52" w14:textId="77777777" w:rsidR="008925EB" w:rsidRDefault="008925EB">
      <w:pPr>
        <w:spacing w:after="120" w:line="240" w:lineRule="auto"/>
        <w:ind w:left="2124"/>
        <w:jc w:val="both"/>
        <w:rPr>
          <w:rFonts w:ascii="Century Gothic" w:eastAsia="Century Gothic" w:hAnsi="Century Gothic" w:cs="Century Gothic"/>
          <w:b/>
          <w:sz w:val="8"/>
          <w:szCs w:val="8"/>
        </w:rPr>
      </w:pPr>
    </w:p>
    <w:p w14:paraId="5E3FC612" w14:textId="77777777" w:rsidR="008925EB" w:rsidRDefault="00CF0D35">
      <w:pPr>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SIETE DE SEPTIEMBRE DE DOS MIL VEINTITRÉS. - - - - - - - - - - - - - - - - -</w:t>
      </w:r>
      <w:r>
        <w:rPr>
          <w:rFonts w:ascii="Century Gothic" w:eastAsia="Century Gothic" w:hAnsi="Century Gothic" w:cs="Century Gothic"/>
          <w:b/>
          <w:sz w:val="24"/>
          <w:szCs w:val="24"/>
        </w:rPr>
        <w:t xml:space="preserve"> - - - - - - - - - - - - - - - - - - - - - - - - - -</w:t>
      </w:r>
    </w:p>
    <w:p w14:paraId="4F9E8A0A" w14:textId="77777777" w:rsidR="008925EB" w:rsidRDefault="00CF0D35">
      <w:pPr>
        <w:spacing w:before="240" w:line="360" w:lineRule="auto"/>
        <w:ind w:firstLine="708"/>
        <w:jc w:val="both"/>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sz w:val="24"/>
          <w:szCs w:val="24"/>
        </w:rPr>
        <w:t>1.</w:t>
      </w:r>
      <w:r>
        <w:rPr>
          <w:rFonts w:ascii="Century Gothic" w:eastAsia="Century Gothic" w:hAnsi="Century Gothic" w:cs="Century Gothic"/>
          <w:b/>
          <w:sz w:val="24"/>
          <w:szCs w:val="24"/>
        </w:rPr>
        <w:t xml:space="preserve"> ÚNICO. Remisión del recurso</w:t>
      </w:r>
      <w:r>
        <w:rPr>
          <w:rFonts w:ascii="Century Gothic" w:eastAsia="Century Gothic" w:hAnsi="Century Gothic" w:cs="Century Gothic"/>
          <w:sz w:val="24"/>
          <w:szCs w:val="24"/>
        </w:rPr>
        <w:t xml:space="preserve">. Por recibido el cuaderno </w:t>
      </w:r>
      <w:r>
        <w:rPr>
          <w:rFonts w:ascii="Century Gothic" w:eastAsia="Century Gothic" w:hAnsi="Century Gothic" w:cs="Century Gothic"/>
          <w:b/>
          <w:sz w:val="24"/>
          <w:szCs w:val="24"/>
        </w:rPr>
        <w:t>0324/2023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Diego Miguel Gregorio Jefe del Departa</w:t>
      </w:r>
      <w:r>
        <w:rPr>
          <w:rFonts w:ascii="Century Gothic" w:eastAsia="Century Gothic" w:hAnsi="Century Gothic" w:cs="Century Gothic"/>
          <w:b/>
          <w:sz w:val="24"/>
          <w:szCs w:val="24"/>
        </w:rPr>
        <w:t>mento de lo Contencioso y Administrativo dependiente de la Dirección de Asuntos Jurídicos de los Servicios de Salud de Oaxaca</w:t>
      </w:r>
      <w:r>
        <w:rPr>
          <w:rFonts w:ascii="Century Gothic" w:eastAsia="Century Gothic" w:hAnsi="Century Gothic" w:cs="Century Gothic"/>
          <w:sz w:val="24"/>
          <w:szCs w:val="24"/>
        </w:rPr>
        <w:t>, en contra del auto de fecha veintiuno de abril de dos mil veintitrés dictado en el expediente 0038/2023 por la Sexta Sala Unitari</w:t>
      </w:r>
      <w:r>
        <w:rPr>
          <w:rFonts w:ascii="Century Gothic" w:eastAsia="Century Gothic" w:hAnsi="Century Gothic" w:cs="Century Gothic"/>
          <w:sz w:val="24"/>
          <w:szCs w:val="24"/>
        </w:rPr>
        <w:t>a de Primera Instancia del extinto Tribunal de Justicia Administrativa del Estado de Oaxaca, ahora radicado dentro del expediente 0303/2023 del índice de la Primera Sala Unitaria de Primera Instancia del Tribunal de Justicia Administrativa y Combate a la C</w:t>
      </w:r>
      <w:r>
        <w:rPr>
          <w:rFonts w:ascii="Century Gothic" w:eastAsia="Century Gothic" w:hAnsi="Century Gothic" w:cs="Century Gothic"/>
          <w:sz w:val="24"/>
          <w:szCs w:val="24"/>
        </w:rPr>
        <w:t xml:space="preserve">orrupción del Estado de Oaxaca, relativo al juicio de nulidad promovido por </w:t>
      </w:r>
      <w:r>
        <w:rPr>
          <w:rFonts w:ascii="Century Gothic" w:eastAsia="Century Gothic" w:hAnsi="Century Gothic" w:cs="Century Gothic"/>
          <w:b/>
          <w:sz w:val="24"/>
          <w:szCs w:val="24"/>
        </w:rPr>
        <w:t>Diego Miguel Gregorio Jefe del Departamento de lo Contencioso y Administrativo dependiente de la Dirección de Asuntos Jurídicos de los Servicios de Salud de Oaxaca</w:t>
      </w:r>
      <w:r>
        <w:rPr>
          <w:rFonts w:ascii="Century Gothic" w:eastAsia="Century Gothic" w:hAnsi="Century Gothic" w:cs="Century Gothic"/>
          <w:sz w:val="24"/>
          <w:szCs w:val="24"/>
        </w:rPr>
        <w:t xml:space="preserve"> en contra del </w:t>
      </w:r>
      <w:r>
        <w:rPr>
          <w:rFonts w:ascii="Century Gothic" w:eastAsia="Century Gothic" w:hAnsi="Century Gothic" w:cs="Century Gothic"/>
          <w:b/>
          <w:sz w:val="24"/>
          <w:szCs w:val="24"/>
        </w:rPr>
        <w:t>Co</w:t>
      </w:r>
      <w:r>
        <w:rPr>
          <w:rFonts w:ascii="Century Gothic" w:eastAsia="Century Gothic" w:hAnsi="Century Gothic" w:cs="Century Gothic"/>
          <w:b/>
          <w:sz w:val="24"/>
          <w:szCs w:val="24"/>
        </w:rPr>
        <w:t>ordinador de Cobro Coactivo de la Dirección de Ingresos y Recaudación de la Secretaría de Finanzas del Poder Ejecutivo del Estado de Oaxaca y su Notificador adscrito;</w:t>
      </w:r>
      <w:r>
        <w:rPr>
          <w:rFonts w:ascii="Century Gothic" w:eastAsia="Century Gothic" w:hAnsi="Century Gothic" w:cs="Century Gothic"/>
          <w:sz w:val="24"/>
          <w:szCs w:val="24"/>
        </w:rPr>
        <w:t xml:space="preserve"> por lo que, con fundamento en los artículos 236 y 238 de la Ley de Procedimiento y Justic</w:t>
      </w:r>
      <w:r>
        <w:rPr>
          <w:rFonts w:ascii="Century Gothic" w:eastAsia="Century Gothic" w:hAnsi="Century Gothic" w:cs="Century Gothic"/>
          <w:sz w:val="24"/>
          <w:szCs w:val="24"/>
        </w:rPr>
        <w:t xml:space="preserve">ia Administrativa para el Estado de Oaxaca, y 24 fracciones I y III de la Ley Orgánica del Tribunal de Justicia Administrativa del Estado de Oaxaca, se procede a dictar resolución en los siguientes términos: - - - - - - - - - - - - - - - - - - - - - - - - </w:t>
      </w:r>
      <w:r>
        <w:rPr>
          <w:rFonts w:ascii="Century Gothic" w:eastAsia="Century Gothic" w:hAnsi="Century Gothic" w:cs="Century Gothic"/>
          <w:sz w:val="24"/>
          <w:szCs w:val="24"/>
        </w:rPr>
        <w:t>- - - - - - - - - - - - - - - - -</w:t>
      </w:r>
    </w:p>
    <w:p w14:paraId="102271E2" w14:textId="77777777" w:rsidR="008925EB" w:rsidRDefault="00CF0D35">
      <w:pPr>
        <w:spacing w:before="240" w:line="360" w:lineRule="auto"/>
        <w:jc w:val="center"/>
        <w:rPr>
          <w:rFonts w:ascii="Century Gothic" w:eastAsia="Century Gothic" w:hAnsi="Century Gothic" w:cs="Century Gothic"/>
          <w:b/>
        </w:rPr>
      </w:pPr>
      <w:r>
        <w:rPr>
          <w:rFonts w:ascii="Century Gothic" w:eastAsia="Century Gothic" w:hAnsi="Century Gothic" w:cs="Century Gothic"/>
          <w:b/>
        </w:rPr>
        <w:t>GLOSARIO</w:t>
      </w:r>
    </w:p>
    <w:tbl>
      <w:tblPr>
        <w:tblStyle w:val="a"/>
        <w:tblW w:w="6945"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4252"/>
      </w:tblGrid>
      <w:tr w:rsidR="008925EB" w14:paraId="61E31302" w14:textId="77777777">
        <w:trPr>
          <w:trHeight w:val="326"/>
        </w:trPr>
        <w:tc>
          <w:tcPr>
            <w:tcW w:w="2693" w:type="dxa"/>
            <w:vAlign w:val="center"/>
          </w:tcPr>
          <w:p w14:paraId="1477B330" w14:textId="77777777" w:rsidR="008925EB" w:rsidRDefault="00CF0D35">
            <w:pPr>
              <w:tabs>
                <w:tab w:val="center" w:pos="4418"/>
                <w:tab w:val="left" w:pos="6330"/>
              </w:tabs>
              <w:rPr>
                <w:rFonts w:ascii="Century Gothic" w:eastAsia="Century Gothic" w:hAnsi="Century Gothic" w:cs="Century Gothic"/>
                <w:b/>
                <w:i/>
              </w:rPr>
            </w:pPr>
            <w:r>
              <w:rPr>
                <w:rFonts w:ascii="Century Gothic" w:eastAsia="Century Gothic" w:hAnsi="Century Gothic" w:cs="Century Gothic"/>
                <w:b/>
                <w:i/>
              </w:rPr>
              <w:t>Constitución Federal:</w:t>
            </w:r>
          </w:p>
        </w:tc>
        <w:tc>
          <w:tcPr>
            <w:tcW w:w="4252" w:type="dxa"/>
            <w:vAlign w:val="center"/>
          </w:tcPr>
          <w:p w14:paraId="4F21E1DF" w14:textId="77777777" w:rsidR="008925EB" w:rsidRDefault="00CF0D35">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8925EB" w14:paraId="4B00534B" w14:textId="77777777">
        <w:trPr>
          <w:trHeight w:val="398"/>
        </w:trPr>
        <w:tc>
          <w:tcPr>
            <w:tcW w:w="2693" w:type="dxa"/>
            <w:vAlign w:val="center"/>
          </w:tcPr>
          <w:p w14:paraId="5F5D1C40" w14:textId="77777777" w:rsidR="008925EB" w:rsidRDefault="00CF0D35">
            <w:pPr>
              <w:tabs>
                <w:tab w:val="center" w:pos="4418"/>
                <w:tab w:val="left" w:pos="6330"/>
              </w:tabs>
              <w:rPr>
                <w:rFonts w:ascii="Century Gothic" w:eastAsia="Century Gothic" w:hAnsi="Century Gothic" w:cs="Century Gothic"/>
                <w:b/>
                <w:i/>
              </w:rPr>
            </w:pPr>
            <w:r>
              <w:rPr>
                <w:rFonts w:ascii="Century Gothic" w:eastAsia="Century Gothic" w:hAnsi="Century Gothic" w:cs="Century Gothic"/>
                <w:b/>
                <w:i/>
              </w:rPr>
              <w:lastRenderedPageBreak/>
              <w:t>Constitución Local:</w:t>
            </w:r>
          </w:p>
        </w:tc>
        <w:tc>
          <w:tcPr>
            <w:tcW w:w="4252" w:type="dxa"/>
            <w:vAlign w:val="center"/>
          </w:tcPr>
          <w:p w14:paraId="1211AC01" w14:textId="77777777" w:rsidR="008925EB" w:rsidRDefault="00CF0D35">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8925EB" w14:paraId="745139E7" w14:textId="77777777">
        <w:trPr>
          <w:trHeight w:val="1008"/>
        </w:trPr>
        <w:tc>
          <w:tcPr>
            <w:tcW w:w="2693" w:type="dxa"/>
            <w:vAlign w:val="center"/>
          </w:tcPr>
          <w:p w14:paraId="66882F2C" w14:textId="77777777" w:rsidR="008925EB" w:rsidRDefault="00CF0D35">
            <w:pPr>
              <w:tabs>
                <w:tab w:val="center" w:pos="4418"/>
                <w:tab w:val="left" w:pos="6330"/>
              </w:tabs>
              <w:rPr>
                <w:rFonts w:ascii="Century Gothic" w:eastAsia="Century Gothic" w:hAnsi="Century Gothic" w:cs="Century Gothic"/>
                <w:b/>
                <w:i/>
              </w:rPr>
            </w:pPr>
            <w:r>
              <w:rPr>
                <w:rFonts w:ascii="Century Gothic" w:eastAsia="Century Gothic" w:hAnsi="Century Gothic" w:cs="Century Gothic"/>
                <w:b/>
                <w:i/>
              </w:rPr>
              <w:t>Ley de Procedimiento:</w:t>
            </w:r>
          </w:p>
        </w:tc>
        <w:tc>
          <w:tcPr>
            <w:tcW w:w="4252" w:type="dxa"/>
            <w:vAlign w:val="center"/>
          </w:tcPr>
          <w:p w14:paraId="11869D67" w14:textId="77777777" w:rsidR="008925EB" w:rsidRDefault="00CF0D35">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8925EB" w14:paraId="588E74EF" w14:textId="77777777">
        <w:trPr>
          <w:trHeight w:val="245"/>
        </w:trPr>
        <w:tc>
          <w:tcPr>
            <w:tcW w:w="2693" w:type="dxa"/>
            <w:vAlign w:val="center"/>
          </w:tcPr>
          <w:p w14:paraId="6B2749AD" w14:textId="77777777" w:rsidR="008925EB" w:rsidRDefault="00CF0D35">
            <w:pPr>
              <w:tabs>
                <w:tab w:val="center" w:pos="4418"/>
                <w:tab w:val="left" w:pos="6330"/>
              </w:tabs>
              <w:rPr>
                <w:rFonts w:ascii="Century Gothic" w:eastAsia="Century Gothic" w:hAnsi="Century Gothic" w:cs="Century Gothic"/>
                <w:b/>
                <w:i/>
              </w:rPr>
            </w:pPr>
            <w:r>
              <w:rPr>
                <w:rFonts w:ascii="Century Gothic" w:eastAsia="Century Gothic" w:hAnsi="Century Gothic" w:cs="Century Gothic"/>
                <w:b/>
                <w:i/>
              </w:rPr>
              <w:t>Servicios de Salud:</w:t>
            </w:r>
          </w:p>
        </w:tc>
        <w:tc>
          <w:tcPr>
            <w:tcW w:w="4252" w:type="dxa"/>
            <w:vAlign w:val="center"/>
          </w:tcPr>
          <w:p w14:paraId="5D426E4D" w14:textId="77777777" w:rsidR="008925EB" w:rsidRDefault="00CF0D35">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Servicios de Salud de Oaxaca</w:t>
            </w:r>
          </w:p>
        </w:tc>
      </w:tr>
    </w:tbl>
    <w:p w14:paraId="6C28E36A" w14:textId="77777777" w:rsidR="008925EB" w:rsidRDefault="008925EB">
      <w:pPr>
        <w:spacing w:line="360" w:lineRule="auto"/>
        <w:rPr>
          <w:rFonts w:ascii="Century Gothic" w:eastAsia="Century Gothic" w:hAnsi="Century Gothic" w:cs="Century Gothic"/>
          <w:b/>
          <w:sz w:val="16"/>
          <w:szCs w:val="16"/>
        </w:rPr>
      </w:pPr>
    </w:p>
    <w:p w14:paraId="77A95D9A" w14:textId="77777777" w:rsidR="008925EB" w:rsidRDefault="00CF0D35">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3778E624" w14:textId="77777777" w:rsidR="008925EB" w:rsidRDefault="00CF0D35">
      <w:pPr>
        <w:spacing w:line="360" w:lineRule="auto"/>
        <w:ind w:firstLine="708"/>
        <w:rPr>
          <w:rFonts w:ascii="Century Gothic" w:eastAsia="Century Gothic" w:hAnsi="Century Gothic" w:cs="Century Gothic"/>
          <w:sz w:val="24"/>
          <w:szCs w:val="24"/>
        </w:rPr>
      </w:pPr>
      <w:r>
        <w:rPr>
          <w:rFonts w:ascii="Century Gothic" w:eastAsia="Century Gothic" w:hAnsi="Century Gothic" w:cs="Century Gothic"/>
          <w:sz w:val="24"/>
          <w:szCs w:val="24"/>
        </w:rPr>
        <w:t>2.</w:t>
      </w:r>
      <w:r>
        <w:rPr>
          <w:rFonts w:ascii="Century Gothic" w:eastAsia="Century Gothic" w:hAnsi="Century Gothic" w:cs="Century Gothic"/>
          <w:b/>
          <w:sz w:val="24"/>
          <w:szCs w:val="24"/>
        </w:rPr>
        <w:t xml:space="preserve"> PRIMERO. Antecedentes</w:t>
      </w:r>
      <w:r>
        <w:rPr>
          <w:rFonts w:ascii="Century Gothic" w:eastAsia="Century Gothic" w:hAnsi="Century Gothic" w:cs="Century Gothic"/>
          <w:sz w:val="24"/>
          <w:szCs w:val="24"/>
        </w:rPr>
        <w:t>. - - - - - - - - - - - - - - - - - - - - - - - - - - - - - - - -</w:t>
      </w:r>
    </w:p>
    <w:p w14:paraId="3421BD09" w14:textId="77777777" w:rsidR="008925EB" w:rsidRDefault="00CF0D35">
      <w:pPr>
        <w:numPr>
          <w:ilvl w:val="3"/>
          <w:numId w:val="5"/>
        </w:numPr>
        <w:pBdr>
          <w:top w:val="nil"/>
          <w:left w:val="nil"/>
          <w:bottom w:val="nil"/>
          <w:right w:val="nil"/>
          <w:between w:val="nil"/>
        </w:pBdr>
        <w:spacing w:after="0" w:line="360" w:lineRule="auto"/>
        <w:ind w:left="709"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dieciocho de abril de dos mil veintitrés, el Licenciado</w:t>
      </w:r>
      <w:r>
        <w:rPr>
          <w:color w:val="000000"/>
        </w:rPr>
        <w:t xml:space="preserve"> </w:t>
      </w:r>
      <w:r>
        <w:rPr>
          <w:rFonts w:ascii="Century Gothic" w:eastAsia="Century Gothic" w:hAnsi="Century Gothic" w:cs="Century Gothic"/>
          <w:color w:val="000000"/>
          <w:sz w:val="24"/>
          <w:szCs w:val="24"/>
        </w:rPr>
        <w:t xml:space="preserve">Diego Miguel Gregorio </w:t>
      </w:r>
      <w:proofErr w:type="gramStart"/>
      <w:r>
        <w:rPr>
          <w:rFonts w:ascii="Century Gothic" w:eastAsia="Century Gothic" w:hAnsi="Century Gothic" w:cs="Century Gothic"/>
          <w:color w:val="000000"/>
          <w:sz w:val="24"/>
          <w:szCs w:val="24"/>
        </w:rPr>
        <w:t>Jefe</w:t>
      </w:r>
      <w:proofErr w:type="gramEnd"/>
      <w:r>
        <w:rPr>
          <w:rFonts w:ascii="Century Gothic" w:eastAsia="Century Gothic" w:hAnsi="Century Gothic" w:cs="Century Gothic"/>
          <w:color w:val="000000"/>
          <w:sz w:val="24"/>
          <w:szCs w:val="24"/>
        </w:rPr>
        <w:t xml:space="preserve"> del Departamento de lo Contencioso y Administrativo dependiente de la Dirección de Asuntos Jurídicos de los Servicios de Salud, presenta un escrito ante este Tribunal de Justicia Administrativa, solicitando juicio de nulidad.</w:t>
      </w:r>
    </w:p>
    <w:p w14:paraId="0D5DC077" w14:textId="77777777" w:rsidR="008925EB" w:rsidRDefault="00CF0D35">
      <w:pPr>
        <w:numPr>
          <w:ilvl w:val="3"/>
          <w:numId w:val="5"/>
        </w:numPr>
        <w:pBdr>
          <w:top w:val="nil"/>
          <w:left w:val="nil"/>
          <w:bottom w:val="nil"/>
          <w:right w:val="nil"/>
          <w:between w:val="nil"/>
        </w:pBdr>
        <w:spacing w:after="0" w:line="360" w:lineRule="auto"/>
        <w:ind w:left="709" w:hanging="425"/>
        <w:jc w:val="both"/>
        <w:rPr>
          <w:rFonts w:ascii="Century Gothic" w:eastAsia="Century Gothic" w:hAnsi="Century Gothic" w:cs="Century Gothic"/>
          <w:color w:val="000000"/>
          <w:sz w:val="24"/>
          <w:szCs w:val="24"/>
        </w:rPr>
      </w:pPr>
      <w:bookmarkStart w:id="2" w:name="_heading=h.1fob9te" w:colFirst="0" w:colLast="0"/>
      <w:bookmarkEnd w:id="2"/>
      <w:r>
        <w:rPr>
          <w:rFonts w:ascii="Century Gothic" w:eastAsia="Century Gothic" w:hAnsi="Century Gothic" w:cs="Century Gothic"/>
          <w:color w:val="000000"/>
          <w:sz w:val="24"/>
          <w:szCs w:val="24"/>
        </w:rPr>
        <w:t>Por</w:t>
      </w:r>
      <w:r>
        <w:rPr>
          <w:rFonts w:ascii="Century Gothic" w:eastAsia="Century Gothic" w:hAnsi="Century Gothic" w:cs="Century Gothic"/>
          <w:color w:val="000000"/>
          <w:sz w:val="24"/>
          <w:szCs w:val="24"/>
        </w:rPr>
        <w:t xml:space="preserve"> acuerdo de veintiuno de abril de dos mil veintitrés, se desecha la demanda de nulidad, por no cumplir con los siguientes supuestos </w:t>
      </w:r>
      <w:r>
        <w:rPr>
          <w:rFonts w:ascii="Century Gothic" w:eastAsia="Century Gothic" w:hAnsi="Century Gothic" w:cs="Century Gothic"/>
          <w:b/>
          <w:color w:val="000000"/>
          <w:sz w:val="24"/>
          <w:szCs w:val="24"/>
        </w:rPr>
        <w:t>1.</w:t>
      </w:r>
      <w:r>
        <w:rPr>
          <w:rFonts w:ascii="Century Gothic" w:eastAsia="Century Gothic" w:hAnsi="Century Gothic" w:cs="Century Gothic"/>
          <w:color w:val="000000"/>
          <w:sz w:val="24"/>
          <w:szCs w:val="24"/>
        </w:rPr>
        <w:t xml:space="preserve"> Opten por no interponer el recurso ordinario en sede administrativa; </w:t>
      </w:r>
      <w:r>
        <w:rPr>
          <w:rFonts w:ascii="Century Gothic" w:eastAsia="Century Gothic" w:hAnsi="Century Gothic" w:cs="Century Gothic"/>
          <w:b/>
          <w:color w:val="000000"/>
          <w:sz w:val="24"/>
          <w:szCs w:val="24"/>
        </w:rPr>
        <w:t xml:space="preserve">2. </w:t>
      </w:r>
      <w:r>
        <w:rPr>
          <w:rFonts w:ascii="Century Gothic" w:eastAsia="Century Gothic" w:hAnsi="Century Gothic" w:cs="Century Gothic"/>
          <w:color w:val="000000"/>
          <w:sz w:val="24"/>
          <w:szCs w:val="24"/>
        </w:rPr>
        <w:t xml:space="preserve">Afirme que el crédito fiscal exigido se ha extinguido legalmente; </w:t>
      </w:r>
      <w:r>
        <w:rPr>
          <w:rFonts w:ascii="Century Gothic" w:eastAsia="Century Gothic" w:hAnsi="Century Gothic" w:cs="Century Gothic"/>
          <w:b/>
          <w:color w:val="000000"/>
          <w:sz w:val="24"/>
          <w:szCs w:val="24"/>
        </w:rPr>
        <w:t xml:space="preserve">3. </w:t>
      </w:r>
      <w:r>
        <w:rPr>
          <w:rFonts w:ascii="Century Gothic" w:eastAsia="Century Gothic" w:hAnsi="Century Gothic" w:cs="Century Gothic"/>
          <w:color w:val="000000"/>
          <w:sz w:val="24"/>
          <w:szCs w:val="24"/>
        </w:rPr>
        <w:t>Que el monto del crédito es inferior al exigible</w:t>
      </w:r>
      <w:r>
        <w:rPr>
          <w:rFonts w:ascii="Century Gothic" w:eastAsia="Century Gothic" w:hAnsi="Century Gothic" w:cs="Century Gothic"/>
          <w:b/>
          <w:color w:val="000000"/>
          <w:sz w:val="24"/>
          <w:szCs w:val="24"/>
        </w:rPr>
        <w:t xml:space="preserve">; 4. </w:t>
      </w:r>
      <w:r>
        <w:rPr>
          <w:rFonts w:ascii="Century Gothic" w:eastAsia="Century Gothic" w:hAnsi="Century Gothic" w:cs="Century Gothic"/>
          <w:color w:val="000000"/>
          <w:sz w:val="24"/>
          <w:szCs w:val="24"/>
        </w:rPr>
        <w:t xml:space="preserve">Que el poseedor, a título de propietario del bien del embargado; </w:t>
      </w:r>
      <w:r>
        <w:rPr>
          <w:rFonts w:ascii="Century Gothic" w:eastAsia="Century Gothic" w:hAnsi="Century Gothic" w:cs="Century Gothic"/>
          <w:b/>
          <w:color w:val="000000"/>
          <w:sz w:val="24"/>
          <w:szCs w:val="24"/>
        </w:rPr>
        <w:t>5.</w:t>
      </w:r>
      <w:r>
        <w:rPr>
          <w:rFonts w:ascii="Century Gothic" w:eastAsia="Century Gothic" w:hAnsi="Century Gothic" w:cs="Century Gothic"/>
          <w:color w:val="000000"/>
          <w:sz w:val="24"/>
          <w:szCs w:val="24"/>
        </w:rPr>
        <w:t xml:space="preserve"> Que el procedimiento coactivo no se ajustó a la ley; en ese último</w:t>
      </w:r>
      <w:r>
        <w:rPr>
          <w:rFonts w:ascii="Century Gothic" w:eastAsia="Century Gothic" w:hAnsi="Century Gothic" w:cs="Century Gothic"/>
          <w:color w:val="000000"/>
          <w:sz w:val="24"/>
          <w:szCs w:val="24"/>
        </w:rPr>
        <w:t xml:space="preserve"> caso, la oposición no se podrá hacer valer, sino contra la resolución que apruebe el remate, salvo se trate de resoluciones cuya ejecución material sea de imposible reparación; supuestos que no se actualizan en el caso; para interponer el juicio de nulida</w:t>
      </w:r>
      <w:r>
        <w:rPr>
          <w:rFonts w:ascii="Century Gothic" w:eastAsia="Century Gothic" w:hAnsi="Century Gothic" w:cs="Century Gothic"/>
          <w:color w:val="000000"/>
          <w:sz w:val="24"/>
          <w:szCs w:val="24"/>
        </w:rPr>
        <w:t>d, al haberse señalado que el procedimiento coactivo no se ajustó a la Ley, debe existir la resolución que aprobó el remate, lo cual tampoco antecede.</w:t>
      </w:r>
    </w:p>
    <w:p w14:paraId="60AD3F90" w14:textId="77777777" w:rsidR="008925EB" w:rsidRDefault="00CF0D35">
      <w:pPr>
        <w:numPr>
          <w:ilvl w:val="3"/>
          <w:numId w:val="5"/>
        </w:numPr>
        <w:pBdr>
          <w:top w:val="nil"/>
          <w:left w:val="nil"/>
          <w:bottom w:val="nil"/>
          <w:right w:val="nil"/>
          <w:between w:val="nil"/>
        </w:pBdr>
        <w:spacing w:line="360" w:lineRule="auto"/>
        <w:ind w:left="709" w:hanging="42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w:t>
      </w:r>
      <w:proofErr w:type="gramStart"/>
      <w:r>
        <w:rPr>
          <w:rFonts w:ascii="Century Gothic" w:eastAsia="Century Gothic" w:hAnsi="Century Gothic" w:cs="Century Gothic"/>
          <w:color w:val="000000"/>
          <w:sz w:val="24"/>
          <w:szCs w:val="24"/>
        </w:rPr>
        <w:t>Jefe</w:t>
      </w:r>
      <w:proofErr w:type="gramEnd"/>
      <w:r>
        <w:rPr>
          <w:rFonts w:ascii="Century Gothic" w:eastAsia="Century Gothic" w:hAnsi="Century Gothic" w:cs="Century Gothic"/>
          <w:color w:val="000000"/>
          <w:sz w:val="24"/>
          <w:szCs w:val="24"/>
        </w:rPr>
        <w:t xml:space="preserve"> del Departamento de lo Contencioso y Administrativo dependiente de la Dirección de Asuntos Jurídi</w:t>
      </w:r>
      <w:r>
        <w:rPr>
          <w:rFonts w:ascii="Century Gothic" w:eastAsia="Century Gothic" w:hAnsi="Century Gothic" w:cs="Century Gothic"/>
          <w:color w:val="000000"/>
          <w:sz w:val="24"/>
          <w:szCs w:val="24"/>
        </w:rPr>
        <w:t>cos de los Servicios de Salud, por escrito de veintitrés de mayo del presente año, interpuso recurso de revisión en contra el desechamiento de la demanda de nulidad.</w:t>
      </w:r>
    </w:p>
    <w:p w14:paraId="716C6933" w14:textId="77777777" w:rsidR="008925EB" w:rsidRDefault="00CF0D35">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Determinación recurrida. </w:t>
      </w:r>
      <w:r>
        <w:rPr>
          <w:rFonts w:ascii="Century Gothic" w:eastAsia="Century Gothic" w:hAnsi="Century Gothic" w:cs="Century Gothic"/>
          <w:color w:val="000000"/>
          <w:sz w:val="24"/>
          <w:szCs w:val="24"/>
        </w:rPr>
        <w:t xml:space="preserve">- - - - - - - - - - - - - - - - - - - - - - - - - </w:t>
      </w:r>
    </w:p>
    <w:p w14:paraId="670CCD53" w14:textId="77777777" w:rsidR="008925EB" w:rsidRDefault="00CF0D35">
      <w:pPr>
        <w:spacing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 In</w:t>
      </w:r>
      <w:r>
        <w:rPr>
          <w:rFonts w:ascii="Century Gothic" w:eastAsia="Century Gothic" w:hAnsi="Century Gothic" w:cs="Century Gothic"/>
          <w:sz w:val="24"/>
          <w:szCs w:val="24"/>
        </w:rPr>
        <w:t>conforme con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acuerdo de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veintiuno de abril de dos mil veintitrés, dentro del expediente 0303/2023 del índice de la Primera Sala Unitaria de Primera Instancia del Tribunal de Justicia Administrativa y </w:t>
      </w:r>
      <w:r>
        <w:rPr>
          <w:rFonts w:ascii="Century Gothic" w:eastAsia="Century Gothic" w:hAnsi="Century Gothic" w:cs="Century Gothic"/>
          <w:sz w:val="24"/>
          <w:szCs w:val="24"/>
        </w:rPr>
        <w:lastRenderedPageBreak/>
        <w:t>Combate a la Corrupción del Estado de Oaxaca</w:t>
      </w:r>
      <w:r>
        <w:rPr>
          <w:rFonts w:ascii="Century Gothic" w:eastAsia="Century Gothic" w:hAnsi="Century Gothic" w:cs="Century Gothic"/>
          <w:sz w:val="24"/>
          <w:szCs w:val="24"/>
          <w:vertAlign w:val="superscript"/>
        </w:rPr>
        <w:footnoteReference w:id="1"/>
      </w:r>
      <w:r>
        <w:rPr>
          <w:rFonts w:ascii="Century Gothic" w:eastAsia="Century Gothic" w:hAnsi="Century Gothic" w:cs="Century Gothic"/>
          <w:sz w:val="24"/>
          <w:szCs w:val="24"/>
        </w:rPr>
        <w:t>, relat</w:t>
      </w:r>
      <w:r>
        <w:rPr>
          <w:rFonts w:ascii="Century Gothic" w:eastAsia="Century Gothic" w:hAnsi="Century Gothic" w:cs="Century Gothic"/>
          <w:sz w:val="24"/>
          <w:szCs w:val="24"/>
        </w:rPr>
        <w:t>ivo al juicio de nulidad,</w:t>
      </w:r>
      <w:r>
        <w:rPr>
          <w:rFonts w:ascii="Century Gothic" w:eastAsia="Century Gothic" w:hAnsi="Century Gothic" w:cs="Century Gothic"/>
          <w:b/>
          <w:sz w:val="24"/>
          <w:szCs w:val="24"/>
        </w:rPr>
        <w:t xml:space="preserve"> Diego Miguel Gregorio Jefe del Departamento de lo Contencioso y Administrativo dependiente de la Dirección de Asuntos Jurídicos de los Servicios de Salud</w:t>
      </w:r>
      <w:r>
        <w:rPr>
          <w:rFonts w:ascii="Century Gothic" w:eastAsia="Century Gothic" w:hAnsi="Century Gothic" w:cs="Century Gothic"/>
          <w:sz w:val="24"/>
          <w:szCs w:val="24"/>
        </w:rPr>
        <w:t>, interpuso en su contra recurso de revisión, en la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parte relativa donde </w:t>
      </w:r>
      <w:r>
        <w:rPr>
          <w:rFonts w:ascii="Century Gothic" w:eastAsia="Century Gothic" w:hAnsi="Century Gothic" w:cs="Century Gothic"/>
          <w:b/>
          <w:sz w:val="24"/>
          <w:szCs w:val="24"/>
        </w:rPr>
        <w:t>se d</w:t>
      </w:r>
      <w:r>
        <w:rPr>
          <w:rFonts w:ascii="Century Gothic" w:eastAsia="Century Gothic" w:hAnsi="Century Gothic" w:cs="Century Gothic"/>
          <w:b/>
          <w:sz w:val="24"/>
          <w:szCs w:val="24"/>
        </w:rPr>
        <w:t>esecha la demanda de nulidad</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 - - - - - - - - - - - - - - - - </w:t>
      </w:r>
    </w:p>
    <w:p w14:paraId="712DD678" w14:textId="77777777" w:rsidR="008925EB" w:rsidRDefault="00CF0D35">
      <w:pPr>
        <w:spacing w:before="240" w:line="360" w:lineRule="auto"/>
        <w:ind w:left="851"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0689BA53" w14:textId="77777777" w:rsidR="008925EB" w:rsidRDefault="00CF0D35">
      <w:pPr>
        <w:spacing w:before="240" w:line="360" w:lineRule="auto"/>
        <w:ind w:firstLine="708"/>
        <w:jc w:val="both"/>
        <w:rPr>
          <w:rFonts w:ascii="Century Gothic" w:eastAsia="Century Gothic" w:hAnsi="Century Gothic" w:cs="Century Gothic"/>
          <w:b/>
          <w:sz w:val="24"/>
          <w:szCs w:val="24"/>
        </w:rPr>
      </w:pPr>
      <w:bookmarkStart w:id="4" w:name="_heading=h.3znysh7" w:colFirst="0" w:colLast="0"/>
      <w:bookmarkEnd w:id="4"/>
      <w:r>
        <w:rPr>
          <w:rFonts w:ascii="Century Gothic" w:eastAsia="Century Gothic" w:hAnsi="Century Gothic" w:cs="Century Gothic"/>
          <w:b/>
          <w:sz w:val="24"/>
          <w:szCs w:val="24"/>
        </w:rPr>
        <w:t xml:space="preserve">PRIMERO. Jurisdicción y Competencia. </w:t>
      </w:r>
      <w:r>
        <w:rPr>
          <w:rFonts w:ascii="Century Gothic" w:eastAsia="Century Gothic" w:hAnsi="Century Gothic" w:cs="Century Gothic"/>
          <w:color w:val="000000"/>
          <w:sz w:val="24"/>
          <w:szCs w:val="24"/>
        </w:rPr>
        <w:t xml:space="preserve">- - - - - - - - - - - - - - - - - - - - - - - </w:t>
      </w:r>
    </w:p>
    <w:p w14:paraId="6CBDB806" w14:textId="77777777" w:rsidR="008925EB" w:rsidRDefault="00CF0D35">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4.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Tribunal de Justicia Administrativa y Combate a la Corrupción del Estado de O</w:t>
      </w:r>
      <w:r>
        <w:rPr>
          <w:rFonts w:ascii="Century Gothic" w:eastAsia="Century Gothic" w:hAnsi="Century Gothic" w:cs="Century Gothic"/>
          <w:sz w:val="24"/>
          <w:szCs w:val="24"/>
        </w:rPr>
        <w:t>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para conocer del presente asunto, conforme a lo dispuesto por los artículos 114 </w:t>
      </w:r>
      <w:proofErr w:type="spellStart"/>
      <w:r>
        <w:rPr>
          <w:rFonts w:ascii="Century Gothic" w:eastAsia="Century Gothic" w:hAnsi="Century Gothic" w:cs="Century Gothic"/>
          <w:sz w:val="24"/>
          <w:szCs w:val="24"/>
        </w:rPr>
        <w:t>Quáter</w:t>
      </w:r>
      <w:proofErr w:type="spellEnd"/>
      <w:r>
        <w:rPr>
          <w:rFonts w:ascii="Century Gothic" w:eastAsia="Century Gothic" w:hAnsi="Century Gothic" w:cs="Century Gothic"/>
          <w:sz w:val="24"/>
          <w:szCs w:val="24"/>
          <w:vertAlign w:val="superscript"/>
        </w:rPr>
        <w:footnoteReference w:id="2"/>
      </w:r>
      <w:r>
        <w:rPr>
          <w:rFonts w:ascii="Century Gothic" w:eastAsia="Century Gothic" w:hAnsi="Century Gothic" w:cs="Century Gothic"/>
          <w:sz w:val="24"/>
          <w:szCs w:val="24"/>
        </w:rPr>
        <w:t xml:space="preserve"> de la Constitución Política del Estado Libre y Soberano de Oaxaca; 1, 2, 4, fracción VIII, 23, 24, fracciones I y III, 25, fracción I y 27 de la Ley Orgánica del Tribunal de Justicia Administrativa del Estado de Oaxaca, vigente; 120, 125, 127, 129,130 fra</w:t>
      </w:r>
      <w:r>
        <w:rPr>
          <w:rFonts w:ascii="Century Gothic" w:eastAsia="Century Gothic" w:hAnsi="Century Gothic" w:cs="Century Gothic"/>
          <w:sz w:val="24"/>
          <w:szCs w:val="24"/>
        </w:rPr>
        <w:t>cción l, 131, 201, 236 fracción I y 238 de la Ley de Procedimiento y Justicia Administrativa para el Estado de Oaxaca, dado que se trata de un recurso de revisión interpuesto en contra del acuerdo de veintiuno de abril del dos mil veintitrés, dictada por l</w:t>
      </w:r>
      <w:r>
        <w:rPr>
          <w:rFonts w:ascii="Century Gothic" w:eastAsia="Century Gothic" w:hAnsi="Century Gothic" w:cs="Century Gothic"/>
          <w:sz w:val="24"/>
          <w:szCs w:val="24"/>
        </w:rPr>
        <w:t>a entonces Sexta Sala Unitaria en el juicio de nulidad 0038/2023, ahora 0303/2023 de la Primera Sala Unitaria de Primera Instancia. - - - - - - - - - - - - - - - - - - - - - - - - - - - - - - - - - - - - - - - - - - - - - - - - - - -</w:t>
      </w:r>
    </w:p>
    <w:p w14:paraId="4549AF06" w14:textId="77777777" w:rsidR="008925EB" w:rsidRDefault="00CF0D35">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SEGUNDO. Requisitos de</w:t>
      </w:r>
      <w:r>
        <w:rPr>
          <w:rFonts w:ascii="Century Gothic" w:eastAsia="Century Gothic" w:hAnsi="Century Gothic" w:cs="Century Gothic"/>
          <w:b/>
          <w:sz w:val="24"/>
          <w:szCs w:val="24"/>
        </w:rPr>
        <w:t xml:space="preserve"> procedencia. </w:t>
      </w:r>
      <w:r>
        <w:rPr>
          <w:rFonts w:ascii="Century Gothic" w:eastAsia="Century Gothic" w:hAnsi="Century Gothic" w:cs="Century Gothic"/>
          <w:color w:val="000000"/>
          <w:sz w:val="24"/>
          <w:szCs w:val="24"/>
        </w:rPr>
        <w:t xml:space="preserve">- - - - - - - - - - - - - - - - - - - - - - - </w:t>
      </w:r>
    </w:p>
    <w:p w14:paraId="36CC41F0" w14:textId="77777777" w:rsidR="008925EB" w:rsidRDefault="00CF0D35">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 Se tienen por satisfechos los requisitos de procedencia previstos en los artículos 236 y 237 de la Ley de Procedimiento y Justicia Administrativa para el Estado de Oaxaca. - - - - - - - - - - - - - - - - - - - - - - - - -</w:t>
      </w:r>
    </w:p>
    <w:p w14:paraId="550A55F9" w14:textId="77777777" w:rsidR="008925EB" w:rsidRDefault="00CF0D35">
      <w:pPr>
        <w:numPr>
          <w:ilvl w:val="0"/>
          <w:numId w:val="1"/>
        </w:numPr>
        <w:pBdr>
          <w:top w:val="nil"/>
          <w:left w:val="nil"/>
          <w:bottom w:val="nil"/>
          <w:right w:val="nil"/>
          <w:between w:val="nil"/>
        </w:pBdr>
        <w:spacing w:before="240"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w:t>
      </w:r>
      <w:r>
        <w:rPr>
          <w:rFonts w:ascii="Century Gothic" w:eastAsia="Century Gothic" w:hAnsi="Century Gothic" w:cs="Century Gothic"/>
          <w:color w:val="000000"/>
          <w:sz w:val="24"/>
          <w:szCs w:val="24"/>
        </w:rPr>
        <w:t xml:space="preserve">o se efectuó conforme a los lineamientos que exige el artículo 236 de la Ley de Procedimiento, ya que se presentó por escrito, con la </w:t>
      </w:r>
      <w:r>
        <w:rPr>
          <w:rFonts w:ascii="Century Gothic" w:eastAsia="Century Gothic" w:hAnsi="Century Gothic" w:cs="Century Gothic"/>
          <w:color w:val="000000"/>
          <w:sz w:val="24"/>
          <w:szCs w:val="24"/>
        </w:rPr>
        <w:lastRenderedPageBreak/>
        <w:t xml:space="preserve">expresión de agravios ante la Sala que dictó el acuerdo que se impugna. - - - - - - - - - - - - - - - - - - - - - - - - - </w:t>
      </w:r>
      <w:r>
        <w:rPr>
          <w:rFonts w:ascii="Century Gothic" w:eastAsia="Century Gothic" w:hAnsi="Century Gothic" w:cs="Century Gothic"/>
          <w:color w:val="000000"/>
          <w:sz w:val="24"/>
          <w:szCs w:val="24"/>
        </w:rPr>
        <w:t>- - - - - - - - - - - - - -</w:t>
      </w:r>
    </w:p>
    <w:p w14:paraId="08911DBB" w14:textId="77777777" w:rsidR="008925EB" w:rsidRDefault="00CF0D35">
      <w:pPr>
        <w:numPr>
          <w:ilvl w:val="0"/>
          <w:numId w:val="1"/>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Se cumple tal requisito, toda vez que el acto impugnado fue notificado al recurrente, el jueves dieciocho de mayo de dos mil veintitrés, en tanto el correspondiente recurso se interpuso el veinticuatro de mayo del p</w:t>
      </w:r>
      <w:r>
        <w:rPr>
          <w:rFonts w:ascii="Century Gothic" w:eastAsia="Century Gothic" w:hAnsi="Century Gothic" w:cs="Century Gothic"/>
          <w:color w:val="000000"/>
          <w:sz w:val="24"/>
          <w:szCs w:val="24"/>
        </w:rPr>
        <w:t>resente año, siendo éste dentro del plazo de cinco días previsto en el artículo 236 de la Ley de Procedimiento, en virtud que el viernes diecinueve del mes en cita surtió efectos y empezando a correr el conteo a partir del lunes veintidós al viernes veinti</w:t>
      </w:r>
      <w:r>
        <w:rPr>
          <w:rFonts w:ascii="Century Gothic" w:eastAsia="Century Gothic" w:hAnsi="Century Gothic" w:cs="Century Gothic"/>
          <w:color w:val="000000"/>
          <w:sz w:val="24"/>
          <w:szCs w:val="24"/>
        </w:rPr>
        <w:t xml:space="preserve">séis de mayo, todos de dos mil veintitrés, sin ser contados los días veinte y veintiuno por ser sábado y domingo, al ser considerados inhábiles por la Ley de Procedimiento. - - - - - - - - - - - - - - - - - - - - - - - - - - - - - - - - - - - - </w:t>
      </w:r>
    </w:p>
    <w:p w14:paraId="422E5478" w14:textId="77777777" w:rsidR="008925EB" w:rsidRDefault="00CF0D35">
      <w:pPr>
        <w:numPr>
          <w:ilvl w:val="0"/>
          <w:numId w:val="1"/>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Legitimaci</w:t>
      </w:r>
      <w:r>
        <w:rPr>
          <w:rFonts w:ascii="Century Gothic" w:eastAsia="Century Gothic" w:hAnsi="Century Gothic" w:cs="Century Gothic"/>
          <w:b/>
          <w:color w:val="000000"/>
          <w:sz w:val="24"/>
          <w:szCs w:val="24"/>
        </w:rPr>
        <w:t xml:space="preserve">ón. </w:t>
      </w:r>
      <w:r>
        <w:rPr>
          <w:rFonts w:ascii="Century Gothic" w:eastAsia="Century Gothic" w:hAnsi="Century Gothic" w:cs="Century Gothic"/>
          <w:color w:val="000000"/>
          <w:sz w:val="24"/>
          <w:szCs w:val="24"/>
        </w:rPr>
        <w:t>El presente recurso fue interpuesto por parte legítima. Ello, porque de conformidad con lo señalado en el artículo 236 segundo párrafo de la Ley de Procedimiento de Oaxaca, el recurso de revisión en que se actúa, puede ser impugnado por las partes. - -</w:t>
      </w:r>
      <w:r>
        <w:rPr>
          <w:rFonts w:ascii="Century Gothic" w:eastAsia="Century Gothic" w:hAnsi="Century Gothic" w:cs="Century Gothic"/>
          <w:color w:val="000000"/>
          <w:sz w:val="24"/>
          <w:szCs w:val="24"/>
        </w:rPr>
        <w:t xml:space="preserve"> - - - - - - - - - - - - - - - - - - - - - - - - - -</w:t>
      </w:r>
    </w:p>
    <w:p w14:paraId="066B48A7" w14:textId="77777777" w:rsidR="008925EB" w:rsidRDefault="00CF0D35">
      <w:pPr>
        <w:numPr>
          <w:ilvl w:val="0"/>
          <w:numId w:val="1"/>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Ahora, por lo que hace a este requisito, éste se cumple, en virtud que la determinación de la Sala Unitaria de Primera Instancia que fue recurrida es contra un acuerdo en el que desecha la dem</w:t>
      </w:r>
      <w:r>
        <w:rPr>
          <w:rFonts w:ascii="Century Gothic" w:eastAsia="Century Gothic" w:hAnsi="Century Gothic" w:cs="Century Gothic"/>
          <w:color w:val="000000"/>
          <w:sz w:val="24"/>
          <w:szCs w:val="24"/>
        </w:rPr>
        <w:t>anda; por ende, se encuentra dentro de ese catálogo que enlista el numeral 236 fracción I, de la Ley de Procedimiento, por lo cual procede el recurso de revisión. - - - - - - - - - - - - - - - - - - - - - - - - - - - - - - - - - - - - - - - - - -</w:t>
      </w:r>
    </w:p>
    <w:p w14:paraId="5CCEE5F7" w14:textId="77777777" w:rsidR="008925EB" w:rsidRDefault="00CF0D35">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TERCERO. </w:t>
      </w:r>
      <w:r>
        <w:rPr>
          <w:rFonts w:ascii="Century Gothic" w:eastAsia="Century Gothic" w:hAnsi="Century Gothic" w:cs="Century Gothic"/>
          <w:b/>
          <w:sz w:val="24"/>
          <w:szCs w:val="24"/>
        </w:rPr>
        <w:t xml:space="preserve">Agravios. </w:t>
      </w:r>
      <w:r>
        <w:rPr>
          <w:rFonts w:ascii="Century Gothic" w:eastAsia="Century Gothic" w:hAnsi="Century Gothic" w:cs="Century Gothic"/>
          <w:color w:val="000000"/>
          <w:sz w:val="24"/>
          <w:szCs w:val="24"/>
        </w:rPr>
        <w:t xml:space="preserve">- - - - - - - - - - - - - - - - - - - - - - - - - - - - - - - - - - - - - - </w:t>
      </w:r>
    </w:p>
    <w:p w14:paraId="08591085" w14:textId="77777777" w:rsidR="008925EB" w:rsidRDefault="00CF0D35">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6. De las pretensiones hechas valer por la autoridad recurrente en el oficio respectivo de agravios; por lo que, tomando en consideración las características especiales del caso, no hay necesidad de verterlos en su literalidad, además, de que no se vulnera</w:t>
      </w:r>
      <w:r>
        <w:rPr>
          <w:rFonts w:ascii="Century Gothic" w:eastAsia="Century Gothic" w:hAnsi="Century Gothic" w:cs="Century Gothic"/>
          <w:sz w:val="24"/>
          <w:szCs w:val="24"/>
        </w:rPr>
        <w:t xml:space="preserve"> disposición expresa que imponga tal obligación, ni se transgrede derecho alguno, ya que se estudiarán y se le dará respuesta a cada uno de ellos. </w:t>
      </w:r>
      <w:r>
        <w:rPr>
          <w:rFonts w:ascii="Century Gothic" w:eastAsia="Century Gothic" w:hAnsi="Century Gothic" w:cs="Century Gothic"/>
          <w:color w:val="000000"/>
          <w:sz w:val="24"/>
          <w:szCs w:val="24"/>
        </w:rPr>
        <w:t xml:space="preserve">- - - - - - - - - - - - - - - </w:t>
      </w:r>
    </w:p>
    <w:p w14:paraId="5BDB8559" w14:textId="77777777" w:rsidR="008925EB" w:rsidRDefault="00CF0D35">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7. Sirve de apoyo a lo anterior, la Jurisprudencia 2a./J. 58/2010 de número de</w:t>
      </w:r>
      <w:r>
        <w:rPr>
          <w:rFonts w:ascii="Century Gothic" w:eastAsia="Century Gothic" w:hAnsi="Century Gothic" w:cs="Century Gothic"/>
          <w:sz w:val="24"/>
          <w:szCs w:val="24"/>
        </w:rPr>
        <w:t xml:space="preserve"> registro 164618 emitida por la Segunda Sala de la Suprema Corte de Justicia de la Nación, publicada en el Semanario Judicial de la </w:t>
      </w:r>
      <w:r>
        <w:rPr>
          <w:rFonts w:ascii="Century Gothic" w:eastAsia="Century Gothic" w:hAnsi="Century Gothic" w:cs="Century Gothic"/>
          <w:sz w:val="24"/>
          <w:szCs w:val="24"/>
        </w:rPr>
        <w:lastRenderedPageBreak/>
        <w:t>Federación y su Gaceta, en la Novena Época, Tomo XXXI, mayo de 2010, página 830, materia común, de rubro y texto siguientes:</w:t>
      </w:r>
      <w:r>
        <w:rPr>
          <w:rFonts w:ascii="Century Gothic" w:eastAsia="Century Gothic" w:hAnsi="Century Gothic" w:cs="Century Gothic"/>
          <w:sz w:val="24"/>
          <w:szCs w:val="24"/>
        </w:rPr>
        <w:t xml:space="preserve"> - - - - - - - - - - - - - -</w:t>
      </w:r>
    </w:p>
    <w:p w14:paraId="0F9788AB" w14:textId="77777777" w:rsidR="008925EB" w:rsidRDefault="00CF0D35">
      <w:pPr>
        <w:spacing w:before="240"/>
        <w:ind w:left="1134" w:right="332"/>
        <w:jc w:val="both"/>
        <w:rPr>
          <w:rFonts w:ascii="Century Gothic" w:eastAsia="Century Gothic" w:hAnsi="Century Gothic" w:cs="Century Gothic"/>
        </w:rPr>
      </w:pPr>
      <w:r>
        <w:rPr>
          <w:rFonts w:ascii="Century Gothic" w:eastAsia="Century Gothic" w:hAnsi="Century Gothic" w:cs="Century Gothic"/>
          <w:b/>
        </w:rPr>
        <w:t>“</w:t>
      </w:r>
      <w:r>
        <w:rPr>
          <w:rFonts w:ascii="Century Gothic" w:eastAsia="Century Gothic" w:hAnsi="Century Gothic" w:cs="Century Gothic"/>
          <w:b/>
          <w:i/>
        </w:rPr>
        <w:t>CONCEPTOS DE VIOLACIÓN O AGRAVIOS. PARA CUMPLIR CON LOS PRINCIPIOS DE CONGRUENCIA Y EXHAUSTIVIDAD EN LAS SENTENCIAS DE AMPARO ES INNECESARIA SU TRANSCRIPCIÓN”.</w:t>
      </w:r>
      <w:r>
        <w:rPr>
          <w:rFonts w:ascii="Century Gothic" w:eastAsia="Century Gothic" w:hAnsi="Century Gothic" w:cs="Century Gothic"/>
          <w:b/>
          <w:i/>
          <w:vertAlign w:val="superscript"/>
        </w:rPr>
        <w:footnoteReference w:id="3"/>
      </w:r>
    </w:p>
    <w:p w14:paraId="4362B9B9" w14:textId="77777777" w:rsidR="008925EB" w:rsidRDefault="00CF0D35">
      <w:pPr>
        <w:spacing w:before="240" w:line="360" w:lineRule="auto"/>
        <w:ind w:firstLine="708"/>
        <w:jc w:val="both"/>
        <w:rPr>
          <w:rFonts w:ascii="Century Gothic" w:eastAsia="Century Gothic" w:hAnsi="Century Gothic" w:cs="Century Gothic"/>
          <w:sz w:val="24"/>
          <w:szCs w:val="24"/>
        </w:rPr>
      </w:pPr>
      <w:bookmarkStart w:id="7" w:name="_heading=h.2et92p0" w:colFirst="0" w:colLast="0"/>
      <w:bookmarkEnd w:id="7"/>
      <w:r>
        <w:rPr>
          <w:rFonts w:ascii="Century Gothic" w:eastAsia="Century Gothic" w:hAnsi="Century Gothic" w:cs="Century Gothic"/>
          <w:sz w:val="24"/>
          <w:szCs w:val="24"/>
        </w:rPr>
        <w:t xml:space="preserve">8. Ahora bien, de lo expuesto por la autoridad recurrente en su </w:t>
      </w:r>
      <w:r>
        <w:rPr>
          <w:rFonts w:ascii="Century Gothic" w:eastAsia="Century Gothic" w:hAnsi="Century Gothic" w:cs="Century Gothic"/>
          <w:sz w:val="24"/>
          <w:szCs w:val="24"/>
        </w:rPr>
        <w:t>escrito expresa dos</w:t>
      </w:r>
      <w:r>
        <w:rPr>
          <w:rFonts w:ascii="Century Gothic" w:eastAsia="Century Gothic" w:hAnsi="Century Gothic" w:cs="Century Gothic"/>
          <w:b/>
          <w:sz w:val="24"/>
          <w:szCs w:val="24"/>
        </w:rPr>
        <w:t xml:space="preserve"> agravios, </w:t>
      </w:r>
      <w:r>
        <w:rPr>
          <w:rFonts w:ascii="Century Gothic" w:eastAsia="Century Gothic" w:hAnsi="Century Gothic" w:cs="Century Gothic"/>
          <w:sz w:val="24"/>
          <w:szCs w:val="24"/>
        </w:rPr>
        <w:t>siendo que en esencia señala lo siguiente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 </w:t>
      </w:r>
    </w:p>
    <w:p w14:paraId="3D7BD17D" w14:textId="77777777" w:rsidR="008925EB" w:rsidRDefault="00CF0D35">
      <w:pPr>
        <w:numPr>
          <w:ilvl w:val="0"/>
          <w:numId w:val="2"/>
        </w:numPr>
        <w:pBdr>
          <w:top w:val="nil"/>
          <w:left w:val="nil"/>
          <w:bottom w:val="nil"/>
          <w:right w:val="nil"/>
          <w:between w:val="nil"/>
        </w:pBdr>
        <w:spacing w:before="240" w:after="0" w:line="360" w:lineRule="auto"/>
        <w:ind w:left="1134"/>
        <w:jc w:val="both"/>
        <w:rPr>
          <w:rFonts w:ascii="Century Gothic" w:eastAsia="Century Gothic" w:hAnsi="Century Gothic" w:cs="Century Gothic"/>
          <w:color w:val="000000"/>
          <w:sz w:val="24"/>
          <w:szCs w:val="24"/>
        </w:rPr>
      </w:pPr>
      <w:r>
        <w:rPr>
          <w:rFonts w:ascii="Arial" w:eastAsia="Arial" w:hAnsi="Arial" w:cs="Arial"/>
          <w:b/>
          <w:color w:val="000000"/>
          <w:sz w:val="26"/>
          <w:szCs w:val="26"/>
        </w:rPr>
        <w:t>En el primer agravio:</w:t>
      </w:r>
      <w:r>
        <w:rPr>
          <w:rFonts w:ascii="Century Gothic" w:eastAsia="Century Gothic" w:hAnsi="Century Gothic" w:cs="Century Gothic"/>
          <w:color w:val="000000"/>
          <w:sz w:val="24"/>
          <w:szCs w:val="24"/>
        </w:rPr>
        <w:t xml:space="preserve"> manifiesta que es ilegal que la Sala Unitaria determinara desechar la demanda, toda vez que su representado Servicios de Salud de Oaxaca es un Organismo Descentralizado de la Administración Pública Paraestatal, por ende, le es aplicable los artículos 4 de</w:t>
      </w:r>
      <w:r>
        <w:rPr>
          <w:rFonts w:ascii="Century Gothic" w:eastAsia="Century Gothic" w:hAnsi="Century Gothic" w:cs="Century Gothic"/>
          <w:color w:val="000000"/>
          <w:sz w:val="24"/>
          <w:szCs w:val="24"/>
        </w:rPr>
        <w:t>l Código Federal de Procedimientos Civiles y 5 de la Ley de Entidades Paraestatales del Estado de Oaxaca, y sus bienes son patrimonio del Estado, por tanto, inembargables.</w:t>
      </w:r>
    </w:p>
    <w:p w14:paraId="522075BC" w14:textId="77777777" w:rsidR="008925EB" w:rsidRDefault="00CF0D35">
      <w:pPr>
        <w:numPr>
          <w:ilvl w:val="0"/>
          <w:numId w:val="2"/>
        </w:numPr>
        <w:pBdr>
          <w:top w:val="nil"/>
          <w:left w:val="nil"/>
          <w:bottom w:val="nil"/>
          <w:right w:val="nil"/>
          <w:between w:val="nil"/>
        </w:pBdr>
        <w:spacing w:after="40" w:line="360" w:lineRule="auto"/>
        <w:ind w:left="1134"/>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En el segundo agravio:</w:t>
      </w:r>
    </w:p>
    <w:p w14:paraId="42519885" w14:textId="77777777" w:rsidR="008925EB" w:rsidRDefault="00CF0D35">
      <w:pPr>
        <w:numPr>
          <w:ilvl w:val="0"/>
          <w:numId w:val="3"/>
        </w:numPr>
        <w:pBdr>
          <w:top w:val="nil"/>
          <w:left w:val="nil"/>
          <w:bottom w:val="nil"/>
          <w:right w:val="nil"/>
          <w:between w:val="nil"/>
        </w:pBdr>
        <w:spacing w:before="40" w:line="360" w:lineRule="auto"/>
        <w:ind w:left="1418" w:right="49" w:hanging="284"/>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Inicia reiterando parte de lo señalado en su primer agravio y refiere que del mandamiento de ejecución 330113022300851 de trece de febrero de dos mil veintitrés, y el acta de Requerimiento de pago de uno de marzo de dos mil veintitrés, no ponen fin al proc</w:t>
      </w:r>
      <w:r>
        <w:rPr>
          <w:rFonts w:ascii="Century Gothic" w:eastAsia="Century Gothic" w:hAnsi="Century Gothic" w:cs="Century Gothic"/>
          <w:color w:val="000000"/>
          <w:sz w:val="24"/>
          <w:szCs w:val="24"/>
        </w:rPr>
        <w:t>edimiento administrativo, no tienen la calidad de definitivos y no causan agravio a mi representado y por lo tanto, no se actualiza lo establecido en el artículo 98 de la Ley de Procedimiento y Justicia Administrativa para el Estado de Oaxaca.</w:t>
      </w:r>
    </w:p>
    <w:p w14:paraId="4F54FD62" w14:textId="77777777" w:rsidR="008925EB" w:rsidRDefault="00CF0D35">
      <w:pPr>
        <w:numPr>
          <w:ilvl w:val="0"/>
          <w:numId w:val="3"/>
        </w:numPr>
        <w:pBdr>
          <w:top w:val="nil"/>
          <w:left w:val="nil"/>
          <w:bottom w:val="nil"/>
          <w:right w:val="nil"/>
          <w:between w:val="nil"/>
        </w:pBdr>
        <w:spacing w:before="240" w:line="360" w:lineRule="auto"/>
        <w:ind w:left="1418" w:right="49" w:hanging="284"/>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Dichos actos</w:t>
      </w:r>
      <w:r>
        <w:rPr>
          <w:rFonts w:ascii="Century Gothic" w:eastAsia="Century Gothic" w:hAnsi="Century Gothic" w:cs="Century Gothic"/>
          <w:color w:val="000000"/>
          <w:sz w:val="24"/>
          <w:szCs w:val="24"/>
        </w:rPr>
        <w:t xml:space="preserve"> si se encuentran dentro de lo establecido en el Artículo 133 fracción VII de la Ley de Procedimiento y Justicia Administrativa para el Estado de Oaxaca, por lo tanto, </w:t>
      </w:r>
      <w:r>
        <w:rPr>
          <w:rFonts w:ascii="Century Gothic" w:eastAsia="Century Gothic" w:hAnsi="Century Gothic" w:cs="Century Gothic"/>
          <w:color w:val="000000"/>
          <w:sz w:val="24"/>
          <w:szCs w:val="24"/>
        </w:rPr>
        <w:lastRenderedPageBreak/>
        <w:t>debieron admitirla y declararlo procedente, el recurso de revisión.</w:t>
      </w:r>
    </w:p>
    <w:p w14:paraId="0A8974FE" w14:textId="77777777" w:rsidR="008925EB" w:rsidRDefault="00CF0D35">
      <w:pPr>
        <w:numPr>
          <w:ilvl w:val="0"/>
          <w:numId w:val="3"/>
        </w:numPr>
        <w:pBdr>
          <w:top w:val="nil"/>
          <w:left w:val="nil"/>
          <w:bottom w:val="nil"/>
          <w:right w:val="nil"/>
          <w:between w:val="nil"/>
        </w:pBdr>
        <w:spacing w:before="240" w:line="360" w:lineRule="auto"/>
        <w:ind w:left="1418" w:right="49" w:hanging="284"/>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último, refiere </w:t>
      </w:r>
      <w:r>
        <w:rPr>
          <w:rFonts w:ascii="Century Gothic" w:eastAsia="Century Gothic" w:hAnsi="Century Gothic" w:cs="Century Gothic"/>
          <w:color w:val="000000"/>
          <w:sz w:val="24"/>
          <w:szCs w:val="24"/>
        </w:rPr>
        <w:t xml:space="preserve">que el recurso de revocación es optativo, como lo prevé el artículo 425 del Código Fiscal para el Estado de Oaxaca, y ante la </w:t>
      </w:r>
      <w:proofErr w:type="spellStart"/>
      <w:r>
        <w:rPr>
          <w:rFonts w:ascii="Century Gothic" w:eastAsia="Century Gothic" w:hAnsi="Century Gothic" w:cs="Century Gothic"/>
          <w:color w:val="000000"/>
          <w:sz w:val="24"/>
          <w:szCs w:val="24"/>
        </w:rPr>
        <w:t>optatividad</w:t>
      </w:r>
      <w:proofErr w:type="spellEnd"/>
      <w:r>
        <w:rPr>
          <w:rFonts w:ascii="Century Gothic" w:eastAsia="Century Gothic" w:hAnsi="Century Gothic" w:cs="Century Gothic"/>
          <w:color w:val="000000"/>
          <w:sz w:val="24"/>
          <w:szCs w:val="24"/>
        </w:rPr>
        <w:t xml:space="preserve"> de interponerlo, no se está obligado a presentarlo ante la autoridad recaudadora; en consecuencia, al tener la natural</w:t>
      </w:r>
      <w:r>
        <w:rPr>
          <w:rFonts w:ascii="Century Gothic" w:eastAsia="Century Gothic" w:hAnsi="Century Gothic" w:cs="Century Gothic"/>
          <w:color w:val="000000"/>
          <w:sz w:val="24"/>
          <w:szCs w:val="24"/>
        </w:rPr>
        <w:t>eza de actos o resoluciones definitivas, procede el juicio de nulidad.</w:t>
      </w:r>
    </w:p>
    <w:p w14:paraId="5659E653"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CUARTO. Estudio y contestación de los agravios</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 - - - - - - - - - - - - - - </w:t>
      </w:r>
    </w:p>
    <w:p w14:paraId="51E5E4E1"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9. Por razón de método, se contestarán en la forma en que los expuso el recurrente, en donde se estudiarán</w:t>
      </w:r>
      <w:r>
        <w:rPr>
          <w:rFonts w:ascii="Century Gothic" w:eastAsia="Century Gothic" w:hAnsi="Century Gothic" w:cs="Century Gothic"/>
          <w:sz w:val="24"/>
          <w:szCs w:val="24"/>
        </w:rPr>
        <w:t xml:space="preserve"> todos los motivos de disenso, esto es, que no omita estudiar alguno, y al analizar éstos, se resolverá sobre el fondo señalado de los mismos. - - - - - - - - - - - - - - - - - - - - - - - - - - - - - - - - </w:t>
      </w:r>
    </w:p>
    <w:p w14:paraId="7B8A66B3" w14:textId="77777777" w:rsidR="008925EB" w:rsidRDefault="00CF0D35">
      <w:pPr>
        <w:spacing w:before="240" w:after="0" w:line="360" w:lineRule="auto"/>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10. El análisis de los conceptos propuestos, se </w:t>
      </w:r>
      <w:r>
        <w:rPr>
          <w:rFonts w:ascii="Century Gothic" w:eastAsia="Century Gothic" w:hAnsi="Century Gothic" w:cs="Century Gothic"/>
          <w:sz w:val="24"/>
          <w:szCs w:val="24"/>
        </w:rPr>
        <w:t xml:space="preserve">realizará con base en el principio de estricto derecho, por tratarse de materia administrativa, en el que no se actualiza alguno de los supuestos de suplencia de la deficiencia de la queja. - - - - - - - - - - - - - - - - - - - - - - - - - - - - - - - - - </w:t>
      </w:r>
      <w:r>
        <w:rPr>
          <w:rFonts w:ascii="Century Gothic" w:eastAsia="Century Gothic" w:hAnsi="Century Gothic" w:cs="Century Gothic"/>
          <w:sz w:val="24"/>
          <w:szCs w:val="24"/>
        </w:rPr>
        <w:t xml:space="preserve">- - - - - - </w:t>
      </w:r>
    </w:p>
    <w:p w14:paraId="0792CE80"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 De los argumentos previamente sintetizados en su </w:t>
      </w:r>
      <w:r>
        <w:rPr>
          <w:rFonts w:ascii="Century Gothic" w:eastAsia="Century Gothic" w:hAnsi="Century Gothic" w:cs="Century Gothic"/>
          <w:b/>
          <w:sz w:val="24"/>
          <w:szCs w:val="24"/>
        </w:rPr>
        <w:t>primer agravio</w:t>
      </w:r>
      <w:r>
        <w:rPr>
          <w:rFonts w:ascii="Century Gothic" w:eastAsia="Century Gothic" w:hAnsi="Century Gothic" w:cs="Century Gothic"/>
          <w:sz w:val="24"/>
          <w:szCs w:val="24"/>
        </w:rPr>
        <w:t xml:space="preserve"> y del análisis del acuerdo emitidos por la Sala de Primera Instancia en el expediente en estudio, se puede llegar a la conclusión que el agravio hecho valer </w:t>
      </w:r>
      <w:r>
        <w:rPr>
          <w:rFonts w:ascii="Century Gothic" w:eastAsia="Century Gothic" w:hAnsi="Century Gothic" w:cs="Century Gothic"/>
          <w:b/>
          <w:sz w:val="24"/>
          <w:szCs w:val="24"/>
        </w:rPr>
        <w:t>es fundado,</w:t>
      </w:r>
      <w:r>
        <w:rPr>
          <w:rFonts w:ascii="Century Gothic" w:eastAsia="Century Gothic" w:hAnsi="Century Gothic" w:cs="Century Gothic"/>
          <w:sz w:val="24"/>
          <w:szCs w:val="24"/>
        </w:rPr>
        <w:t xml:space="preserve"> con la</w:t>
      </w:r>
      <w:r>
        <w:rPr>
          <w:rFonts w:ascii="Century Gothic" w:eastAsia="Century Gothic" w:hAnsi="Century Gothic" w:cs="Century Gothic"/>
          <w:sz w:val="24"/>
          <w:szCs w:val="24"/>
        </w:rPr>
        <w:t xml:space="preserve"> única aclaración que se realizará más adelante. - - - - - - - - - - - - - - - - - - - - - - - - - - - - - - - - - - - - - - - - - - - - - - - - - - </w:t>
      </w:r>
    </w:p>
    <w:p w14:paraId="2608C684"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12. En primer término, respecto a la precisión que efectúa de que “Servicios de Salud de Oaxaca”, es un Or</w:t>
      </w:r>
      <w:r>
        <w:rPr>
          <w:rFonts w:ascii="Century Gothic" w:eastAsia="Century Gothic" w:hAnsi="Century Gothic" w:cs="Century Gothic"/>
          <w:sz w:val="24"/>
          <w:szCs w:val="24"/>
        </w:rPr>
        <w:t>ganismo Público Descentralizado de la Administración Pública Estatal; dicho señalamiento es correcto, en virtud que, por decreto número 27 tomo LXXVII, publicado en el Periódico Oficial del Estado, el lunes veintitrés de septiembre de mil novecientos noven</w:t>
      </w:r>
      <w:r>
        <w:rPr>
          <w:rFonts w:ascii="Century Gothic" w:eastAsia="Century Gothic" w:hAnsi="Century Gothic" w:cs="Century Gothic"/>
          <w:sz w:val="24"/>
          <w:szCs w:val="24"/>
        </w:rPr>
        <w:t>ta y seis, con entrada en vigor al día siguiente de su publicación,  en su artículo 1 refiere que se crea los</w:t>
      </w:r>
      <w:r>
        <w:t xml:space="preserve"> </w:t>
      </w:r>
      <w:r>
        <w:rPr>
          <w:rFonts w:ascii="Century Gothic" w:eastAsia="Century Gothic" w:hAnsi="Century Gothic" w:cs="Century Gothic"/>
          <w:sz w:val="24"/>
          <w:szCs w:val="24"/>
        </w:rPr>
        <w:t xml:space="preserve">“Servicios de Salud de Oaxaca” con el carácter de </w:t>
      </w:r>
      <w:r>
        <w:rPr>
          <w:rFonts w:ascii="Century Gothic" w:eastAsia="Century Gothic" w:hAnsi="Century Gothic" w:cs="Century Gothic"/>
          <w:sz w:val="24"/>
          <w:szCs w:val="24"/>
          <w:u w:val="single"/>
        </w:rPr>
        <w:t>Organismo Descentralizado de la Administración Pública Estatal</w:t>
      </w:r>
      <w:r>
        <w:rPr>
          <w:rFonts w:ascii="Century Gothic" w:eastAsia="Century Gothic" w:hAnsi="Century Gothic" w:cs="Century Gothic"/>
          <w:sz w:val="24"/>
          <w:szCs w:val="24"/>
        </w:rPr>
        <w:t>, con personalidad jurídica y patr</w:t>
      </w:r>
      <w:r>
        <w:rPr>
          <w:rFonts w:ascii="Century Gothic" w:eastAsia="Century Gothic" w:hAnsi="Century Gothic" w:cs="Century Gothic"/>
          <w:sz w:val="24"/>
          <w:szCs w:val="24"/>
        </w:rPr>
        <w:t xml:space="preserve">imonio propio. - - - - - - - - - - - - - - - </w:t>
      </w:r>
    </w:p>
    <w:p w14:paraId="39B46A67"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13. Ahora bien, respecto a los numerales de las normatividades citadas en su agravio, primero menciona que le es aplicable el artículo 5 de la Ley de Entidades Paraestatales del Estado de Oaxaca, lo cual, </w:t>
      </w:r>
      <w:r>
        <w:rPr>
          <w:rFonts w:ascii="Century Gothic" w:eastAsia="Century Gothic" w:hAnsi="Century Gothic" w:cs="Century Gothic"/>
          <w:sz w:val="24"/>
          <w:szCs w:val="24"/>
        </w:rPr>
        <w:lastRenderedPageBreak/>
        <w:t>efectivamente le es aplicable, al ser los Servicios</w:t>
      </w:r>
      <w:r>
        <w:rPr>
          <w:rFonts w:ascii="Century Gothic" w:eastAsia="Century Gothic" w:hAnsi="Century Gothic" w:cs="Century Gothic"/>
          <w:sz w:val="24"/>
          <w:szCs w:val="24"/>
        </w:rPr>
        <w:t xml:space="preserve"> de Salud un Organismo Público Descentralizado de la Administración Pública del Estado</w:t>
      </w:r>
      <w:r>
        <w:rPr>
          <w:rFonts w:ascii="Century Gothic" w:eastAsia="Century Gothic" w:hAnsi="Century Gothic" w:cs="Century Gothic"/>
          <w:sz w:val="24"/>
          <w:szCs w:val="24"/>
          <w:vertAlign w:val="superscript"/>
        </w:rPr>
        <w:footnoteReference w:id="4"/>
      </w:r>
      <w:r>
        <w:rPr>
          <w:rFonts w:ascii="Century Gothic" w:eastAsia="Century Gothic" w:hAnsi="Century Gothic" w:cs="Century Gothic"/>
          <w:sz w:val="24"/>
          <w:szCs w:val="24"/>
        </w:rPr>
        <w:t xml:space="preserve">. - - - - - - </w:t>
      </w:r>
    </w:p>
    <w:p w14:paraId="5962D0F3"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14. Referente al artículo 4 del Código Federal de Procedimientos Civiles, debe aseverarse que la Ley Estatal de Salud del Estado de Oaxaca, dispone que la presente normatividad, así como la Constitución Política de los Estados Unidos Mexicanos, la Constitu</w:t>
      </w:r>
      <w:r>
        <w:rPr>
          <w:rFonts w:ascii="Century Gothic" w:eastAsia="Century Gothic" w:hAnsi="Century Gothic" w:cs="Century Gothic"/>
          <w:sz w:val="24"/>
          <w:szCs w:val="24"/>
        </w:rPr>
        <w:t>ción Política del Estado Libre y Soberano de Oaxaca, la Ley General de Salud, son de aplicación obligatoria en el Estado; asimismo en diversos artículos de la Ley Estatal de Salud refieren que se aplicará supletoriamente</w:t>
      </w:r>
      <w:r>
        <w:rPr>
          <w:rFonts w:ascii="Century Gothic" w:eastAsia="Century Gothic" w:hAnsi="Century Gothic" w:cs="Century Gothic"/>
          <w:sz w:val="24"/>
          <w:szCs w:val="24"/>
          <w:vertAlign w:val="superscript"/>
        </w:rPr>
        <w:footnoteReference w:id="5"/>
      </w:r>
      <w:r>
        <w:rPr>
          <w:rFonts w:ascii="Century Gothic" w:eastAsia="Century Gothic" w:hAnsi="Century Gothic" w:cs="Century Gothic"/>
          <w:sz w:val="24"/>
          <w:szCs w:val="24"/>
        </w:rPr>
        <w:t xml:space="preserve"> el Código de Procedimientos Civil</w:t>
      </w:r>
      <w:r>
        <w:rPr>
          <w:rFonts w:ascii="Century Gothic" w:eastAsia="Century Gothic" w:hAnsi="Century Gothic" w:cs="Century Gothic"/>
          <w:sz w:val="24"/>
          <w:szCs w:val="24"/>
        </w:rPr>
        <w:t xml:space="preserve">es del Estado, por ende, es errónea la aseveración que efectúa respecto de ser aplicable las normas previstas en el Código Federal de Procedimientos Civiles. - - - - - - - - - - - - - - - - - - - - - - - - - - - - - - - </w:t>
      </w:r>
    </w:p>
    <w:p w14:paraId="3EF6EAD2"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15. Aunado a lo que antecede, la Le</w:t>
      </w:r>
      <w:r>
        <w:rPr>
          <w:rFonts w:ascii="Century Gothic" w:eastAsia="Century Gothic" w:hAnsi="Century Gothic" w:cs="Century Gothic"/>
          <w:sz w:val="24"/>
          <w:szCs w:val="24"/>
        </w:rPr>
        <w:t>y de Procedimiento y Justicia Administrativa para el Estado de Oaxaca, determina en su numeral 147, que en los juicios de lo Contencioso Administrativo y Fiscal que se promuevan ante el Tribunal, se substanciarán y resolverán con arreglo a las disposicione</w:t>
      </w:r>
      <w:r>
        <w:rPr>
          <w:rFonts w:ascii="Century Gothic" w:eastAsia="Century Gothic" w:hAnsi="Century Gothic" w:cs="Century Gothic"/>
          <w:sz w:val="24"/>
          <w:szCs w:val="24"/>
        </w:rPr>
        <w:t xml:space="preserve">s de esta Ley, siendo que a falta de disposición expresa, se aplicarán supletoriamente el </w:t>
      </w:r>
      <w:r>
        <w:rPr>
          <w:rFonts w:ascii="Century Gothic" w:eastAsia="Century Gothic" w:hAnsi="Century Gothic" w:cs="Century Gothic"/>
          <w:b/>
          <w:sz w:val="24"/>
          <w:szCs w:val="24"/>
          <w:u w:val="single"/>
        </w:rPr>
        <w:t>Código de Procedimientos Civiles para el Estado de Oaxaca</w:t>
      </w:r>
      <w:r>
        <w:rPr>
          <w:rFonts w:ascii="Century Gothic" w:eastAsia="Century Gothic" w:hAnsi="Century Gothic" w:cs="Century Gothic"/>
          <w:sz w:val="24"/>
          <w:szCs w:val="24"/>
        </w:rPr>
        <w:t>, por lo tanto, no es asequible que se aplique el Código Federal, si este no es determinada en la ley, para e</w:t>
      </w:r>
      <w:r>
        <w:rPr>
          <w:rFonts w:ascii="Century Gothic" w:eastAsia="Century Gothic" w:hAnsi="Century Gothic" w:cs="Century Gothic"/>
          <w:sz w:val="24"/>
          <w:szCs w:val="24"/>
        </w:rPr>
        <w:t xml:space="preserve">l caso concreto de estudio en la presente. - - - - - - - - - - - - - - - - - - - - - - - - - - - - - - - - - - - - - - - - </w:t>
      </w:r>
    </w:p>
    <w:p w14:paraId="219B4D63"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16. No obstante lo expuesto en el párrafo que antecede, aun cuando se dijo que el recurrente no estuvo en lo correcto en señalar que</w:t>
      </w:r>
      <w:r>
        <w:rPr>
          <w:rFonts w:ascii="Century Gothic" w:eastAsia="Century Gothic" w:hAnsi="Century Gothic" w:cs="Century Gothic"/>
          <w:sz w:val="24"/>
          <w:szCs w:val="24"/>
        </w:rPr>
        <w:t xml:space="preserve"> era aplicable en el caso en concreto el Código Federal para fundar su dicho; </w:t>
      </w:r>
      <w:r>
        <w:rPr>
          <w:rFonts w:ascii="Century Gothic" w:eastAsia="Century Gothic" w:hAnsi="Century Gothic" w:cs="Century Gothic"/>
          <w:sz w:val="24"/>
          <w:szCs w:val="24"/>
          <w:u w:val="single"/>
        </w:rPr>
        <w:t>debe aclararse</w:t>
      </w:r>
      <w:r>
        <w:rPr>
          <w:rFonts w:ascii="Century Gothic" w:eastAsia="Century Gothic" w:hAnsi="Century Gothic" w:cs="Century Gothic"/>
          <w:sz w:val="24"/>
          <w:szCs w:val="24"/>
        </w:rPr>
        <w:t xml:space="preserve"> que la motivación y el fundamento de la otra normatividad que señaló en su agravio son correctas, por lo tanto, este </w:t>
      </w:r>
      <w:r>
        <w:rPr>
          <w:rFonts w:ascii="Century Gothic" w:eastAsia="Century Gothic" w:hAnsi="Century Gothic" w:cs="Century Gothic"/>
          <w:sz w:val="24"/>
          <w:szCs w:val="24"/>
        </w:rPr>
        <w:lastRenderedPageBreak/>
        <w:t>error no soslaya el fondo de su pretensión, es</w:t>
      </w:r>
      <w:r>
        <w:rPr>
          <w:rFonts w:ascii="Century Gothic" w:eastAsia="Century Gothic" w:hAnsi="Century Gothic" w:cs="Century Gothic"/>
          <w:sz w:val="24"/>
          <w:szCs w:val="24"/>
        </w:rPr>
        <w:t xml:space="preserve"> decir, que los “Servicios de Salud de Oaxaca” al ser un Organismo Descentralizado de la Administración Pública Estatal, sus bienes son patrimonio del Estado, y por tanto inembargables, ya que efectivamente es correcto su dicho. - - - - - - </w:t>
      </w:r>
    </w:p>
    <w:p w14:paraId="5DF4934C"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17. Lo anterio</w:t>
      </w:r>
      <w:r>
        <w:rPr>
          <w:rFonts w:ascii="Century Gothic" w:eastAsia="Century Gothic" w:hAnsi="Century Gothic" w:cs="Century Gothic"/>
          <w:sz w:val="24"/>
          <w:szCs w:val="24"/>
        </w:rPr>
        <w:t>r es así, en virtud que como lo aseveró, la Ley de Entidades Paraestatales, cuyo artículo 5° segundo párrafo establece que los bienes muebles e inmuebles de las Entidades Paraestatales son patrimonio del Estado, por lo tanto, inembargables</w:t>
      </w:r>
      <w:r>
        <w:rPr>
          <w:rFonts w:ascii="Century Gothic" w:eastAsia="Century Gothic" w:hAnsi="Century Gothic" w:cs="Century Gothic"/>
          <w:sz w:val="24"/>
          <w:szCs w:val="24"/>
          <w:vertAlign w:val="superscript"/>
        </w:rPr>
        <w:footnoteReference w:id="6"/>
      </w:r>
      <w:r>
        <w:rPr>
          <w:rFonts w:ascii="Century Gothic" w:eastAsia="Century Gothic" w:hAnsi="Century Gothic" w:cs="Century Gothic"/>
          <w:sz w:val="24"/>
          <w:szCs w:val="24"/>
        </w:rPr>
        <w:t>. - - - - - - -</w:t>
      </w:r>
      <w:r>
        <w:rPr>
          <w:rFonts w:ascii="Century Gothic" w:eastAsia="Century Gothic" w:hAnsi="Century Gothic" w:cs="Century Gothic"/>
          <w:sz w:val="24"/>
          <w:szCs w:val="24"/>
        </w:rPr>
        <w:t xml:space="preserve"> - - - - - - - - - - </w:t>
      </w:r>
    </w:p>
    <w:p w14:paraId="0AC3BDA1"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18. Asimismo, la Ley de Bienes del Estado de Oaxaca en su artículo Sexto</w:t>
      </w:r>
      <w:r>
        <w:rPr>
          <w:rFonts w:ascii="Century Gothic" w:eastAsia="Century Gothic" w:hAnsi="Century Gothic" w:cs="Century Gothic"/>
          <w:sz w:val="24"/>
          <w:szCs w:val="24"/>
          <w:vertAlign w:val="superscript"/>
        </w:rPr>
        <w:footnoteReference w:id="7"/>
      </w:r>
      <w:r>
        <w:rPr>
          <w:rFonts w:ascii="Century Gothic" w:eastAsia="Century Gothic" w:hAnsi="Century Gothic" w:cs="Century Gothic"/>
          <w:sz w:val="24"/>
          <w:szCs w:val="24"/>
        </w:rPr>
        <w:t xml:space="preserve">, hace referencia en el mismo sentido, en donde establece que todos los bienes muebles que constituyan el patrimonio del Estado, aun siendo entes </w:t>
      </w:r>
      <w:proofErr w:type="spellStart"/>
      <w:r>
        <w:rPr>
          <w:rFonts w:ascii="Century Gothic" w:eastAsia="Century Gothic" w:hAnsi="Century Gothic" w:cs="Century Gothic"/>
          <w:sz w:val="24"/>
          <w:szCs w:val="24"/>
        </w:rPr>
        <w:t>Paraestales</w:t>
      </w:r>
      <w:proofErr w:type="spellEnd"/>
      <w:r>
        <w:rPr>
          <w:rFonts w:ascii="Century Gothic" w:eastAsia="Century Gothic" w:hAnsi="Century Gothic" w:cs="Century Gothic"/>
          <w:sz w:val="24"/>
          <w:szCs w:val="24"/>
        </w:rPr>
        <w:t>, s</w:t>
      </w:r>
      <w:r>
        <w:rPr>
          <w:rFonts w:ascii="Century Gothic" w:eastAsia="Century Gothic" w:hAnsi="Century Gothic" w:cs="Century Gothic"/>
          <w:sz w:val="24"/>
          <w:szCs w:val="24"/>
        </w:rPr>
        <w:t xml:space="preserve">on inembargables. - - - - - - - - - - - - - - - - - - - - - - </w:t>
      </w:r>
    </w:p>
    <w:p w14:paraId="124E7600" w14:textId="77777777" w:rsidR="008925EB" w:rsidRDefault="00CF0D35">
      <w:pPr>
        <w:spacing w:before="240" w:after="24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19.</w:t>
      </w:r>
      <w:r>
        <w:rPr>
          <w:rFonts w:ascii="Century Gothic" w:eastAsia="Century Gothic" w:hAnsi="Century Gothic" w:cs="Century Gothic"/>
          <w:b/>
          <w:sz w:val="24"/>
          <w:szCs w:val="24"/>
        </w:rPr>
        <w:t xml:space="preserve"> El segundo agravio</w:t>
      </w:r>
      <w:r>
        <w:rPr>
          <w:rFonts w:ascii="Century Gothic" w:eastAsia="Century Gothic" w:hAnsi="Century Gothic" w:cs="Century Gothic"/>
          <w:sz w:val="24"/>
          <w:szCs w:val="24"/>
        </w:rPr>
        <w:t xml:space="preserve">, deviene </w:t>
      </w:r>
      <w:r>
        <w:rPr>
          <w:rFonts w:ascii="Century Gothic" w:eastAsia="Century Gothic" w:hAnsi="Century Gothic" w:cs="Century Gothic"/>
          <w:b/>
          <w:sz w:val="24"/>
          <w:szCs w:val="24"/>
        </w:rPr>
        <w:t xml:space="preserve">fundado, </w:t>
      </w:r>
      <w:r>
        <w:rPr>
          <w:rFonts w:ascii="Century Gothic" w:eastAsia="Century Gothic" w:hAnsi="Century Gothic" w:cs="Century Gothic"/>
          <w:sz w:val="24"/>
          <w:szCs w:val="24"/>
        </w:rPr>
        <w:t>en razón de que efectivamente como así lo señala el recurrente,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u w:val="single"/>
        </w:rPr>
        <w:t>es incorrecto lo establecido en el acuerdo impugnado</w:t>
      </w:r>
      <w:r>
        <w:rPr>
          <w:rFonts w:ascii="Century Gothic" w:eastAsia="Century Gothic" w:hAnsi="Century Gothic" w:cs="Century Gothic"/>
          <w:sz w:val="24"/>
          <w:szCs w:val="24"/>
        </w:rPr>
        <w:t>, en el sentido de desechar la deman</w:t>
      </w:r>
      <w:r>
        <w:rPr>
          <w:rFonts w:ascii="Century Gothic" w:eastAsia="Century Gothic" w:hAnsi="Century Gothic" w:cs="Century Gothic"/>
          <w:sz w:val="24"/>
          <w:szCs w:val="24"/>
        </w:rPr>
        <w:t>da de nulidad, al considerar esencialmente que los actos impugnados no constituyen una resolución que ponga fin a un procedimiento, por lo que no pueden ser impugnados ante dicho Tribunal; en atención a las siguientes consideraciones: - - - - - - - - - - -</w:t>
      </w:r>
      <w:r>
        <w:rPr>
          <w:rFonts w:ascii="Century Gothic" w:eastAsia="Century Gothic" w:hAnsi="Century Gothic" w:cs="Century Gothic"/>
          <w:sz w:val="24"/>
          <w:szCs w:val="24"/>
        </w:rPr>
        <w:t xml:space="preserve"> - - - - </w:t>
      </w:r>
    </w:p>
    <w:p w14:paraId="67118D6D" w14:textId="77777777" w:rsidR="008925EB" w:rsidRDefault="00CF0D35">
      <w:pPr>
        <w:spacing w:before="240" w:after="24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20. La demanda de nulidad “</w:t>
      </w:r>
      <w:r>
        <w:rPr>
          <w:rFonts w:ascii="Century Gothic" w:eastAsia="Century Gothic" w:hAnsi="Century Gothic" w:cs="Century Gothic"/>
          <w:b/>
          <w:sz w:val="24"/>
          <w:szCs w:val="24"/>
        </w:rPr>
        <w:t>si es impugnable en el juicio contencioso administrativo”</w:t>
      </w:r>
      <w:r>
        <w:rPr>
          <w:rFonts w:ascii="Century Gothic" w:eastAsia="Century Gothic" w:hAnsi="Century Gothic" w:cs="Century Gothic"/>
          <w:sz w:val="24"/>
          <w:szCs w:val="24"/>
        </w:rPr>
        <w:t>, toda vez que se actualiza la excepción prevista en el inciso d) de la fracción VIII del citado artículo 133 de la Ley de Procedimiento y Justicia Administrativa</w:t>
      </w:r>
      <w:r>
        <w:rPr>
          <w:rFonts w:ascii="Century Gothic" w:eastAsia="Century Gothic" w:hAnsi="Century Gothic" w:cs="Century Gothic"/>
          <w:sz w:val="24"/>
          <w:szCs w:val="24"/>
        </w:rPr>
        <w:t xml:space="preserve"> para el Estado de Oaxaca, que a la letra dispone. - - - - - - - - - - - - - - - - - - - - - - - - - - - - - - - - - - - - - - - - - - - -</w:t>
      </w:r>
    </w:p>
    <w:p w14:paraId="276B8DFA" w14:textId="77777777" w:rsidR="008925EB" w:rsidRDefault="00CF0D35">
      <w:pPr>
        <w:spacing w:before="120" w:after="240"/>
        <w:ind w:left="1134" w:right="474"/>
        <w:jc w:val="both"/>
        <w:rPr>
          <w:rFonts w:ascii="Century Gothic" w:eastAsia="Century Gothic" w:hAnsi="Century Gothic" w:cs="Century Gothic"/>
          <w:i/>
        </w:rPr>
      </w:pPr>
      <w:r>
        <w:rPr>
          <w:rFonts w:ascii="Century Gothic" w:eastAsia="Century Gothic" w:hAnsi="Century Gothic" w:cs="Century Gothic"/>
          <w:i/>
        </w:rPr>
        <w:t>Artículo 133. Las Salas Unitarias del Tribunal son competentes para conocer y resolver los juicios que se promuevan e</w:t>
      </w:r>
      <w:r>
        <w:rPr>
          <w:rFonts w:ascii="Century Gothic" w:eastAsia="Century Gothic" w:hAnsi="Century Gothic" w:cs="Century Gothic"/>
          <w:i/>
        </w:rPr>
        <w:t>n contra de:</w:t>
      </w:r>
    </w:p>
    <w:p w14:paraId="64328191" w14:textId="77777777" w:rsidR="008925EB" w:rsidRDefault="00CF0D35">
      <w:pPr>
        <w:spacing w:before="120" w:after="240"/>
        <w:ind w:left="1134" w:right="474"/>
        <w:jc w:val="both"/>
        <w:rPr>
          <w:rFonts w:ascii="Century Gothic" w:eastAsia="Century Gothic" w:hAnsi="Century Gothic" w:cs="Century Gothic"/>
          <w:i/>
        </w:rPr>
      </w:pPr>
      <w:r>
        <w:rPr>
          <w:rFonts w:ascii="Century Gothic" w:eastAsia="Century Gothic" w:hAnsi="Century Gothic" w:cs="Century Gothic"/>
          <w:i/>
        </w:rPr>
        <w:t>(…)</w:t>
      </w:r>
    </w:p>
    <w:p w14:paraId="00A1780A" w14:textId="77777777" w:rsidR="008925EB" w:rsidRDefault="00CF0D35">
      <w:pPr>
        <w:spacing w:before="120" w:after="0"/>
        <w:ind w:left="1134" w:right="474"/>
        <w:jc w:val="both"/>
        <w:rPr>
          <w:rFonts w:ascii="Century Gothic" w:eastAsia="Century Gothic" w:hAnsi="Century Gothic" w:cs="Century Gothic"/>
          <w:i/>
        </w:rPr>
      </w:pPr>
      <w:r>
        <w:rPr>
          <w:rFonts w:ascii="Century Gothic" w:eastAsia="Century Gothic" w:hAnsi="Century Gothic" w:cs="Century Gothic"/>
          <w:i/>
        </w:rPr>
        <w:t xml:space="preserve">VIII.     El   procedimiento   administrativo   de   ejecución   cuando   el   afectado   en   dicho procedimiento opte por no interponer </w:t>
      </w:r>
      <w:r>
        <w:rPr>
          <w:rFonts w:ascii="Century Gothic" w:eastAsia="Century Gothic" w:hAnsi="Century Gothic" w:cs="Century Gothic"/>
          <w:i/>
        </w:rPr>
        <w:lastRenderedPageBreak/>
        <w:t>el recurso ordinario ante las autoridades competentes y cuando afirme:</w:t>
      </w:r>
    </w:p>
    <w:p w14:paraId="4D86BB60" w14:textId="77777777" w:rsidR="008925EB" w:rsidRDefault="00CF0D35">
      <w:pPr>
        <w:spacing w:before="120" w:after="0"/>
        <w:ind w:left="1134" w:right="474"/>
        <w:jc w:val="both"/>
        <w:rPr>
          <w:rFonts w:ascii="Century Gothic" w:eastAsia="Century Gothic" w:hAnsi="Century Gothic" w:cs="Century Gothic"/>
          <w:i/>
        </w:rPr>
      </w:pPr>
      <w:r>
        <w:rPr>
          <w:rFonts w:ascii="Century Gothic" w:eastAsia="Century Gothic" w:hAnsi="Century Gothic" w:cs="Century Gothic"/>
          <w:i/>
        </w:rPr>
        <w:t>d) Que el procedimiento coacti</w:t>
      </w:r>
      <w:r>
        <w:rPr>
          <w:rFonts w:ascii="Century Gothic" w:eastAsia="Century Gothic" w:hAnsi="Century Gothic" w:cs="Century Gothic"/>
          <w:i/>
        </w:rPr>
        <w:t>vo no se ajuste a la ley. En este caso, la oposición no se podrá hacer valer, sino contra la resolución que apruebe el remate; salvo que se trate de resoluciones cuya ejecución material sea imposible reparación. (…)</w:t>
      </w:r>
    </w:p>
    <w:p w14:paraId="44CF1E01" w14:textId="77777777" w:rsidR="008925EB" w:rsidRDefault="008925EB">
      <w:pPr>
        <w:spacing w:before="120" w:after="0"/>
        <w:ind w:left="1134" w:right="474"/>
        <w:jc w:val="both"/>
        <w:rPr>
          <w:rFonts w:ascii="Century Gothic" w:eastAsia="Century Gothic" w:hAnsi="Century Gothic" w:cs="Century Gothic"/>
          <w:i/>
        </w:rPr>
      </w:pPr>
    </w:p>
    <w:p w14:paraId="58BEE048"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21. De la porción normativa transcrita,</w:t>
      </w:r>
      <w:r>
        <w:rPr>
          <w:rFonts w:ascii="Century Gothic" w:eastAsia="Century Gothic" w:hAnsi="Century Gothic" w:cs="Century Gothic"/>
          <w:sz w:val="24"/>
          <w:szCs w:val="24"/>
        </w:rPr>
        <w:t xml:space="preserve"> se desprenden las hipótesis del principio de definitividad, en sentido horizontal, a fin de impugnar la última resolución en la etapa de la ejecución, con la posibilidad de plantear en la misma demanda, todas las violaciones cometidas en dicha fase, respe</w:t>
      </w:r>
      <w:r>
        <w:rPr>
          <w:rFonts w:ascii="Century Gothic" w:eastAsia="Century Gothic" w:hAnsi="Century Gothic" w:cs="Century Gothic"/>
          <w:sz w:val="24"/>
          <w:szCs w:val="24"/>
        </w:rPr>
        <w:t>cto del procedimiento económico-coactivo, cuyo supuesto de procedencia del juicio de nulidad, cuando el afectado afirme que no se ajusta a la ley, implica que sea promovido contra la resolución que apruebe el remate. - - - - - - - - - - - - - - - - - - - -</w:t>
      </w:r>
      <w:r>
        <w:rPr>
          <w:rFonts w:ascii="Century Gothic" w:eastAsia="Century Gothic" w:hAnsi="Century Gothic" w:cs="Century Gothic"/>
          <w:sz w:val="24"/>
          <w:szCs w:val="24"/>
        </w:rPr>
        <w:t xml:space="preserve"> - - - - - - - - - - - - - - - - - - - - - - - </w:t>
      </w:r>
    </w:p>
    <w:p w14:paraId="2DAF14C8"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22. Lo anterior, con el propósito de impedir que el juicio sea utilizado para retardar o entorpecer la ejecución de un crédito fiscal que ya ha adquirido firmeza. Sin embargo, la regla en comentario tiene una</w:t>
      </w:r>
      <w:r>
        <w:rPr>
          <w:rFonts w:ascii="Century Gothic" w:eastAsia="Century Gothic" w:hAnsi="Century Gothic" w:cs="Century Gothic"/>
          <w:sz w:val="24"/>
          <w:szCs w:val="24"/>
        </w:rPr>
        <w:t xml:space="preserve"> hipótesis de excepción, relativa a que la ejecución sea de imposible reparación. - </w:t>
      </w:r>
    </w:p>
    <w:p w14:paraId="30BD0257"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23. Máxime que, de las consideraciones citadas en párrafos precedentes, </w:t>
      </w:r>
      <w:r>
        <w:rPr>
          <w:rFonts w:ascii="Century Gothic" w:eastAsia="Century Gothic" w:hAnsi="Century Gothic" w:cs="Century Gothic"/>
          <w:sz w:val="24"/>
          <w:szCs w:val="24"/>
          <w:u w:val="single"/>
        </w:rPr>
        <w:t>al tratarse de bienes inembargables</w:t>
      </w:r>
      <w:r>
        <w:rPr>
          <w:rFonts w:ascii="Century Gothic" w:eastAsia="Century Gothic" w:hAnsi="Century Gothic" w:cs="Century Gothic"/>
          <w:sz w:val="24"/>
          <w:szCs w:val="24"/>
        </w:rPr>
        <w:t xml:space="preserve">, luego entonces </w:t>
      </w:r>
      <w:r>
        <w:rPr>
          <w:rFonts w:ascii="Century Gothic" w:eastAsia="Century Gothic" w:hAnsi="Century Gothic" w:cs="Century Gothic"/>
          <w:b/>
          <w:sz w:val="24"/>
          <w:szCs w:val="24"/>
          <w:u w:val="single"/>
        </w:rPr>
        <w:t>tampoco habrá remate que realizar</w:t>
      </w:r>
      <w:r>
        <w:rPr>
          <w:rFonts w:ascii="Century Gothic" w:eastAsia="Century Gothic" w:hAnsi="Century Gothic" w:cs="Century Gothic"/>
          <w:sz w:val="24"/>
          <w:szCs w:val="24"/>
        </w:rPr>
        <w:t xml:space="preserve">. En consecuencia, es incorrecto sostener que el actor deba aguardar a que se emita la resolución que apruebe el remate para estar en posibilidad de impugnar las actuaciones relativas al procedimiento de ejecución, ya que, </w:t>
      </w:r>
      <w:r>
        <w:rPr>
          <w:rFonts w:ascii="Century Gothic" w:eastAsia="Century Gothic" w:hAnsi="Century Gothic" w:cs="Century Gothic"/>
          <w:sz w:val="24"/>
          <w:szCs w:val="24"/>
        </w:rPr>
        <w:t xml:space="preserve">dadas las circunstancias del caso, sería ilegal que se apruebe el remate de bienes.  </w:t>
      </w:r>
      <w:r>
        <w:rPr>
          <w:rFonts w:ascii="Century Gothic" w:eastAsia="Century Gothic" w:hAnsi="Century Gothic" w:cs="Century Gothic"/>
          <w:color w:val="000000"/>
          <w:sz w:val="24"/>
          <w:szCs w:val="24"/>
        </w:rPr>
        <w:t xml:space="preserve">- - - - - - - - - - - - </w:t>
      </w:r>
    </w:p>
    <w:p w14:paraId="5E0F9A99"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24. En este contexto, como ya se puntualizó se actualiza el supuesto de excepción previsto en la disposición normativa examinada, al estar en pres</w:t>
      </w:r>
      <w:r>
        <w:rPr>
          <w:rFonts w:ascii="Century Gothic" w:eastAsia="Century Gothic" w:hAnsi="Century Gothic" w:cs="Century Gothic"/>
          <w:sz w:val="24"/>
          <w:szCs w:val="24"/>
        </w:rPr>
        <w:t xml:space="preserve">encia de actos de ejecución material que son de imposible reparación, que pueden producir una afectación en alguno de los derechos fundamentales de la parte recurrente. - - - - - - - - - - - - - - - - - - - - </w:t>
      </w:r>
    </w:p>
    <w:p w14:paraId="17AAB501"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25. Por último, refiere al final de sus agravi</w:t>
      </w:r>
      <w:r>
        <w:rPr>
          <w:rFonts w:ascii="Century Gothic" w:eastAsia="Century Gothic" w:hAnsi="Century Gothic" w:cs="Century Gothic"/>
          <w:sz w:val="24"/>
          <w:szCs w:val="24"/>
        </w:rPr>
        <w:t>os que el recurso de revocación es optativo, como así lo prevé el artículo 245</w:t>
      </w:r>
      <w:r>
        <w:rPr>
          <w:rFonts w:ascii="Century Gothic" w:eastAsia="Century Gothic" w:hAnsi="Century Gothic" w:cs="Century Gothic"/>
          <w:sz w:val="24"/>
          <w:szCs w:val="24"/>
          <w:vertAlign w:val="superscript"/>
        </w:rPr>
        <w:footnoteReference w:id="8"/>
      </w:r>
      <w:r>
        <w:rPr>
          <w:rFonts w:ascii="Century Gothic" w:eastAsia="Century Gothic" w:hAnsi="Century Gothic" w:cs="Century Gothic"/>
          <w:sz w:val="24"/>
          <w:szCs w:val="24"/>
        </w:rPr>
        <w:t xml:space="preserve"> del Código </w:t>
      </w:r>
      <w:r>
        <w:rPr>
          <w:rFonts w:ascii="Century Gothic" w:eastAsia="Century Gothic" w:hAnsi="Century Gothic" w:cs="Century Gothic"/>
          <w:sz w:val="24"/>
          <w:szCs w:val="24"/>
        </w:rPr>
        <w:lastRenderedPageBreak/>
        <w:t xml:space="preserve">Fiscal para el Estado de Oaxaca, y ante la </w:t>
      </w:r>
      <w:proofErr w:type="spellStart"/>
      <w:r>
        <w:rPr>
          <w:rFonts w:ascii="Century Gothic" w:eastAsia="Century Gothic" w:hAnsi="Century Gothic" w:cs="Century Gothic"/>
          <w:sz w:val="24"/>
          <w:szCs w:val="24"/>
        </w:rPr>
        <w:t>optatividad</w:t>
      </w:r>
      <w:proofErr w:type="spellEnd"/>
      <w:r>
        <w:rPr>
          <w:rFonts w:ascii="Century Gothic" w:eastAsia="Century Gothic" w:hAnsi="Century Gothic" w:cs="Century Gothic"/>
          <w:sz w:val="24"/>
          <w:szCs w:val="24"/>
        </w:rPr>
        <w:t xml:space="preserve"> de interponerlo no se está obligado a presentarlo ante la autoridad recaudadora; en consecuencia, al tener la naturaleza de actos o resoluciones definitivas, procede el juicio de nulidad. -</w:t>
      </w:r>
      <w:r>
        <w:rPr>
          <w:rFonts w:ascii="Century Gothic" w:eastAsia="Century Gothic" w:hAnsi="Century Gothic" w:cs="Century Gothic"/>
          <w:sz w:val="24"/>
          <w:szCs w:val="24"/>
        </w:rPr>
        <w:t xml:space="preserve"> - - - - - - - - - - - - - - - - - - - - - - - - - - - - - - - - - - </w:t>
      </w:r>
    </w:p>
    <w:p w14:paraId="0AEE9D8A"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26. De lo cual, se le debe decir que, efectivamente una de las notas características del recurso de revocación es que se trata de ser optativo, esto es, que se podrá decidir por impugnar</w:t>
      </w:r>
      <w:r>
        <w:rPr>
          <w:rFonts w:ascii="Century Gothic" w:eastAsia="Century Gothic" w:hAnsi="Century Gothic" w:cs="Century Gothic"/>
          <w:sz w:val="24"/>
          <w:szCs w:val="24"/>
        </w:rPr>
        <w:t xml:space="preserve"> un acto a través del recurso de revocación, o promover directamente contra dicho acto, juicio ante el Tribunal de Justicia Administrativa, máxime que la ley no señaló expresamente lo contrario. - - - - - - - - - - - - - - - - - - - - - - - - - - - - - - -</w:t>
      </w:r>
      <w:r>
        <w:rPr>
          <w:rFonts w:ascii="Century Gothic" w:eastAsia="Century Gothic" w:hAnsi="Century Gothic" w:cs="Century Gothic"/>
          <w:sz w:val="24"/>
          <w:szCs w:val="24"/>
        </w:rPr>
        <w:t xml:space="preserve"> - - - - - - </w:t>
      </w:r>
    </w:p>
    <w:p w14:paraId="7F1E771E" w14:textId="77777777" w:rsidR="008925EB" w:rsidRDefault="00CF0D35">
      <w:pPr>
        <w:spacing w:before="240" w:after="0" w:line="360" w:lineRule="auto"/>
        <w:ind w:firstLine="708"/>
        <w:jc w:val="both"/>
        <w:rPr>
          <w:rFonts w:ascii="Century Gothic" w:eastAsia="Century Gothic" w:hAnsi="Century Gothic" w:cs="Century Gothic"/>
          <w:color w:val="212529"/>
          <w:sz w:val="24"/>
          <w:szCs w:val="24"/>
          <w:highlight w:val="white"/>
        </w:rPr>
      </w:pPr>
      <w:r>
        <w:rPr>
          <w:rFonts w:ascii="Century Gothic" w:eastAsia="Century Gothic" w:hAnsi="Century Gothic" w:cs="Century Gothic"/>
          <w:sz w:val="24"/>
          <w:szCs w:val="24"/>
        </w:rPr>
        <w:t xml:space="preserve">27. </w:t>
      </w:r>
      <w:r>
        <w:rPr>
          <w:rFonts w:ascii="Century Gothic" w:eastAsia="Century Gothic" w:hAnsi="Century Gothic" w:cs="Century Gothic"/>
          <w:b/>
          <w:sz w:val="24"/>
          <w:szCs w:val="24"/>
        </w:rPr>
        <w:t xml:space="preserve">QUINTO. </w:t>
      </w:r>
      <w:r>
        <w:rPr>
          <w:rFonts w:ascii="Century Gothic" w:eastAsia="Century Gothic" w:hAnsi="Century Gothic" w:cs="Century Gothic"/>
          <w:color w:val="000000"/>
          <w:sz w:val="24"/>
          <w:szCs w:val="24"/>
        </w:rPr>
        <w:t xml:space="preserve">Bajo esa consideración, </w:t>
      </w:r>
      <w:r>
        <w:rPr>
          <w:rFonts w:ascii="Century Gothic" w:eastAsia="Century Gothic" w:hAnsi="Century Gothic" w:cs="Century Gothic"/>
          <w:color w:val="212529"/>
          <w:sz w:val="24"/>
          <w:szCs w:val="24"/>
          <w:highlight w:val="white"/>
        </w:rPr>
        <w:t>este Colegiado si bien</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color w:val="212529"/>
          <w:sz w:val="24"/>
          <w:szCs w:val="24"/>
          <w:highlight w:val="white"/>
        </w:rPr>
        <w:t>pronunció en lo que es materia de impugnación, y analizó sobre el desechamiento de la demanda por la probable existencia de una causa manifiesta e indudable de improcedencia y reso</w:t>
      </w:r>
      <w:r>
        <w:rPr>
          <w:rFonts w:ascii="Century Gothic" w:eastAsia="Century Gothic" w:hAnsi="Century Gothic" w:cs="Century Gothic"/>
          <w:color w:val="212529"/>
          <w:sz w:val="24"/>
          <w:szCs w:val="24"/>
          <w:highlight w:val="white"/>
        </w:rPr>
        <w:t xml:space="preserve">lvió. </w:t>
      </w:r>
      <w:r>
        <w:rPr>
          <w:rFonts w:ascii="Century Gothic" w:eastAsia="Century Gothic" w:hAnsi="Century Gothic" w:cs="Century Gothic"/>
          <w:sz w:val="24"/>
          <w:szCs w:val="24"/>
        </w:rPr>
        <w:t xml:space="preserve">- - - - - - - - - - - - - - - - </w:t>
      </w:r>
    </w:p>
    <w:p w14:paraId="4ECCBEBF" w14:textId="77777777" w:rsidR="008925EB" w:rsidRDefault="00CF0D35">
      <w:pPr>
        <w:spacing w:before="240" w:after="0" w:line="360" w:lineRule="auto"/>
        <w:ind w:firstLine="708"/>
        <w:jc w:val="both"/>
        <w:rPr>
          <w:rFonts w:ascii="Century Gothic" w:eastAsia="Century Gothic" w:hAnsi="Century Gothic" w:cs="Century Gothic"/>
          <w:color w:val="212529"/>
          <w:sz w:val="24"/>
          <w:szCs w:val="24"/>
        </w:rPr>
      </w:pPr>
      <w:r>
        <w:rPr>
          <w:rFonts w:ascii="Century Gothic" w:eastAsia="Century Gothic" w:hAnsi="Century Gothic" w:cs="Century Gothic"/>
          <w:color w:val="212529"/>
          <w:sz w:val="24"/>
          <w:szCs w:val="24"/>
        </w:rPr>
        <w:t xml:space="preserve">28. No obstante, </w:t>
      </w:r>
      <w:r>
        <w:rPr>
          <w:rFonts w:ascii="Century Gothic" w:eastAsia="Century Gothic" w:hAnsi="Century Gothic" w:cs="Century Gothic"/>
          <w:color w:val="212529"/>
          <w:sz w:val="24"/>
          <w:szCs w:val="24"/>
          <w:highlight w:val="white"/>
        </w:rPr>
        <w:t>no se puede acordar sobre la admisión de la demanda</w:t>
      </w:r>
      <w:r>
        <w:rPr>
          <w:rFonts w:ascii="Century Gothic" w:eastAsia="Century Gothic" w:hAnsi="Century Gothic" w:cs="Century Gothic"/>
          <w:color w:val="212529"/>
          <w:sz w:val="24"/>
          <w:szCs w:val="24"/>
        </w:rPr>
        <w:t xml:space="preserve">; por ende, </w:t>
      </w:r>
      <w:r>
        <w:rPr>
          <w:rFonts w:ascii="Century Gothic" w:eastAsia="Century Gothic" w:hAnsi="Century Gothic" w:cs="Century Gothic"/>
          <w:b/>
          <w:color w:val="000000"/>
          <w:sz w:val="24"/>
          <w:szCs w:val="24"/>
        </w:rPr>
        <w:t>se reserva para dictar el acuerdo</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respectivo del promovente</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212529"/>
          <w:sz w:val="24"/>
          <w:szCs w:val="24"/>
        </w:rPr>
        <w:t>a efecto de otorgar la garantía de una tutela judicial efectiva, resulta procedente ordenarle a la Primera Sala Unitaria de Primera Instancia de este Tribunal de Justicia dicte uno nuevo, y de no advertir la existencia de alguna otra causa de improcedencia</w:t>
      </w:r>
      <w:r>
        <w:rPr>
          <w:rFonts w:ascii="Century Gothic" w:eastAsia="Century Gothic" w:hAnsi="Century Gothic" w:cs="Century Gothic"/>
          <w:color w:val="212529"/>
          <w:sz w:val="24"/>
          <w:szCs w:val="24"/>
        </w:rPr>
        <w:t xml:space="preserve">, debe tramitar a dicho juicio donde ADMITA la demanda interpuesta, y con libertad de jurisdicción determinará respecto de las pruebas ofrecidas y su admisión de la actora, en términos de los artículos 176 al 183 de la Ley de Procedimiento. </w:t>
      </w:r>
      <w:r>
        <w:rPr>
          <w:rFonts w:ascii="Century Gothic" w:eastAsia="Century Gothic" w:hAnsi="Century Gothic" w:cs="Century Gothic"/>
          <w:sz w:val="24"/>
          <w:szCs w:val="24"/>
        </w:rPr>
        <w:t>- - - - - - - -</w:t>
      </w:r>
      <w:r>
        <w:rPr>
          <w:rFonts w:ascii="Century Gothic" w:eastAsia="Century Gothic" w:hAnsi="Century Gothic" w:cs="Century Gothic"/>
          <w:sz w:val="24"/>
          <w:szCs w:val="24"/>
        </w:rPr>
        <w:t xml:space="preserve"> - - - - - - - - - - - - - - - - - - - - - - - - - - - - - - - - - - -</w:t>
      </w:r>
    </w:p>
    <w:p w14:paraId="1FBE812D"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29. Esas disposiciones regulan lo que corresponde realizar al Magistrado Unitario, como consecuencia de la presentación de una demanda; </w:t>
      </w:r>
      <w:r>
        <w:rPr>
          <w:rFonts w:ascii="Century Gothic" w:eastAsia="Century Gothic" w:hAnsi="Century Gothic" w:cs="Century Gothic"/>
          <w:color w:val="212529"/>
          <w:sz w:val="24"/>
          <w:szCs w:val="24"/>
          <w:highlight w:val="white"/>
        </w:rPr>
        <w:t>ahora bien, recordemos la característica esencial</w:t>
      </w:r>
      <w:r>
        <w:rPr>
          <w:rFonts w:ascii="Century Gothic" w:eastAsia="Century Gothic" w:hAnsi="Century Gothic" w:cs="Century Gothic"/>
          <w:color w:val="212529"/>
          <w:sz w:val="24"/>
          <w:szCs w:val="24"/>
          <w:highlight w:val="white"/>
        </w:rPr>
        <w:t xml:space="preserve"> de los acuerdos recurridos a través del recurso revisión que resolvió este Tribunal Colegiado, sobre las determinaciones adoptadas por la Autoridad </w:t>
      </w:r>
      <w:r>
        <w:rPr>
          <w:rFonts w:ascii="Century Gothic" w:eastAsia="Century Gothic" w:hAnsi="Century Gothic" w:cs="Century Gothic"/>
          <w:sz w:val="24"/>
          <w:szCs w:val="24"/>
        </w:rPr>
        <w:t>de Primera Instancia</w:t>
      </w:r>
      <w:r>
        <w:rPr>
          <w:rFonts w:ascii="Century Gothic" w:eastAsia="Century Gothic" w:hAnsi="Century Gothic" w:cs="Century Gothic"/>
          <w:color w:val="212529"/>
          <w:sz w:val="24"/>
          <w:szCs w:val="24"/>
          <w:highlight w:val="white"/>
        </w:rPr>
        <w:t xml:space="preserve"> en la cual consideró que había lugar a desechar de plano la demanda, por estimar actua</w:t>
      </w:r>
      <w:r>
        <w:rPr>
          <w:rFonts w:ascii="Century Gothic" w:eastAsia="Century Gothic" w:hAnsi="Century Gothic" w:cs="Century Gothic"/>
          <w:color w:val="212529"/>
          <w:sz w:val="24"/>
          <w:szCs w:val="24"/>
          <w:highlight w:val="white"/>
        </w:rPr>
        <w:t xml:space="preserve">lizada una causa manifiesta e indudable de improcedencia. </w:t>
      </w:r>
      <w:r>
        <w:rPr>
          <w:rFonts w:ascii="Century Gothic" w:eastAsia="Century Gothic" w:hAnsi="Century Gothic" w:cs="Century Gothic"/>
          <w:sz w:val="24"/>
          <w:szCs w:val="24"/>
        </w:rPr>
        <w:t>- - - - - - - - - - - - - - - - - - - - - - - - - - - - - - - - - -</w:t>
      </w:r>
    </w:p>
    <w:p w14:paraId="6A6E6261"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30. Luego, en los agravios que fueron motivo de estudio en la presente, se desprenden argumentaciones tendentes a combatir el dese</w:t>
      </w:r>
      <w:r>
        <w:rPr>
          <w:rFonts w:ascii="Century Gothic" w:eastAsia="Century Gothic" w:hAnsi="Century Gothic" w:cs="Century Gothic"/>
          <w:sz w:val="24"/>
          <w:szCs w:val="24"/>
        </w:rPr>
        <w:t>chamiento de la demanda, lo que implicó que la litis sometida a consideración de éstos se constriñe a lo sustentado por el de Primera instancia y a lo aducido en su contra, y no a determinaciones o argumentaciones de diversa índole. - - - - - - - - - - - -</w:t>
      </w:r>
      <w:r>
        <w:rPr>
          <w:rFonts w:ascii="Century Gothic" w:eastAsia="Century Gothic" w:hAnsi="Century Gothic" w:cs="Century Gothic"/>
          <w:sz w:val="24"/>
          <w:szCs w:val="24"/>
        </w:rPr>
        <w:t xml:space="preserve"> - - - - - - - - - - - - - - - - - - </w:t>
      </w:r>
    </w:p>
    <w:p w14:paraId="27C10492"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color w:val="212529"/>
          <w:sz w:val="24"/>
          <w:szCs w:val="24"/>
          <w:highlight w:val="white"/>
        </w:rPr>
        <w:t xml:space="preserve">31. En efecto, en el supuesto que nos ocupa, este Tribunal Colegiado no puede asumir la jurisdicción del Magistrado Unitario y proveer sobre la admisión de la demanda, porque la naturaleza del auto recurrido limita la </w:t>
      </w:r>
      <w:r>
        <w:rPr>
          <w:rFonts w:ascii="Century Gothic" w:eastAsia="Century Gothic" w:hAnsi="Century Gothic" w:cs="Century Gothic"/>
          <w:color w:val="212529"/>
          <w:sz w:val="24"/>
          <w:szCs w:val="24"/>
          <w:highlight w:val="white"/>
        </w:rPr>
        <w:t>litis sometida a su consideración, esto es, sólo podrá pronunciarse en lo que es materia de impugnación, en el caso, analizar si fue correcto o no el desechamiento de la demanda por la probable existencia de una causa manifiesta e indudable de improcedenci</w:t>
      </w:r>
      <w:r>
        <w:rPr>
          <w:rFonts w:ascii="Century Gothic" w:eastAsia="Century Gothic" w:hAnsi="Century Gothic" w:cs="Century Gothic"/>
          <w:color w:val="212529"/>
          <w:sz w:val="24"/>
          <w:szCs w:val="24"/>
          <w:highlight w:val="white"/>
        </w:rPr>
        <w:t>a; por lo tanto, la admisión de la demanda no es un acto que implique la simple declaratoria en ese sentido, sino que podríamos calificarlo como un acto de naturaleza compleja, que por ello provoca que no pueda pronunciarse en los términos</w:t>
      </w:r>
      <w:r>
        <w:rPr>
          <w:rFonts w:ascii="Century Gothic" w:eastAsia="Century Gothic" w:hAnsi="Century Gothic" w:cs="Century Gothic"/>
          <w:sz w:val="24"/>
          <w:szCs w:val="24"/>
        </w:rPr>
        <w:t xml:space="preserve"> de los artículos</w:t>
      </w:r>
      <w:r>
        <w:rPr>
          <w:rFonts w:ascii="Century Gothic" w:eastAsia="Century Gothic" w:hAnsi="Century Gothic" w:cs="Century Gothic"/>
          <w:sz w:val="24"/>
          <w:szCs w:val="24"/>
        </w:rPr>
        <w:t xml:space="preserve"> 176 al 183 de la Ley de Procedimiento y Justicia Administrativa del Estado</w:t>
      </w:r>
      <w:r>
        <w:rPr>
          <w:rFonts w:ascii="Century Gothic" w:eastAsia="Century Gothic" w:hAnsi="Century Gothic" w:cs="Century Gothic"/>
          <w:color w:val="212529"/>
          <w:sz w:val="24"/>
          <w:szCs w:val="24"/>
          <w:highlight w:val="white"/>
        </w:rPr>
        <w:t xml:space="preserve">. </w:t>
      </w:r>
      <w:r>
        <w:rPr>
          <w:rFonts w:ascii="Century Gothic" w:eastAsia="Century Gothic" w:hAnsi="Century Gothic" w:cs="Century Gothic"/>
          <w:sz w:val="24"/>
          <w:szCs w:val="24"/>
        </w:rPr>
        <w:t xml:space="preserve">- - - - - - - - - - - - - - - - - - </w:t>
      </w:r>
    </w:p>
    <w:p w14:paraId="32D92D02" w14:textId="77777777" w:rsidR="008925EB" w:rsidRDefault="00CF0D35">
      <w:pPr>
        <w:spacing w:before="240" w:after="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32. Resulta aplicable por analogía, a lo anterior la jurisprudencia de la Segunda Sala de la Suprema Corte de Justicia de la Nación Tesis: 2a.</w:t>
      </w:r>
      <w:r>
        <w:rPr>
          <w:rFonts w:ascii="Century Gothic" w:eastAsia="Century Gothic" w:hAnsi="Century Gothic" w:cs="Century Gothic"/>
          <w:sz w:val="24"/>
          <w:szCs w:val="24"/>
        </w:rPr>
        <w:t>/J. 73/2014 (10a.), con Registro digital: 2007069, Décima Época, cuyo rubro y contenido es: - - - - - - - - - - - - - - - - - - - - - - - - - - - - - - - - - - - - - - - - - - - - - - -</w:t>
      </w:r>
    </w:p>
    <w:p w14:paraId="50A062A4" w14:textId="77777777" w:rsidR="008925EB" w:rsidRDefault="00CF0D35">
      <w:pPr>
        <w:spacing w:before="240" w:after="0"/>
        <w:ind w:left="1134" w:right="474"/>
        <w:jc w:val="both"/>
        <w:rPr>
          <w:rFonts w:ascii="Century Gothic" w:eastAsia="Century Gothic" w:hAnsi="Century Gothic" w:cs="Century Gothic"/>
          <w:i/>
        </w:rPr>
      </w:pPr>
      <w:r>
        <w:rPr>
          <w:rFonts w:ascii="Century Gothic" w:eastAsia="Century Gothic" w:hAnsi="Century Gothic" w:cs="Century Gothic"/>
          <w:b/>
          <w:i/>
        </w:rPr>
        <w:t>“RECURSO DE QUEJA CONTRA EL AUTO QUE DESECHA UNA DEMANDA DE AMPARO. DE</w:t>
      </w:r>
      <w:r>
        <w:rPr>
          <w:rFonts w:ascii="Century Gothic" w:eastAsia="Century Gothic" w:hAnsi="Century Gothic" w:cs="Century Gothic"/>
          <w:b/>
          <w:i/>
        </w:rPr>
        <w:t xml:space="preserve"> SER FUNDADO, EL TRIBUNAL COLEGIADO DE CIRCUITO DEBE DEVOLVER LOS AUTOS AL JUEZ DE DISTRITO A EFECTO DE QUE SE PRONUNCIE SOBRE LA ADMISIÓN Y, EN SU CASO, SOBRE LA MEDIDA CAUTELAR</w:t>
      </w:r>
      <w:r>
        <w:rPr>
          <w:rFonts w:ascii="Century Gothic" w:eastAsia="Century Gothic" w:hAnsi="Century Gothic" w:cs="Century Gothic"/>
          <w:i/>
        </w:rPr>
        <w:t>. El artículo 97, fracción I, inciso a), de la Ley de Amparo establece que pro</w:t>
      </w:r>
      <w:r>
        <w:rPr>
          <w:rFonts w:ascii="Century Gothic" w:eastAsia="Century Gothic" w:hAnsi="Century Gothic" w:cs="Century Gothic"/>
          <w:i/>
        </w:rPr>
        <w:t>cede el recurso de queja en amparo indirecto contra las resoluciones que desechen una demanda de amparo. Por su parte, el diverso 103 del mismo ordenamiento prevé que, en caso de resultar fundado el recurso, se dictará la resolución que corresponda sin nec</w:t>
      </w:r>
      <w:r>
        <w:rPr>
          <w:rFonts w:ascii="Century Gothic" w:eastAsia="Century Gothic" w:hAnsi="Century Gothic" w:cs="Century Gothic"/>
          <w:i/>
        </w:rPr>
        <w:t xml:space="preserve">esidad de reenvío, salvo que ésta implique la reposición del procedimiento. Así, del análisis relacionado de esas disposiciones, tomando en consideración la naturaleza del recurso de queja en el que no existe devolución de jurisdicción, cuando un Tribunal </w:t>
      </w:r>
      <w:r>
        <w:rPr>
          <w:rFonts w:ascii="Century Gothic" w:eastAsia="Century Gothic" w:hAnsi="Century Gothic" w:cs="Century Gothic"/>
          <w:i/>
        </w:rPr>
        <w:t xml:space="preserve">Colegiado de Circuito declare fundado el recurso de queja contra el </w:t>
      </w:r>
      <w:r>
        <w:rPr>
          <w:rFonts w:ascii="Century Gothic" w:eastAsia="Century Gothic" w:hAnsi="Century Gothic" w:cs="Century Gothic"/>
          <w:b/>
          <w:i/>
          <w:u w:val="single"/>
        </w:rPr>
        <w:t>desechamiento de una demanda de amparo</w:t>
      </w:r>
      <w:r>
        <w:rPr>
          <w:rFonts w:ascii="Century Gothic" w:eastAsia="Century Gothic" w:hAnsi="Century Gothic" w:cs="Century Gothic"/>
          <w:b/>
          <w:i/>
        </w:rPr>
        <w:t>, éste dictará la resolución que corresponda, ordenando al Juez de Distrito proveer lo conducente en relación con la admisión</w:t>
      </w:r>
      <w:r>
        <w:rPr>
          <w:rFonts w:ascii="Century Gothic" w:eastAsia="Century Gothic" w:hAnsi="Century Gothic" w:cs="Century Gothic"/>
          <w:i/>
        </w:rPr>
        <w:t>, en términos de los artí</w:t>
      </w:r>
      <w:r>
        <w:rPr>
          <w:rFonts w:ascii="Century Gothic" w:eastAsia="Century Gothic" w:hAnsi="Century Gothic" w:cs="Century Gothic"/>
          <w:i/>
        </w:rPr>
        <w:t xml:space="preserve">culos 112 a 115 del propio ordenamiento, </w:t>
      </w:r>
      <w:r>
        <w:rPr>
          <w:rFonts w:ascii="Century Gothic" w:eastAsia="Century Gothic" w:hAnsi="Century Gothic" w:cs="Century Gothic"/>
          <w:b/>
          <w:i/>
          <w:u w:val="single"/>
        </w:rPr>
        <w:t xml:space="preserve">lo </w:t>
      </w:r>
      <w:r>
        <w:rPr>
          <w:rFonts w:ascii="Century Gothic" w:eastAsia="Century Gothic" w:hAnsi="Century Gothic" w:cs="Century Gothic"/>
          <w:b/>
          <w:i/>
          <w:u w:val="single"/>
        </w:rPr>
        <w:lastRenderedPageBreak/>
        <w:t>que implica que no puede asumir la jurisdicción que a éste corresponde</w:t>
      </w:r>
      <w:r>
        <w:rPr>
          <w:rFonts w:ascii="Century Gothic" w:eastAsia="Century Gothic" w:hAnsi="Century Gothic" w:cs="Century Gothic"/>
          <w:i/>
        </w:rPr>
        <w:t>.”</w:t>
      </w:r>
    </w:p>
    <w:p w14:paraId="33F52145" w14:textId="77777777" w:rsidR="008925EB" w:rsidRDefault="008925EB">
      <w:pPr>
        <w:spacing w:after="0" w:line="360" w:lineRule="auto"/>
        <w:ind w:firstLine="709"/>
        <w:jc w:val="both"/>
        <w:rPr>
          <w:rFonts w:ascii="Century Gothic" w:eastAsia="Century Gothic" w:hAnsi="Century Gothic" w:cs="Century Gothic"/>
          <w:sz w:val="24"/>
          <w:szCs w:val="24"/>
        </w:rPr>
      </w:pPr>
    </w:p>
    <w:p w14:paraId="5E0A18ED" w14:textId="77777777" w:rsidR="008925EB" w:rsidRDefault="00CF0D35">
      <w:pPr>
        <w:spacing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33. Sólo de esta manera puede asegurarse que el cauce procedimental, legalmente establecido, atendiendo a las circunstancias, tanto objeti</w:t>
      </w:r>
      <w:r>
        <w:rPr>
          <w:rFonts w:ascii="Century Gothic" w:eastAsia="Century Gothic" w:hAnsi="Century Gothic" w:cs="Century Gothic"/>
          <w:sz w:val="24"/>
          <w:szCs w:val="24"/>
        </w:rPr>
        <w:t>vas como subjetivas que la propia ley, de forma imperativa y toma en consideración. - - - - - - - - - - - - - - - - - - - - - - - - - - - - - - - - - - - - - - -</w:t>
      </w:r>
    </w:p>
    <w:p w14:paraId="446B132A" w14:textId="77777777" w:rsidR="008925EB" w:rsidRDefault="00CF0D35">
      <w:pPr>
        <w:spacing w:before="240" w:after="0" w:line="360" w:lineRule="auto"/>
        <w:ind w:firstLine="708"/>
        <w:jc w:val="both"/>
        <w:rPr>
          <w:rFonts w:ascii="Century Gothic" w:eastAsia="Century Gothic" w:hAnsi="Century Gothic" w:cs="Century Gothic"/>
          <w:color w:val="212529"/>
          <w:sz w:val="24"/>
          <w:szCs w:val="24"/>
        </w:rPr>
      </w:pPr>
      <w:r>
        <w:rPr>
          <w:rFonts w:ascii="Century Gothic" w:eastAsia="Century Gothic" w:hAnsi="Century Gothic" w:cs="Century Gothic"/>
          <w:color w:val="212529"/>
          <w:sz w:val="24"/>
          <w:szCs w:val="24"/>
        </w:rPr>
        <w:t>34. Sin que pase por desapercibido que del</w:t>
      </w:r>
      <w:r>
        <w:rPr>
          <w:rFonts w:ascii="Century Gothic" w:eastAsia="Century Gothic" w:hAnsi="Century Gothic" w:cs="Century Gothic"/>
          <w:color w:val="000000"/>
          <w:sz w:val="24"/>
          <w:szCs w:val="24"/>
        </w:rPr>
        <w:t xml:space="preserve"> escrito de dieciocho de abril del año en curso, el licenciado DIEGO MIGUEL GREGORIO, en su carácter de Jefe del Departamento de lo Contencioso y Administrativo dependiente de la Dirección de Asuntos Jurídicos de los Servicios de Salud de Oaxaca, presenta </w:t>
      </w:r>
      <w:r>
        <w:rPr>
          <w:rFonts w:ascii="Century Gothic" w:eastAsia="Century Gothic" w:hAnsi="Century Gothic" w:cs="Century Gothic"/>
          <w:color w:val="000000"/>
          <w:sz w:val="24"/>
          <w:szCs w:val="24"/>
        </w:rPr>
        <w:t xml:space="preserve">demanda ante la oficialía de este Tribunal, no obstante de su lectura se observa que ofreció la documental pública, “la </w:t>
      </w:r>
      <w:r>
        <w:rPr>
          <w:rFonts w:ascii="Century Gothic" w:eastAsia="Century Gothic" w:hAnsi="Century Gothic" w:cs="Century Gothic"/>
          <w:sz w:val="24"/>
          <w:szCs w:val="24"/>
        </w:rPr>
        <w:t>Copia certificada del que derivan los actos impugnados, del expediente 546/2006(4)”</w:t>
      </w:r>
      <w:r>
        <w:rPr>
          <w:rFonts w:ascii="Century Gothic" w:eastAsia="Century Gothic" w:hAnsi="Century Gothic" w:cs="Century Gothic"/>
          <w:color w:val="000000"/>
          <w:sz w:val="24"/>
          <w:szCs w:val="24"/>
        </w:rPr>
        <w:t xml:space="preserve">, la cual no anexó, ni exhibió el acuse por escrito, </w:t>
      </w:r>
      <w:r>
        <w:rPr>
          <w:rFonts w:ascii="Century Gothic" w:eastAsia="Century Gothic" w:hAnsi="Century Gothic" w:cs="Century Gothic"/>
          <w:color w:val="000000"/>
          <w:sz w:val="24"/>
          <w:szCs w:val="24"/>
        </w:rPr>
        <w:t xml:space="preserve">recibido por las autoridades que lo tienen bajo su resguardo, en el que coste que solicitó copias; por lo tanto, se encuentra en el supuesto establecido </w:t>
      </w:r>
      <w:r>
        <w:rPr>
          <w:rFonts w:ascii="Century Gothic" w:eastAsia="Century Gothic" w:hAnsi="Century Gothic" w:cs="Century Gothic"/>
          <w:color w:val="212529"/>
          <w:sz w:val="24"/>
          <w:szCs w:val="24"/>
          <w:highlight w:val="white"/>
        </w:rPr>
        <w:t xml:space="preserve">en el </w:t>
      </w:r>
      <w:r>
        <w:rPr>
          <w:rFonts w:ascii="Century Gothic" w:eastAsia="Century Gothic" w:hAnsi="Century Gothic" w:cs="Century Gothic"/>
          <w:sz w:val="24"/>
          <w:szCs w:val="24"/>
        </w:rPr>
        <w:t>artículo179</w:t>
      </w:r>
      <w:r>
        <w:rPr>
          <w:rFonts w:ascii="Century Gothic" w:eastAsia="Century Gothic" w:hAnsi="Century Gothic" w:cs="Century Gothic"/>
          <w:sz w:val="24"/>
          <w:szCs w:val="24"/>
          <w:vertAlign w:val="superscript"/>
        </w:rPr>
        <w:footnoteReference w:id="9"/>
      </w:r>
      <w:r>
        <w:rPr>
          <w:rFonts w:ascii="Century Gothic" w:eastAsia="Century Gothic" w:hAnsi="Century Gothic" w:cs="Century Gothic"/>
          <w:sz w:val="24"/>
          <w:szCs w:val="24"/>
        </w:rPr>
        <w:t xml:space="preserve"> de la Ley de Procedimiento y Justicia Administrativa del Estado. </w:t>
      </w:r>
      <w:r>
        <w:rPr>
          <w:rFonts w:ascii="Century Gothic" w:eastAsia="Century Gothic" w:hAnsi="Century Gothic" w:cs="Century Gothic"/>
          <w:color w:val="000000"/>
          <w:sz w:val="24"/>
          <w:szCs w:val="24"/>
        </w:rPr>
        <w:t>Lo cual, robustece</w:t>
      </w:r>
      <w:r>
        <w:rPr>
          <w:rFonts w:ascii="Century Gothic" w:eastAsia="Century Gothic" w:hAnsi="Century Gothic" w:cs="Century Gothic"/>
          <w:color w:val="000000"/>
          <w:sz w:val="24"/>
          <w:szCs w:val="24"/>
        </w:rPr>
        <w:t xml:space="preserve"> el criterio de que esta Sala Superior </w:t>
      </w:r>
      <w:r>
        <w:rPr>
          <w:rFonts w:ascii="Century Gothic" w:eastAsia="Century Gothic" w:hAnsi="Century Gothic" w:cs="Century Gothic"/>
          <w:b/>
          <w:color w:val="000000"/>
          <w:sz w:val="24"/>
          <w:szCs w:val="24"/>
        </w:rPr>
        <w:t>se reserva para dictar el acuerdo</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respectivo del promovente</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y se ordena</w:t>
      </w:r>
      <w:r>
        <w:rPr>
          <w:rFonts w:ascii="Century Gothic" w:eastAsia="Century Gothic" w:hAnsi="Century Gothic" w:cs="Century Gothic"/>
          <w:color w:val="000000"/>
          <w:sz w:val="24"/>
          <w:szCs w:val="24"/>
        </w:rPr>
        <w:t xml:space="preserve"> devolver los autos para que el Magistrado de Primera Instancia </w:t>
      </w:r>
      <w:r>
        <w:rPr>
          <w:rFonts w:ascii="Century Gothic" w:eastAsia="Century Gothic" w:hAnsi="Century Gothic" w:cs="Century Gothic"/>
          <w:color w:val="212529"/>
          <w:sz w:val="24"/>
          <w:szCs w:val="24"/>
          <w:highlight w:val="white"/>
        </w:rPr>
        <w:t>asuma la jurisdicción</w:t>
      </w:r>
      <w:r>
        <w:rPr>
          <w:rFonts w:ascii="Century Gothic" w:eastAsia="Century Gothic" w:hAnsi="Century Gothic" w:cs="Century Gothic"/>
          <w:color w:val="212529"/>
          <w:sz w:val="24"/>
          <w:szCs w:val="24"/>
        </w:rPr>
        <w:t xml:space="preserve"> </w:t>
      </w:r>
      <w:r>
        <w:rPr>
          <w:rFonts w:ascii="Century Gothic" w:eastAsia="Century Gothic" w:hAnsi="Century Gothic" w:cs="Century Gothic"/>
          <w:sz w:val="24"/>
          <w:szCs w:val="24"/>
        </w:rPr>
        <w:t>y con libertad de jurisdicción resuelva conforme a derecho</w:t>
      </w:r>
      <w:r>
        <w:rPr>
          <w:rFonts w:ascii="Century Gothic" w:eastAsia="Century Gothic" w:hAnsi="Century Gothic" w:cs="Century Gothic"/>
          <w:color w:val="212529"/>
          <w:sz w:val="24"/>
          <w:szCs w:val="24"/>
          <w:highlight w:val="white"/>
        </w:rPr>
        <w:t>.</w:t>
      </w:r>
      <w:r>
        <w:rPr>
          <w:rFonts w:ascii="Century Gothic" w:eastAsia="Century Gothic" w:hAnsi="Century Gothic" w:cs="Century Gothic"/>
          <w:color w:val="212529"/>
          <w:sz w:val="24"/>
          <w:szCs w:val="24"/>
          <w:highlight w:val="white"/>
        </w:rPr>
        <w:t xml:space="preserve"> - </w:t>
      </w:r>
    </w:p>
    <w:p w14:paraId="5ACB0EA5" w14:textId="77777777" w:rsidR="008925EB" w:rsidRDefault="00CF0D35">
      <w:pPr>
        <w:spacing w:before="240" w:after="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color w:val="000000"/>
          <w:sz w:val="24"/>
          <w:szCs w:val="24"/>
        </w:rPr>
        <w:t>SEXTO</w:t>
      </w:r>
      <w:r>
        <w:rPr>
          <w:rFonts w:ascii="Century Gothic" w:eastAsia="Century Gothic" w:hAnsi="Century Gothic" w:cs="Century Gothic"/>
          <w:b/>
          <w:sz w:val="24"/>
          <w:szCs w:val="24"/>
        </w:rPr>
        <w:t xml:space="preserve">. Efectos. </w:t>
      </w:r>
      <w:r>
        <w:rPr>
          <w:rFonts w:ascii="Century Gothic" w:eastAsia="Century Gothic" w:hAnsi="Century Gothic" w:cs="Century Gothic"/>
          <w:sz w:val="24"/>
          <w:szCs w:val="24"/>
        </w:rPr>
        <w:t>- - - - - - - - - - - - - - - - - - - - - - - - - - - - - - - - - - - - - - - - - -</w:t>
      </w:r>
    </w:p>
    <w:p w14:paraId="3AFDA85C" w14:textId="77777777" w:rsidR="008925EB" w:rsidRDefault="00CF0D35">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35. Bajo esa consideración, esta Instancia revisora determina que fue contrario a derecho que la Sala Unitaria desestimara la demanda sometida a su cons</w:t>
      </w:r>
      <w:r>
        <w:rPr>
          <w:rFonts w:ascii="Century Gothic" w:eastAsia="Century Gothic" w:hAnsi="Century Gothic" w:cs="Century Gothic"/>
          <w:sz w:val="24"/>
          <w:szCs w:val="24"/>
        </w:rPr>
        <w:t>ideración en el caso que es materia de estudio, porque no se actualiza la causal de improcedencia prevista en el numeral 161 fracciones IX y X de la Ley de Procedimiento y Justicia Administrativa para el Estado de Oaxaca, y a fin de reparar el agravio ocas</w:t>
      </w:r>
      <w:r>
        <w:rPr>
          <w:rFonts w:ascii="Century Gothic" w:eastAsia="Century Gothic" w:hAnsi="Century Gothic" w:cs="Century Gothic"/>
          <w:sz w:val="24"/>
          <w:szCs w:val="24"/>
        </w:rPr>
        <w:t xml:space="preserve">ionado al promovente y garantizarle su derecho a tutela judicial efectiva previsto en el artículo 17 de la Constitución Política de los Estados Unidos Mexicanos, siendo procede: </w:t>
      </w:r>
      <w:r>
        <w:rPr>
          <w:rFonts w:ascii="Century Gothic" w:eastAsia="Century Gothic" w:hAnsi="Century Gothic" w:cs="Century Gothic"/>
          <w:color w:val="000000"/>
          <w:sz w:val="24"/>
          <w:szCs w:val="24"/>
        </w:rPr>
        <w:t>- - - - - - - - - - - - - - - - - - - - - - - - - - - - - - - - - - - -</w:t>
      </w:r>
    </w:p>
    <w:p w14:paraId="303091C9" w14:textId="77777777" w:rsidR="008925EB" w:rsidRDefault="00CF0D35">
      <w:pPr>
        <w:numPr>
          <w:ilvl w:val="0"/>
          <w:numId w:val="4"/>
        </w:numPr>
        <w:pBdr>
          <w:top w:val="nil"/>
          <w:left w:val="nil"/>
          <w:bottom w:val="nil"/>
          <w:right w:val="nil"/>
          <w:between w:val="nil"/>
        </w:pBdr>
        <w:spacing w:before="240" w:after="0" w:line="360" w:lineRule="auto"/>
        <w:ind w:left="567" w:right="61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Se ordena REVOCAR </w:t>
      </w:r>
      <w:r>
        <w:rPr>
          <w:rFonts w:ascii="Century Gothic" w:eastAsia="Century Gothic" w:hAnsi="Century Gothic" w:cs="Century Gothic"/>
          <w:color w:val="000000"/>
          <w:sz w:val="24"/>
          <w:szCs w:val="24"/>
        </w:rPr>
        <w:t>el auto de veintiuno de abril de dos mil veintitrés.</w:t>
      </w:r>
    </w:p>
    <w:p w14:paraId="5255A6FB" w14:textId="77777777" w:rsidR="008925EB" w:rsidRDefault="00CF0D35">
      <w:pPr>
        <w:numPr>
          <w:ilvl w:val="0"/>
          <w:numId w:val="4"/>
        </w:numPr>
        <w:pBdr>
          <w:top w:val="nil"/>
          <w:left w:val="nil"/>
          <w:bottom w:val="nil"/>
          <w:right w:val="nil"/>
          <w:between w:val="nil"/>
        </w:pBdr>
        <w:spacing w:before="240" w:after="120" w:line="360" w:lineRule="auto"/>
        <w:ind w:left="567" w:right="61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En ese contexto, a efecto de otorgar la garantía de una tutela judicial efectiva, resulta procedente ordenarle a la Primera Sala Unitaria de Primera Instancia de este Tribunal de Justic</w:t>
      </w:r>
      <w:r>
        <w:rPr>
          <w:rFonts w:ascii="Century Gothic" w:eastAsia="Century Gothic" w:hAnsi="Century Gothic" w:cs="Century Gothic"/>
          <w:color w:val="000000"/>
          <w:sz w:val="24"/>
          <w:szCs w:val="24"/>
        </w:rPr>
        <w:t xml:space="preserve">ia determinará respecto a la documental pública, “Copia certificada del expediente 546/2006(4)” y para su admisión, reserva o desechamiento; efectuado esto, y de no advertir la existencia de alguna otra causa de improcedencia, debe tramitar a dicho juicio </w:t>
      </w:r>
      <w:r>
        <w:rPr>
          <w:rFonts w:ascii="Century Gothic" w:eastAsia="Century Gothic" w:hAnsi="Century Gothic" w:cs="Century Gothic"/>
          <w:color w:val="000000"/>
          <w:sz w:val="24"/>
          <w:szCs w:val="24"/>
        </w:rPr>
        <w:t xml:space="preserve">donde ADMITA la demanda interpuesta, y con libertad de jurisdicción determinará respecto de las demás pruebas ofrecidas y su admisión, en términos de los artículos 176 al 183 de la Ley de Procedimiento; una vez hecho esto, </w:t>
      </w:r>
      <w:r>
        <w:rPr>
          <w:rFonts w:ascii="Century Gothic" w:eastAsia="Century Gothic" w:hAnsi="Century Gothic" w:cs="Century Gothic"/>
          <w:b/>
          <w:color w:val="000000"/>
          <w:sz w:val="24"/>
          <w:szCs w:val="24"/>
        </w:rPr>
        <w:t xml:space="preserve">informe </w:t>
      </w:r>
      <w:r>
        <w:rPr>
          <w:rFonts w:ascii="Century Gothic" w:eastAsia="Century Gothic" w:hAnsi="Century Gothic" w:cs="Century Gothic"/>
          <w:color w:val="000000"/>
          <w:sz w:val="24"/>
          <w:szCs w:val="24"/>
        </w:rPr>
        <w:t>las consideraciones que t</w:t>
      </w:r>
      <w:r>
        <w:rPr>
          <w:rFonts w:ascii="Century Gothic" w:eastAsia="Century Gothic" w:hAnsi="Century Gothic" w:cs="Century Gothic"/>
          <w:color w:val="000000"/>
          <w:sz w:val="24"/>
          <w:szCs w:val="24"/>
        </w:rPr>
        <w:t xml:space="preserve">omó en la causa de origen, dentro de los tres días hábiles siguientes del auto en que haya admitido o desechado la demanda. </w:t>
      </w:r>
    </w:p>
    <w:p w14:paraId="3AF3D8A8" w14:textId="77777777" w:rsidR="008925EB" w:rsidRDefault="00CF0D35">
      <w:pPr>
        <w:spacing w:after="12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36. Sólo de esta manera puede asegurarse que el cauce procedimental, legalmente establecido, atendiendo a las circunstancias, tanto</w:t>
      </w:r>
      <w:r>
        <w:rPr>
          <w:rFonts w:ascii="Century Gothic" w:eastAsia="Century Gothic" w:hAnsi="Century Gothic" w:cs="Century Gothic"/>
          <w:sz w:val="24"/>
          <w:szCs w:val="24"/>
        </w:rPr>
        <w:t xml:space="preserve"> objetivas como subjetivas que la propia ley, de forma imperativa y toma en consideración. - - - - - - - - - - - - - - - - - - - - - - - - - - - - - - - - - - - - - - -</w:t>
      </w:r>
    </w:p>
    <w:p w14:paraId="37CB66F8" w14:textId="77777777" w:rsidR="008925EB" w:rsidRDefault="00CF0D35">
      <w:pPr>
        <w:spacing w:after="80" w:line="336"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37. Así, con fundamento en los artículos 236 y 238 de la Ley de Procedimiento y Justici</w:t>
      </w:r>
      <w:r>
        <w:rPr>
          <w:rFonts w:ascii="Century Gothic" w:eastAsia="Century Gothic" w:hAnsi="Century Gothic" w:cs="Century Gothic"/>
          <w:sz w:val="24"/>
          <w:szCs w:val="24"/>
        </w:rPr>
        <w:t>a Administrativa para el Estado de Oaxaca, se: - - -</w:t>
      </w:r>
    </w:p>
    <w:p w14:paraId="113A0BF1" w14:textId="77777777" w:rsidR="008925EB" w:rsidRDefault="00CF0D35">
      <w:pPr>
        <w:spacing w:before="240" w:after="80" w:line="336"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7AE8D9D7" w14:textId="77777777" w:rsidR="008925EB" w:rsidRDefault="00CF0D35">
      <w:pPr>
        <w:spacing w:before="240" w:after="80" w:line="336"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w:t>
      </w:r>
      <w:r>
        <w:rPr>
          <w:rFonts w:ascii="Century Gothic" w:eastAsia="Century Gothic" w:hAnsi="Century Gothic" w:cs="Century Gothic"/>
          <w:sz w:val="24"/>
          <w:szCs w:val="24"/>
        </w:rPr>
        <w:t xml:space="preserve"> Este 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en los términos del considerando </w:t>
      </w:r>
      <w:r>
        <w:rPr>
          <w:rFonts w:ascii="Century Gothic" w:eastAsia="Century Gothic" w:hAnsi="Century Gothic" w:cs="Century Gothic"/>
          <w:sz w:val="24"/>
          <w:szCs w:val="24"/>
        </w:rPr>
        <w:t xml:space="preserve">primero de la presente. </w:t>
      </w:r>
    </w:p>
    <w:p w14:paraId="51F9FD46" w14:textId="77777777" w:rsidR="008925EB" w:rsidRDefault="00CF0D35">
      <w:pPr>
        <w:spacing w:before="240" w:after="120" w:line="360" w:lineRule="auto"/>
        <w:ind w:firstLine="708"/>
        <w:jc w:val="both"/>
        <w:rPr>
          <w:rFonts w:ascii="Century Gothic" w:eastAsia="Century Gothic" w:hAnsi="Century Gothic" w:cs="Century Gothic"/>
          <w:sz w:val="24"/>
          <w:szCs w:val="24"/>
        </w:rPr>
      </w:pPr>
      <w:bookmarkStart w:id="8" w:name="_heading=h.tyjcwt" w:colFirst="0" w:colLast="0"/>
      <w:bookmarkEnd w:id="8"/>
      <w:r>
        <w:rPr>
          <w:rFonts w:ascii="Century Gothic" w:eastAsia="Century Gothic" w:hAnsi="Century Gothic" w:cs="Century Gothic"/>
          <w:b/>
          <w:sz w:val="24"/>
          <w:szCs w:val="24"/>
        </w:rPr>
        <w:t>SEGUNDO.</w:t>
      </w:r>
      <w:r>
        <w:rPr>
          <w:rFonts w:ascii="Century Gothic" w:eastAsia="Century Gothic" w:hAnsi="Century Gothic" w:cs="Century Gothic"/>
          <w:sz w:val="24"/>
          <w:szCs w:val="24"/>
        </w:rPr>
        <w:t xml:space="preserve"> Se </w:t>
      </w:r>
      <w:r>
        <w:rPr>
          <w:rFonts w:ascii="Century Gothic" w:eastAsia="Century Gothic" w:hAnsi="Century Gothic" w:cs="Century Gothic"/>
          <w:b/>
          <w:sz w:val="24"/>
          <w:szCs w:val="24"/>
        </w:rPr>
        <w:t>REVOCA</w:t>
      </w:r>
      <w:r>
        <w:rPr>
          <w:rFonts w:ascii="Century Gothic" w:eastAsia="Century Gothic" w:hAnsi="Century Gothic" w:cs="Century Gothic"/>
          <w:sz w:val="24"/>
          <w:szCs w:val="24"/>
        </w:rPr>
        <w:t xml:space="preserve"> el auto de veintiuno de abril de dos mil veintitrés, en los términos establecidos en el considerando cuarto, bajo los efectos del considerando sexto expuesto por esta Sala Superior. - - - - - - -</w:t>
      </w:r>
    </w:p>
    <w:p w14:paraId="7E763D1E" w14:textId="77777777" w:rsidR="008925EB" w:rsidRDefault="00CF0D35">
      <w:pPr>
        <w:spacing w:before="240" w:after="120" w:line="360" w:lineRule="auto"/>
        <w:ind w:firstLine="708"/>
        <w:jc w:val="both"/>
        <w:rPr>
          <w:rFonts w:ascii="Century Gothic" w:eastAsia="Century Gothic" w:hAnsi="Century Gothic" w:cs="Century Gothic"/>
          <w:sz w:val="24"/>
          <w:szCs w:val="24"/>
        </w:rPr>
      </w:pPr>
      <w:bookmarkStart w:id="9" w:name="_heading=h.3dy6vkm" w:colFirst="0" w:colLast="0"/>
      <w:bookmarkEnd w:id="9"/>
      <w:r>
        <w:rPr>
          <w:rFonts w:ascii="Century Gothic" w:eastAsia="Century Gothic" w:hAnsi="Century Gothic" w:cs="Century Gothic"/>
          <w:b/>
          <w:sz w:val="24"/>
          <w:szCs w:val="24"/>
        </w:rPr>
        <w:t>TERCERO.</w:t>
      </w:r>
      <w:r>
        <w:rPr>
          <w:rFonts w:ascii="Century Gothic" w:eastAsia="Century Gothic" w:hAnsi="Century Gothic" w:cs="Century Gothic"/>
          <w:sz w:val="24"/>
          <w:szCs w:val="24"/>
        </w:rPr>
        <w:t xml:space="preserve"> Se ordena a la Primera Sala Unitaria de este Tribu</w:t>
      </w:r>
      <w:r>
        <w:rPr>
          <w:rFonts w:ascii="Century Gothic" w:eastAsia="Century Gothic" w:hAnsi="Century Gothic" w:cs="Century Gothic"/>
          <w:sz w:val="24"/>
          <w:szCs w:val="24"/>
        </w:rPr>
        <w:t>nal para que efectúe lo concerniente bajo los términos establecidos en el considerando quinto y para los efectos del considerando sexto en la presente. - - - - - - - - - - - - - - - - - - - - - - - - - - - - - - - - - - - - - - - - - - - - - - - - - - -</w:t>
      </w:r>
    </w:p>
    <w:p w14:paraId="1913AE2C" w14:textId="77777777" w:rsidR="008925EB" w:rsidRDefault="00CF0D35">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w:t>
      </w:r>
      <w:r>
        <w:rPr>
          <w:rFonts w:ascii="Century Gothic" w:eastAsia="Century Gothic" w:hAnsi="Century Gothic" w:cs="Century Gothic"/>
          <w:b/>
          <w:sz w:val="24"/>
          <w:szCs w:val="24"/>
        </w:rPr>
        <w:t>ARTO. NOTIFÍQUESE Y CÚMPLASE,</w:t>
      </w:r>
      <w:r>
        <w:rPr>
          <w:rFonts w:ascii="Century Gothic" w:eastAsia="Century Gothic" w:hAnsi="Century Gothic" w:cs="Century Gothic"/>
          <w:sz w:val="24"/>
          <w:szCs w:val="24"/>
        </w:rPr>
        <w:t xml:space="preserve"> con copia certificada de la presente resolución remítanse los autos a la Primera Sala Unitaria de este Tribunal y en su oportunidad archívese el presente cuaderno de revisión como concluido. - - - - - - - - - - - - - - - - - -</w:t>
      </w:r>
      <w:r>
        <w:rPr>
          <w:rFonts w:ascii="Century Gothic" w:eastAsia="Century Gothic" w:hAnsi="Century Gothic" w:cs="Century Gothic"/>
          <w:sz w:val="24"/>
          <w:szCs w:val="24"/>
        </w:rPr>
        <w:t xml:space="preserve"> - - - - - - - - - - - - - - - - - - - - - - - - - - -</w:t>
      </w:r>
    </w:p>
    <w:p w14:paraId="230D94A5" w14:textId="77777777" w:rsidR="008925EB" w:rsidRDefault="00CF0D35">
      <w:pPr>
        <w:spacing w:before="240" w:after="12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Por unanimidad de votos, lo resolvieron y firmaron los Magistrados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quienes actúan con la Maestra Lizbeth Jess</w:t>
      </w:r>
      <w:r>
        <w:rPr>
          <w:rFonts w:ascii="Century Gothic" w:eastAsia="Century Gothic" w:hAnsi="Century Gothic" w:cs="Century Gothic"/>
          <w:sz w:val="24"/>
          <w:szCs w:val="24"/>
        </w:rPr>
        <w:t xml:space="preserve">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 - - - - - - - - - - - - - - - - - - - - - - - - - - - - </w:t>
      </w:r>
    </w:p>
    <w:p w14:paraId="5B0C3C6E" w14:textId="77777777" w:rsidR="008925EB" w:rsidRDefault="008925EB">
      <w:pPr>
        <w:spacing w:before="240" w:line="360" w:lineRule="auto"/>
        <w:ind w:firstLine="708"/>
        <w:jc w:val="both"/>
        <w:rPr>
          <w:rFonts w:ascii="Century Gothic" w:eastAsia="Century Gothic" w:hAnsi="Century Gothic" w:cs="Century Gothic"/>
          <w:sz w:val="24"/>
          <w:szCs w:val="24"/>
        </w:rPr>
      </w:pPr>
    </w:p>
    <w:p w14:paraId="7F773487" w14:textId="77777777" w:rsidR="008925EB" w:rsidRDefault="00CF0D35">
      <w:pPr>
        <w:pBdr>
          <w:top w:val="nil"/>
          <w:left w:val="nil"/>
          <w:bottom w:val="nil"/>
          <w:right w:val="nil"/>
          <w:between w:val="nil"/>
        </w:pBdr>
        <w:spacing w:after="0" w:line="24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1B2726D1" w14:textId="77777777" w:rsidR="008925EB" w:rsidRDefault="00CF0D35">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PRESIDENTE</w:t>
      </w:r>
    </w:p>
    <w:p w14:paraId="4808D87F" w14:textId="77777777" w:rsidR="008925EB" w:rsidRDefault="008925EB">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p>
    <w:p w14:paraId="16665F4C" w14:textId="77777777" w:rsidR="008925EB" w:rsidRDefault="008925EB">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p>
    <w:p w14:paraId="7062B44F" w14:textId="77777777" w:rsidR="008925EB" w:rsidRDefault="008925EB">
      <w:pPr>
        <w:tabs>
          <w:tab w:val="center" w:pos="4135"/>
          <w:tab w:val="left" w:pos="7515"/>
        </w:tabs>
        <w:spacing w:after="0" w:line="360" w:lineRule="auto"/>
        <w:jc w:val="center"/>
        <w:rPr>
          <w:rFonts w:ascii="Century Gothic" w:eastAsia="Century Gothic" w:hAnsi="Century Gothic" w:cs="Century Gothic"/>
          <w:sz w:val="16"/>
          <w:szCs w:val="16"/>
        </w:rPr>
      </w:pPr>
    </w:p>
    <w:p w14:paraId="15AC2267" w14:textId="77777777" w:rsidR="008925EB" w:rsidRDefault="00CF0D35">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07B08BE2" w14:textId="77777777" w:rsidR="008925EB" w:rsidRDefault="00CF0D35">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1AF31500" w14:textId="77777777" w:rsidR="008925EB" w:rsidRDefault="008925EB">
      <w:pPr>
        <w:tabs>
          <w:tab w:val="center" w:pos="4135"/>
          <w:tab w:val="left" w:pos="7515"/>
        </w:tabs>
        <w:spacing w:line="240" w:lineRule="auto"/>
        <w:rPr>
          <w:rFonts w:ascii="Century Gothic" w:eastAsia="Century Gothic" w:hAnsi="Century Gothic" w:cs="Century Gothic"/>
          <w:sz w:val="24"/>
          <w:szCs w:val="24"/>
        </w:rPr>
      </w:pPr>
    </w:p>
    <w:p w14:paraId="7A7967CE" w14:textId="77777777" w:rsidR="008925EB" w:rsidRDefault="00CF0D35">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1E903CA1" w14:textId="77777777" w:rsidR="008925EB" w:rsidRDefault="00CF0D35">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1E72AA75" w14:textId="77777777" w:rsidR="008925EB" w:rsidRDefault="008925EB">
      <w:pPr>
        <w:tabs>
          <w:tab w:val="center" w:pos="4135"/>
          <w:tab w:val="left" w:pos="7515"/>
        </w:tabs>
        <w:spacing w:line="240" w:lineRule="auto"/>
        <w:rPr>
          <w:rFonts w:ascii="Century Gothic" w:eastAsia="Century Gothic" w:hAnsi="Century Gothic" w:cs="Century Gothic"/>
          <w:sz w:val="24"/>
          <w:szCs w:val="24"/>
        </w:rPr>
      </w:pPr>
    </w:p>
    <w:p w14:paraId="3002064C" w14:textId="77777777" w:rsidR="008925EB" w:rsidRDefault="00CF0D35">
      <w:pPr>
        <w:tabs>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   MAESTRA LIZBETH JESSICA GALLARDO MARTÍNEZ</w:t>
      </w:r>
    </w:p>
    <w:p w14:paraId="58B86980" w14:textId="77777777" w:rsidR="008925EB" w:rsidRDefault="00CF0D35">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SECRETARIA GENERAL DE ACUERDOS</w:t>
      </w:r>
    </w:p>
    <w:p w14:paraId="35B42FD0" w14:textId="77777777" w:rsidR="008925EB" w:rsidRDefault="008925EB"/>
    <w:sectPr w:rsidR="008925EB" w:rsidSect="001573C7">
      <w:headerReference w:type="even" r:id="rId8"/>
      <w:headerReference w:type="default" r:id="rId9"/>
      <w:footerReference w:type="default" r:id="rId10"/>
      <w:headerReference w:type="first" r:id="rId11"/>
      <w:pgSz w:w="12240" w:h="20160"/>
      <w:pgMar w:top="567" w:right="1418" w:bottom="1702" w:left="226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67276" w14:textId="77777777" w:rsidR="00CF0D35" w:rsidRDefault="00CF0D35">
      <w:pPr>
        <w:spacing w:after="0" w:line="240" w:lineRule="auto"/>
      </w:pPr>
      <w:r>
        <w:separator/>
      </w:r>
    </w:p>
  </w:endnote>
  <w:endnote w:type="continuationSeparator" w:id="0">
    <w:p w14:paraId="233B0902" w14:textId="77777777" w:rsidR="00CF0D35" w:rsidRDefault="00CF0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246E" w14:textId="77777777" w:rsidR="008925EB" w:rsidRDefault="00CF0D35">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573C7">
      <w:rPr>
        <w:noProof/>
        <w:color w:val="000000"/>
      </w:rPr>
      <w:t>2</w:t>
    </w:r>
    <w:r>
      <w:rPr>
        <w:color w:val="000000"/>
      </w:rPr>
      <w:fldChar w:fldCharType="end"/>
    </w:r>
  </w:p>
  <w:p w14:paraId="5E346C32" w14:textId="77777777" w:rsidR="008925EB" w:rsidRDefault="008925E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B1002" w14:textId="77777777" w:rsidR="00CF0D35" w:rsidRDefault="00CF0D35">
      <w:pPr>
        <w:spacing w:after="0" w:line="240" w:lineRule="auto"/>
      </w:pPr>
      <w:r>
        <w:separator/>
      </w:r>
    </w:p>
  </w:footnote>
  <w:footnote w:type="continuationSeparator" w:id="0">
    <w:p w14:paraId="05A96CFF" w14:textId="77777777" w:rsidR="00CF0D35" w:rsidRDefault="00CF0D35">
      <w:pPr>
        <w:spacing w:after="0" w:line="240" w:lineRule="auto"/>
      </w:pPr>
      <w:r>
        <w:continuationSeparator/>
      </w:r>
    </w:p>
  </w:footnote>
  <w:footnote w:id="1">
    <w:p w14:paraId="03B3671E" w14:textId="77777777" w:rsidR="008925EB" w:rsidRDefault="00CF0D35">
      <w:pPr>
        <w:pBdr>
          <w:top w:val="nil"/>
          <w:left w:val="nil"/>
          <w:bottom w:val="nil"/>
          <w:right w:val="nil"/>
          <w:between w:val="nil"/>
        </w:pBdr>
        <w:spacing w:after="0" w:line="240" w:lineRule="auto"/>
        <w:rPr>
          <w:color w:val="000000"/>
          <w:sz w:val="20"/>
          <w:szCs w:val="20"/>
        </w:rPr>
      </w:pPr>
      <w:bookmarkStart w:id="3" w:name="_heading=h.1t3h5sf" w:colFirst="0" w:colLast="0"/>
      <w:bookmarkEnd w:id="3"/>
      <w:r>
        <w:rPr>
          <w:vertAlign w:val="superscript"/>
        </w:rPr>
        <w:footnoteRef/>
      </w:r>
      <w:r>
        <w:rPr>
          <w:color w:val="000000"/>
          <w:sz w:val="20"/>
          <w:szCs w:val="20"/>
        </w:rPr>
        <w:t xml:space="preserve"> Antes expediente 38/2023 Sexta Sala Unitaria de Primera Instancia.</w:t>
      </w:r>
    </w:p>
  </w:footnote>
  <w:footnote w:id="2">
    <w:p w14:paraId="1487AF23" w14:textId="77777777" w:rsidR="008925EB" w:rsidRDefault="00CF0D35">
      <w:pPr>
        <w:pBdr>
          <w:top w:val="nil"/>
          <w:left w:val="nil"/>
          <w:bottom w:val="nil"/>
          <w:right w:val="nil"/>
          <w:between w:val="nil"/>
        </w:pBdr>
        <w:spacing w:after="0" w:line="240" w:lineRule="auto"/>
        <w:jc w:val="both"/>
        <w:rPr>
          <w:i/>
          <w:color w:val="000000"/>
          <w:sz w:val="20"/>
          <w:szCs w:val="20"/>
        </w:rPr>
      </w:pPr>
      <w:r>
        <w:rPr>
          <w:vertAlign w:val="superscript"/>
        </w:rPr>
        <w:footnoteRef/>
      </w:r>
      <w:r>
        <w:rPr>
          <w:color w:val="000000"/>
          <w:sz w:val="20"/>
          <w:szCs w:val="20"/>
        </w:rPr>
        <w:t xml:space="preserve"> Publicado en el diario oficial de la federación y con entrada en vigor el veintidós de julio del dos mi veintitrés cuya lectura literal es: “</w:t>
      </w:r>
      <w:r>
        <w:rPr>
          <w:i/>
          <w:color w:val="000000"/>
          <w:sz w:val="20"/>
          <w:szCs w:val="20"/>
        </w:rPr>
        <w:t>CAPÍTULO III DEL TRIBUNAL DE JUSTICIA ADMINIS</w:t>
      </w:r>
      <w:r>
        <w:rPr>
          <w:i/>
          <w:color w:val="000000"/>
          <w:sz w:val="20"/>
          <w:szCs w:val="20"/>
        </w:rPr>
        <w:t xml:space="preserve">TRATIVA Y COMBATE A LA CORRUPCIÓN DEL ESTADO DE OAXACA. Artículo 114 </w:t>
      </w:r>
      <w:proofErr w:type="spellStart"/>
      <w:r>
        <w:rPr>
          <w:i/>
          <w:color w:val="000000"/>
          <w:sz w:val="20"/>
          <w:szCs w:val="20"/>
        </w:rPr>
        <w:t>Quáter</w:t>
      </w:r>
      <w:proofErr w:type="spellEnd"/>
      <w:r>
        <w:rPr>
          <w:i/>
          <w:color w:val="000000"/>
          <w:sz w:val="20"/>
          <w:szCs w:val="20"/>
        </w:rPr>
        <w:t>. El Tribunal de Justicia Administrativa y Combate a la Corrupción del Estado de Oaxaca, es la máxima autoridad jurisdiccional en materia de fiscalización, rendición de cuentas, res</w:t>
      </w:r>
      <w:r>
        <w:rPr>
          <w:i/>
          <w:color w:val="000000"/>
          <w:sz w:val="20"/>
          <w:szCs w:val="20"/>
        </w:rPr>
        <w:t>ponsabilidad de los servidores públicos, combate a la corrupción e impartición de Justicia Administrativa, estará dotado de plena autonomía para dictar sus fallos, establecer su organización, funcionamiento, procedimientos y su presupuesto.</w:t>
      </w:r>
    </w:p>
    <w:p w14:paraId="34567EE6" w14:textId="77777777" w:rsidR="008925EB" w:rsidRDefault="00CF0D35">
      <w:pPr>
        <w:pBdr>
          <w:top w:val="nil"/>
          <w:left w:val="nil"/>
          <w:bottom w:val="nil"/>
          <w:right w:val="nil"/>
          <w:between w:val="nil"/>
        </w:pBdr>
        <w:spacing w:after="0" w:line="240" w:lineRule="auto"/>
        <w:jc w:val="both"/>
        <w:rPr>
          <w:i/>
          <w:color w:val="000000"/>
          <w:sz w:val="20"/>
          <w:szCs w:val="20"/>
        </w:rPr>
      </w:pPr>
      <w:r>
        <w:rPr>
          <w:i/>
          <w:color w:val="000000"/>
          <w:sz w:val="20"/>
          <w:szCs w:val="20"/>
        </w:rPr>
        <w:t>(…)</w:t>
      </w:r>
    </w:p>
    <w:p w14:paraId="754F0555" w14:textId="77777777" w:rsidR="008925EB" w:rsidRDefault="00CF0D35">
      <w:pPr>
        <w:pBdr>
          <w:top w:val="nil"/>
          <w:left w:val="nil"/>
          <w:bottom w:val="nil"/>
          <w:right w:val="nil"/>
          <w:between w:val="nil"/>
        </w:pBdr>
        <w:spacing w:after="0" w:line="240" w:lineRule="auto"/>
        <w:jc w:val="both"/>
        <w:rPr>
          <w:i/>
          <w:color w:val="000000"/>
          <w:sz w:val="20"/>
          <w:szCs w:val="20"/>
        </w:rPr>
      </w:pPr>
      <w:r>
        <w:rPr>
          <w:i/>
          <w:color w:val="000000"/>
          <w:sz w:val="20"/>
          <w:szCs w:val="20"/>
        </w:rPr>
        <w:t>La Sala Superior del Tribunal se compondrá de tres Magistrados y actuará en Pleno” (…).</w:t>
      </w:r>
    </w:p>
    <w:bookmarkStart w:id="5" w:name="_heading=h.4d34og8" w:colFirst="0" w:colLast="0"/>
    <w:bookmarkEnd w:id="5"/>
  </w:footnote>
  <w:footnote w:id="3">
    <w:p w14:paraId="738C8E87" w14:textId="77777777" w:rsidR="008925EB" w:rsidRDefault="00CF0D35">
      <w:pPr>
        <w:pBdr>
          <w:top w:val="nil"/>
          <w:left w:val="nil"/>
          <w:bottom w:val="nil"/>
          <w:right w:val="nil"/>
          <w:between w:val="nil"/>
        </w:pBdr>
        <w:spacing w:after="0" w:line="240" w:lineRule="auto"/>
        <w:jc w:val="both"/>
        <w:rPr>
          <w:color w:val="000000"/>
          <w:sz w:val="20"/>
          <w:szCs w:val="20"/>
        </w:rPr>
      </w:pPr>
      <w:bookmarkStart w:id="6" w:name="_heading=h.4d34og8" w:colFirst="0" w:colLast="0"/>
      <w:bookmarkEnd w:id="6"/>
      <w:r>
        <w:rPr>
          <w:vertAlign w:val="superscript"/>
        </w:rPr>
        <w:footnoteRef/>
      </w:r>
      <w:r>
        <w:rPr>
          <w:color w:val="000000"/>
          <w:sz w:val="20"/>
          <w:szCs w:val="20"/>
        </w:rPr>
        <w:t xml:space="preserve"> </w:t>
      </w:r>
      <w:r>
        <w:rPr>
          <w:rFonts w:ascii="Arial" w:eastAsia="Arial" w:hAnsi="Arial" w:cs="Arial"/>
          <w:i/>
          <w:color w:val="000000"/>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w:t>
      </w:r>
      <w:r>
        <w:rPr>
          <w:rFonts w:ascii="Arial" w:eastAsia="Arial" w:hAnsi="Arial" w:cs="Arial"/>
          <w:i/>
          <w:color w:val="000000"/>
          <w:sz w:val="20"/>
          <w:szCs w:val="20"/>
        </w:rPr>
        <w:t>n o, en su caso, los agravios, para cumplir con los principios de congruencia y exhaustividad en las sentencias, pues tales principios se satisfacen cuando precisa los puntos sujetos a debate, derivados de la demanda de amparo o del escrito de expresión de</w:t>
      </w:r>
      <w:r>
        <w:rPr>
          <w:rFonts w:ascii="Arial" w:eastAsia="Arial" w:hAnsi="Arial" w:cs="Arial"/>
          <w:i/>
          <w:color w:val="000000"/>
          <w:sz w:val="20"/>
          <w:szCs w:val="20"/>
        </w:rPr>
        <w:t xml:space="preserve"> agravios, los estudia y les da respuesta, la cual debe estar vinculada y corresponder a los planteamientos de legalidad o constitucionalidad efectivamente planteados en el pliego correspondiente, sin introducir aspectos distintos a los que conforman la li</w:t>
      </w:r>
      <w:r>
        <w:rPr>
          <w:rFonts w:ascii="Arial" w:eastAsia="Arial" w:hAnsi="Arial" w:cs="Arial"/>
          <w:i/>
          <w:color w:val="000000"/>
          <w:sz w:val="20"/>
          <w:szCs w:val="20"/>
        </w:rPr>
        <w:t>tis. Sin embargo, no existe prohibición para hacer tal transcripción, quedando al prudente arbitrio del juzgador realizarla o no, atendiendo a las características especiales del caso, sin demérito de que para satisfacer los principios de exhaustividad y co</w:t>
      </w:r>
      <w:r>
        <w:rPr>
          <w:rFonts w:ascii="Arial" w:eastAsia="Arial" w:hAnsi="Arial" w:cs="Arial"/>
          <w:i/>
          <w:color w:val="000000"/>
          <w:sz w:val="20"/>
          <w:szCs w:val="20"/>
        </w:rPr>
        <w:t>ngruencia se estudien los planteamientos de legalidad o inconstitucionalidad que efectivamente se hayan hecho valer.</w:t>
      </w:r>
      <w:r>
        <w:rPr>
          <w:rFonts w:ascii="Arial" w:eastAsia="Arial" w:hAnsi="Arial" w:cs="Arial"/>
          <w:color w:val="000000"/>
          <w:sz w:val="20"/>
          <w:szCs w:val="20"/>
        </w:rPr>
        <w:t>”</w:t>
      </w:r>
    </w:p>
  </w:footnote>
  <w:footnote w:id="4">
    <w:p w14:paraId="7244CC99" w14:textId="77777777" w:rsidR="008925EB" w:rsidRDefault="00CF0D35">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LEY DE ENTIDADES PARAESTATALES DEL ESTADO DE OAXACA</w:t>
      </w:r>
    </w:p>
    <w:p w14:paraId="5469F7A7" w14:textId="77777777" w:rsidR="008925EB" w:rsidRDefault="00CF0D35">
      <w:pPr>
        <w:pBdr>
          <w:top w:val="nil"/>
          <w:left w:val="nil"/>
          <w:bottom w:val="nil"/>
          <w:right w:val="nil"/>
          <w:between w:val="nil"/>
        </w:pBdr>
        <w:spacing w:after="0" w:line="240" w:lineRule="auto"/>
        <w:jc w:val="both"/>
        <w:rPr>
          <w:color w:val="000000"/>
          <w:sz w:val="20"/>
          <w:szCs w:val="20"/>
        </w:rPr>
      </w:pPr>
      <w:r>
        <w:rPr>
          <w:color w:val="000000"/>
          <w:sz w:val="20"/>
          <w:szCs w:val="20"/>
        </w:rPr>
        <w:t>ARTICULO 1o.- La presente Ley tiene como objeto normar la creación, integración, ope</w:t>
      </w:r>
      <w:r>
        <w:rPr>
          <w:color w:val="000000"/>
          <w:sz w:val="20"/>
          <w:szCs w:val="20"/>
        </w:rPr>
        <w:t>ración, control y evaluación de las Entidades que conforman al Sector Paraestatal de la Administración Pública Estatal. (…)</w:t>
      </w:r>
    </w:p>
    <w:p w14:paraId="004E9511" w14:textId="77777777" w:rsidR="008925EB" w:rsidRDefault="00CF0D35">
      <w:pPr>
        <w:pBdr>
          <w:top w:val="nil"/>
          <w:left w:val="nil"/>
          <w:bottom w:val="nil"/>
          <w:right w:val="nil"/>
          <w:between w:val="nil"/>
        </w:pBdr>
        <w:spacing w:after="0" w:line="240" w:lineRule="auto"/>
        <w:jc w:val="both"/>
        <w:rPr>
          <w:color w:val="000000"/>
          <w:sz w:val="20"/>
          <w:szCs w:val="20"/>
        </w:rPr>
      </w:pPr>
      <w:r>
        <w:rPr>
          <w:color w:val="000000"/>
          <w:sz w:val="20"/>
          <w:szCs w:val="20"/>
        </w:rPr>
        <w:t>ARTICULO 2o.- Para los efectos de esta ley, se les denominará "entidades paraestatales" a las siguientes:</w:t>
      </w:r>
    </w:p>
    <w:p w14:paraId="61B96705" w14:textId="77777777" w:rsidR="008925EB" w:rsidRDefault="00CF0D35">
      <w:pPr>
        <w:pBdr>
          <w:top w:val="nil"/>
          <w:left w:val="nil"/>
          <w:bottom w:val="nil"/>
          <w:right w:val="nil"/>
          <w:between w:val="nil"/>
        </w:pBdr>
        <w:spacing w:after="0" w:line="240" w:lineRule="auto"/>
        <w:rPr>
          <w:color w:val="000000"/>
          <w:sz w:val="20"/>
          <w:szCs w:val="20"/>
        </w:rPr>
      </w:pPr>
      <w:r>
        <w:rPr>
          <w:color w:val="000000"/>
          <w:sz w:val="20"/>
          <w:szCs w:val="20"/>
        </w:rPr>
        <w:t>I. Organismos Descentraliz</w:t>
      </w:r>
      <w:r>
        <w:rPr>
          <w:color w:val="000000"/>
          <w:sz w:val="20"/>
          <w:szCs w:val="20"/>
        </w:rPr>
        <w:t>ados</w:t>
      </w:r>
    </w:p>
  </w:footnote>
  <w:footnote w:id="5">
    <w:p w14:paraId="20B20D5A" w14:textId="77777777" w:rsidR="008925EB" w:rsidRDefault="00CF0D35">
      <w:pPr>
        <w:pBdr>
          <w:top w:val="nil"/>
          <w:left w:val="nil"/>
          <w:bottom w:val="nil"/>
          <w:right w:val="nil"/>
          <w:between w:val="nil"/>
        </w:pBdr>
        <w:spacing w:after="0" w:line="240" w:lineRule="auto"/>
        <w:jc w:val="both"/>
        <w:rPr>
          <w:i/>
          <w:color w:val="000000"/>
          <w:sz w:val="20"/>
          <w:szCs w:val="20"/>
        </w:rPr>
      </w:pPr>
      <w:r>
        <w:rPr>
          <w:vertAlign w:val="superscript"/>
        </w:rPr>
        <w:footnoteRef/>
      </w:r>
      <w:r>
        <w:rPr>
          <w:color w:val="000000"/>
          <w:sz w:val="20"/>
          <w:szCs w:val="20"/>
        </w:rPr>
        <w:t xml:space="preserve"> </w:t>
      </w:r>
      <w:r>
        <w:rPr>
          <w:i/>
          <w:color w:val="000000"/>
          <w:sz w:val="20"/>
          <w:szCs w:val="20"/>
        </w:rPr>
        <w:t xml:space="preserve">Artículo 254.- En la substanciación del procedimiento de la revocación de autorizaciones, se admitirá toda clase de medios probatorios, excepto la confesional y </w:t>
      </w:r>
      <w:r>
        <w:rPr>
          <w:b/>
          <w:i/>
          <w:color w:val="000000"/>
          <w:sz w:val="20"/>
          <w:szCs w:val="20"/>
        </w:rPr>
        <w:t>se aplicará supletoriamente el Código de Procedimientos Civiles del Estado</w:t>
      </w:r>
      <w:r>
        <w:rPr>
          <w:i/>
          <w:color w:val="000000"/>
          <w:sz w:val="20"/>
          <w:szCs w:val="20"/>
        </w:rPr>
        <w:t>.</w:t>
      </w:r>
    </w:p>
    <w:p w14:paraId="69B6F216" w14:textId="77777777" w:rsidR="008925EB" w:rsidRDefault="00CF0D35">
      <w:pPr>
        <w:pBdr>
          <w:top w:val="nil"/>
          <w:left w:val="nil"/>
          <w:bottom w:val="nil"/>
          <w:right w:val="nil"/>
          <w:between w:val="nil"/>
        </w:pBdr>
        <w:spacing w:after="0" w:line="240" w:lineRule="auto"/>
        <w:rPr>
          <w:b/>
          <w:i/>
          <w:color w:val="000000"/>
          <w:sz w:val="20"/>
          <w:szCs w:val="20"/>
        </w:rPr>
      </w:pPr>
      <w:r>
        <w:rPr>
          <w:i/>
          <w:color w:val="000000"/>
          <w:sz w:val="20"/>
          <w:szCs w:val="20"/>
        </w:rPr>
        <w:t xml:space="preserve"> Artículo 35</w:t>
      </w:r>
      <w:r>
        <w:rPr>
          <w:i/>
          <w:color w:val="000000"/>
          <w:sz w:val="20"/>
          <w:szCs w:val="20"/>
        </w:rPr>
        <w:t xml:space="preserve">2.- En la tramitación del recurso de inconformidad, se aplicará supletoriamente </w:t>
      </w:r>
      <w:r>
        <w:rPr>
          <w:b/>
          <w:i/>
          <w:color w:val="000000"/>
          <w:sz w:val="20"/>
          <w:szCs w:val="20"/>
        </w:rPr>
        <w:t>el Código de Procedimientos Civiles del Estado.</w:t>
      </w:r>
    </w:p>
    <w:p w14:paraId="2A721F45" w14:textId="77777777" w:rsidR="008925EB" w:rsidRDefault="00CF0D35">
      <w:pPr>
        <w:pBdr>
          <w:top w:val="nil"/>
          <w:left w:val="nil"/>
          <w:bottom w:val="nil"/>
          <w:right w:val="nil"/>
          <w:between w:val="nil"/>
        </w:pBdr>
        <w:spacing w:after="0" w:line="240" w:lineRule="auto"/>
        <w:jc w:val="both"/>
        <w:rPr>
          <w:color w:val="000000"/>
          <w:sz w:val="20"/>
          <w:szCs w:val="20"/>
        </w:rPr>
      </w:pPr>
      <w:r>
        <w:rPr>
          <w:color w:val="000000"/>
          <w:sz w:val="20"/>
          <w:szCs w:val="20"/>
        </w:rPr>
        <w:t>TRANSITORIOS DE REFORMA DE FECHA 12 DE ABRIL DE 2004. EL DECRETO DE REFORMA CON ANTELACIÓN CITADO, NO SEÑALA DISPOSICIONES TRANS</w:t>
      </w:r>
      <w:r>
        <w:rPr>
          <w:color w:val="000000"/>
          <w:sz w:val="20"/>
          <w:szCs w:val="20"/>
        </w:rPr>
        <w:t xml:space="preserve">ITORIAS EN RELACIÓN CON LA PUESTA EN VIGENCIA DE LOS TEXTOS MODIFICADOS, EN CONSECUENCIA, </w:t>
      </w:r>
      <w:r>
        <w:rPr>
          <w:b/>
          <w:color w:val="000000"/>
          <w:sz w:val="20"/>
          <w:szCs w:val="20"/>
        </w:rPr>
        <w:t>SERÁN APLICABLES SUPLETORIAMENTE LAS REGLAS</w:t>
      </w:r>
      <w:r>
        <w:rPr>
          <w:color w:val="000000"/>
          <w:sz w:val="20"/>
          <w:szCs w:val="20"/>
        </w:rPr>
        <w:t xml:space="preserve"> GENERALES DE INTERPRETACIÓN DE LAS NORMAS PREVISTAS EN EL Artículo 3 DEL </w:t>
      </w:r>
      <w:r>
        <w:rPr>
          <w:b/>
          <w:color w:val="000000"/>
          <w:sz w:val="20"/>
          <w:szCs w:val="20"/>
        </w:rPr>
        <w:t>CÓDIGO CIVIL VIGENTE PARA EL ESTADO DE OAXACA</w:t>
      </w:r>
      <w:r>
        <w:rPr>
          <w:color w:val="000000"/>
          <w:sz w:val="20"/>
          <w:szCs w:val="20"/>
        </w:rPr>
        <w:t>.</w:t>
      </w:r>
    </w:p>
  </w:footnote>
  <w:footnote w:id="6">
    <w:p w14:paraId="77265568" w14:textId="77777777" w:rsidR="008925EB" w:rsidRDefault="00CF0D3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i/>
          <w:color w:val="000000"/>
          <w:sz w:val="20"/>
          <w:szCs w:val="20"/>
        </w:rPr>
        <w:t xml:space="preserve">Artículo </w:t>
      </w:r>
      <w:proofErr w:type="gramStart"/>
      <w:r>
        <w:rPr>
          <w:i/>
          <w:color w:val="000000"/>
          <w:sz w:val="20"/>
          <w:szCs w:val="20"/>
        </w:rPr>
        <w:t>5.“</w:t>
      </w:r>
      <w:proofErr w:type="gramEnd"/>
      <w:r>
        <w:rPr>
          <w:i/>
          <w:color w:val="000000"/>
          <w:sz w:val="20"/>
          <w:szCs w:val="20"/>
        </w:rPr>
        <w:t>…</w:t>
      </w:r>
      <w:r>
        <w:rPr>
          <w:b/>
          <w:i/>
          <w:color w:val="000000"/>
          <w:sz w:val="20"/>
          <w:szCs w:val="20"/>
        </w:rPr>
        <w:t>Los bienes muebles inmuebles de las Entidades Paraestatales</w:t>
      </w:r>
      <w:r>
        <w:rPr>
          <w:i/>
          <w:color w:val="000000"/>
          <w:sz w:val="20"/>
          <w:szCs w:val="20"/>
        </w:rPr>
        <w:t xml:space="preserve">, incluyendo los de las Entidades Auxiliares de colaboración </w:t>
      </w:r>
      <w:r>
        <w:rPr>
          <w:b/>
          <w:i/>
          <w:color w:val="000000"/>
          <w:sz w:val="20"/>
          <w:szCs w:val="20"/>
        </w:rPr>
        <w:t>son patrimonio del Estado</w:t>
      </w:r>
      <w:r>
        <w:rPr>
          <w:i/>
          <w:color w:val="000000"/>
          <w:sz w:val="20"/>
          <w:szCs w:val="20"/>
        </w:rPr>
        <w:t>, y por lo tanto,</w:t>
      </w:r>
      <w:r>
        <w:rPr>
          <w:b/>
          <w:i/>
          <w:color w:val="000000"/>
          <w:sz w:val="20"/>
          <w:szCs w:val="20"/>
        </w:rPr>
        <w:t xml:space="preserve"> </w:t>
      </w:r>
      <w:r>
        <w:rPr>
          <w:b/>
          <w:i/>
          <w:color w:val="000000"/>
          <w:sz w:val="20"/>
          <w:szCs w:val="20"/>
          <w:u w:val="single"/>
        </w:rPr>
        <w:t>son inembargables</w:t>
      </w:r>
      <w:r>
        <w:rPr>
          <w:i/>
          <w:color w:val="000000"/>
          <w:sz w:val="20"/>
          <w:szCs w:val="20"/>
        </w:rPr>
        <w:t>; en consecuencia, no podrá emplearse la vía de apremio, ni dic</w:t>
      </w:r>
      <w:r>
        <w:rPr>
          <w:i/>
          <w:color w:val="000000"/>
          <w:sz w:val="20"/>
          <w:szCs w:val="20"/>
        </w:rPr>
        <w:t>tarse auto de ejecución para hacer efectivas las sentencias dictadas a favor de particulares, en contra del Gobierno del Estado o de su hacienda…”</w:t>
      </w:r>
    </w:p>
  </w:footnote>
  <w:footnote w:id="7">
    <w:p w14:paraId="14A77197" w14:textId="77777777" w:rsidR="008925EB" w:rsidRDefault="00CF0D35">
      <w:pPr>
        <w:pBdr>
          <w:top w:val="nil"/>
          <w:left w:val="nil"/>
          <w:bottom w:val="nil"/>
          <w:right w:val="nil"/>
          <w:between w:val="nil"/>
        </w:pBdr>
        <w:spacing w:after="0" w:line="240" w:lineRule="auto"/>
        <w:jc w:val="both"/>
        <w:rPr>
          <w:i/>
          <w:color w:val="000000"/>
          <w:sz w:val="20"/>
          <w:szCs w:val="20"/>
        </w:rPr>
      </w:pPr>
      <w:r>
        <w:rPr>
          <w:vertAlign w:val="superscript"/>
        </w:rPr>
        <w:footnoteRef/>
      </w:r>
      <w:r>
        <w:rPr>
          <w:i/>
          <w:color w:val="000000"/>
          <w:sz w:val="20"/>
          <w:szCs w:val="20"/>
        </w:rPr>
        <w:t xml:space="preserve"> Artículo Sexto: </w:t>
      </w:r>
      <w:r>
        <w:rPr>
          <w:b/>
          <w:i/>
          <w:color w:val="000000"/>
          <w:sz w:val="20"/>
          <w:szCs w:val="20"/>
        </w:rPr>
        <w:t xml:space="preserve">Todos los bienes muebles que constituyan el patrimonio del Estado, </w:t>
      </w:r>
      <w:r>
        <w:rPr>
          <w:b/>
          <w:i/>
          <w:color w:val="000000"/>
          <w:sz w:val="20"/>
          <w:szCs w:val="20"/>
          <w:u w:val="single"/>
        </w:rPr>
        <w:t>incluyendo los de las entidades paraestatale</w:t>
      </w:r>
      <w:r>
        <w:rPr>
          <w:b/>
          <w:i/>
          <w:color w:val="000000"/>
          <w:sz w:val="20"/>
          <w:szCs w:val="20"/>
        </w:rPr>
        <w:t>s</w:t>
      </w:r>
      <w:r>
        <w:rPr>
          <w:i/>
          <w:color w:val="000000"/>
          <w:sz w:val="20"/>
          <w:szCs w:val="20"/>
        </w:rPr>
        <w:t xml:space="preserve">, los organismos auxiliares, las unidades de servicios culturales y turísticos y los de los municipios </w:t>
      </w:r>
      <w:r>
        <w:rPr>
          <w:b/>
          <w:i/>
          <w:color w:val="000000"/>
          <w:sz w:val="20"/>
          <w:szCs w:val="20"/>
          <w:u w:val="single"/>
        </w:rPr>
        <w:t>son inembargables</w:t>
      </w:r>
      <w:r>
        <w:rPr>
          <w:i/>
          <w:color w:val="000000"/>
          <w:sz w:val="20"/>
          <w:szCs w:val="20"/>
        </w:rPr>
        <w:t>. En consecuencia, no podrá emplearse la vía de apremio, ni dictarse auto de ejecución para</w:t>
      </w:r>
      <w:r>
        <w:rPr>
          <w:i/>
          <w:color w:val="000000"/>
          <w:sz w:val="20"/>
          <w:szCs w:val="20"/>
        </w:rPr>
        <w:t xml:space="preserve"> hacer efectivas las sentencias dictadas a favor de particulares, en contra del Gobierno del Estado o de su hacienda.</w:t>
      </w:r>
    </w:p>
    <w:p w14:paraId="76BD7C9A" w14:textId="77777777" w:rsidR="008925EB" w:rsidRDefault="008925EB">
      <w:pPr>
        <w:pBdr>
          <w:top w:val="nil"/>
          <w:left w:val="nil"/>
          <w:bottom w:val="nil"/>
          <w:right w:val="nil"/>
          <w:between w:val="nil"/>
        </w:pBdr>
        <w:spacing w:after="0" w:line="240" w:lineRule="auto"/>
        <w:rPr>
          <w:color w:val="000000"/>
          <w:sz w:val="20"/>
          <w:szCs w:val="20"/>
        </w:rPr>
      </w:pPr>
    </w:p>
  </w:footnote>
  <w:footnote w:id="8">
    <w:p w14:paraId="5E621C7A" w14:textId="77777777" w:rsidR="008925EB" w:rsidRDefault="00CF0D3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ARTÍCULO 245. Salvo los casos en que se señale expresamente lo contrario, la interposición del recurso de revocación será optativa para</w:t>
      </w:r>
      <w:r>
        <w:rPr>
          <w:color w:val="000000"/>
          <w:sz w:val="20"/>
          <w:szCs w:val="20"/>
        </w:rPr>
        <w:t xml:space="preserve"> el interesado antes de acudir ante los tribunales competentes en materia administrativa. Deberá intentar la misma vía elegida si pretende impugnar un acto administrativo que sea antecedente o consecuente de otro; en el caso de resoluciones dictadas en cum</w:t>
      </w:r>
      <w:r>
        <w:rPr>
          <w:color w:val="000000"/>
          <w:sz w:val="20"/>
          <w:szCs w:val="20"/>
        </w:rPr>
        <w:t>plimiento de las emitidas en recursos administrativos, el contribuyente podrá impugnar dicho acto, por una sola vez, a través de la misma vía.</w:t>
      </w:r>
    </w:p>
  </w:footnote>
  <w:footnote w:id="9">
    <w:p w14:paraId="74EB49F6" w14:textId="77777777" w:rsidR="008925EB" w:rsidRDefault="00CF0D3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i/>
          <w:color w:val="000000"/>
          <w:sz w:val="20"/>
          <w:szCs w:val="20"/>
        </w:rPr>
        <w:t xml:space="preserve">ARTÍCULO 179.- </w:t>
      </w:r>
      <w:r>
        <w:rPr>
          <w:b/>
          <w:i/>
          <w:color w:val="000000"/>
          <w:sz w:val="20"/>
          <w:szCs w:val="20"/>
        </w:rPr>
        <w:t>Cuando no se satisfaga alguno de los requisitos de la demanda</w:t>
      </w:r>
      <w:r>
        <w:rPr>
          <w:i/>
          <w:color w:val="000000"/>
          <w:sz w:val="20"/>
          <w:szCs w:val="20"/>
        </w:rPr>
        <w:t>, cuando fuere obscura o imprecisa,</w:t>
      </w:r>
      <w:r>
        <w:rPr>
          <w:i/>
          <w:color w:val="000000"/>
          <w:sz w:val="20"/>
          <w:szCs w:val="20"/>
        </w:rPr>
        <w:t xml:space="preserve"> o cuando no se anexen los documentos a que se refieren los artículos anteriores </w:t>
      </w:r>
      <w:r>
        <w:rPr>
          <w:b/>
          <w:i/>
          <w:color w:val="000000"/>
          <w:sz w:val="20"/>
          <w:szCs w:val="20"/>
        </w:rPr>
        <w:t>la Sala debe requerir al actor para que en el plazo de tres días hábiles subsane las omisiones</w:t>
      </w:r>
      <w:r>
        <w:rPr>
          <w:i/>
          <w:color w:val="000000"/>
          <w:sz w:val="20"/>
          <w:szCs w:val="20"/>
        </w:rPr>
        <w:t xml:space="preserve"> y formule las aclaraciones correspondientes; apercibiéndole que de no hacerlo se</w:t>
      </w:r>
      <w:r>
        <w:rPr>
          <w:i/>
          <w:color w:val="000000"/>
          <w:sz w:val="20"/>
          <w:szCs w:val="20"/>
        </w:rPr>
        <w:t xml:space="preserve"> desechará la demanda.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7BD8" w14:textId="3B94FDCF" w:rsidR="008925EB" w:rsidRDefault="00CF0D35">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573C7">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14D9F1BA" w14:textId="6F5F5971" w:rsidR="008925EB" w:rsidRDefault="001573C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37F73E7C" wp14:editId="7FE0CC89">
          <wp:simplePos x="0" y="0"/>
          <wp:positionH relativeFrom="column">
            <wp:posOffset>-1211580</wp:posOffset>
          </wp:positionH>
          <wp:positionV relativeFrom="paragraph">
            <wp:posOffset>3232150</wp:posOffset>
          </wp:positionV>
          <wp:extent cx="1028700" cy="1257300"/>
          <wp:effectExtent l="0" t="0" r="0" b="0"/>
          <wp:wrapNone/>
          <wp:docPr id="1878871120" name="Imagen 187887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98480" name="Imagen 179139848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FBB5" w14:textId="77777777" w:rsidR="008925EB" w:rsidRDefault="00CF0D35">
    <w:pPr>
      <w:pBdr>
        <w:top w:val="nil"/>
        <w:left w:val="nil"/>
        <w:bottom w:val="nil"/>
        <w:right w:val="nil"/>
        <w:between w:val="nil"/>
      </w:pBdr>
      <w:tabs>
        <w:tab w:val="center" w:pos="4252"/>
        <w:tab w:val="right" w:pos="8504"/>
      </w:tabs>
      <w:spacing w:after="0" w:line="240" w:lineRule="auto"/>
      <w:ind w:left="1276"/>
      <w:jc w:val="center"/>
      <w:rPr>
        <w:b/>
        <w:color w:val="000000"/>
        <w:sz w:val="24"/>
        <w:szCs w:val="24"/>
      </w:rPr>
    </w:pPr>
    <w:bookmarkStart w:id="10" w:name="_heading=h.2s8eyo1" w:colFirst="0" w:colLast="0"/>
    <w:bookmarkEnd w:id="10"/>
    <w:r>
      <w:rPr>
        <w:b/>
        <w:color w:val="000000"/>
        <w:sz w:val="24"/>
        <w:szCs w:val="24"/>
      </w:rPr>
      <w:t xml:space="preserve">SALA SUPERIOR DEL TRIBUNAL DE JUSTICIA ADMINISTRATIVA Y COMBATE A LA CORRUPCIÓN DEL ESTADO DE OAXACA </w:t>
    </w:r>
    <w:r>
      <w:rPr>
        <w:noProof/>
      </w:rPr>
      <w:drawing>
        <wp:anchor distT="0" distB="0" distL="114300" distR="114300" simplePos="0" relativeHeight="251658240" behindDoc="0" locked="0" layoutInCell="1" hidden="0" allowOverlap="1" wp14:anchorId="2B00F236" wp14:editId="5E58BBC3">
          <wp:simplePos x="0" y="0"/>
          <wp:positionH relativeFrom="column">
            <wp:posOffset>-598804</wp:posOffset>
          </wp:positionH>
          <wp:positionV relativeFrom="paragraph">
            <wp:posOffset>-68579</wp:posOffset>
          </wp:positionV>
          <wp:extent cx="1620353" cy="495300"/>
          <wp:effectExtent l="0" t="0" r="0" b="0"/>
          <wp:wrapNone/>
          <wp:docPr id="12672019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1FB10454" w14:textId="464AB32E" w:rsidR="008925EB" w:rsidRDefault="00CF0D35">
    <w:pPr>
      <w:pBdr>
        <w:top w:val="nil"/>
        <w:left w:val="nil"/>
        <w:bottom w:val="nil"/>
        <w:right w:val="nil"/>
        <w:between w:val="nil"/>
      </w:pBdr>
      <w:tabs>
        <w:tab w:val="center" w:pos="4252"/>
        <w:tab w:val="right" w:pos="8504"/>
      </w:tabs>
      <w:spacing w:after="0" w:line="240" w:lineRule="auto"/>
      <w:jc w:val="center"/>
      <w:rPr>
        <w:color w:val="000000"/>
        <w:sz w:val="24"/>
        <w:szCs w:val="24"/>
      </w:rPr>
    </w:pPr>
    <w:r>
      <w:rPr>
        <w:color w:val="000000"/>
        <w:sz w:val="24"/>
        <w:szCs w:val="24"/>
      </w:rPr>
      <w:t>R.R. 0324/2023</w:t>
    </w:r>
  </w:p>
  <w:p w14:paraId="64FFDF7B" w14:textId="3AC8B2E5" w:rsidR="008925EB" w:rsidRDefault="001573C7">
    <w:pPr>
      <w:pBdr>
        <w:top w:val="nil"/>
        <w:left w:val="nil"/>
        <w:bottom w:val="nil"/>
        <w:right w:val="nil"/>
        <w:between w:val="nil"/>
      </w:pBdr>
      <w:tabs>
        <w:tab w:val="center" w:pos="4252"/>
        <w:tab w:val="right" w:pos="8504"/>
        <w:tab w:val="left" w:pos="142"/>
      </w:tabs>
      <w:spacing w:after="0" w:line="240" w:lineRule="auto"/>
      <w:ind w:left="284"/>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5C245281" wp14:editId="5D027129">
          <wp:simplePos x="0" y="0"/>
          <wp:positionH relativeFrom="column">
            <wp:posOffset>-1230630</wp:posOffset>
          </wp:positionH>
          <wp:positionV relativeFrom="paragraph">
            <wp:posOffset>3030220</wp:posOffset>
          </wp:positionV>
          <wp:extent cx="1028700" cy="1257300"/>
          <wp:effectExtent l="0" t="0" r="0" b="0"/>
          <wp:wrapNone/>
          <wp:docPr id="17913984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98480" name="Imagen 179139848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3455" w14:textId="7982ED31" w:rsidR="008925EB" w:rsidRDefault="00CF0D35">
    <w:pPr>
      <w:pBdr>
        <w:top w:val="nil"/>
        <w:left w:val="nil"/>
        <w:bottom w:val="nil"/>
        <w:right w:val="nil"/>
        <w:between w:val="nil"/>
      </w:pBdr>
      <w:tabs>
        <w:tab w:val="center" w:pos="4252"/>
        <w:tab w:val="right" w:pos="8504"/>
      </w:tabs>
      <w:spacing w:after="0" w:line="240" w:lineRule="auto"/>
      <w:ind w:left="1843"/>
      <w:jc w:val="center"/>
      <w:rPr>
        <w:b/>
        <w:color w:val="000000"/>
        <w:sz w:val="24"/>
        <w:szCs w:val="24"/>
      </w:rPr>
    </w:pPr>
    <w:r>
      <w:rPr>
        <w:b/>
        <w:color w:val="000000"/>
        <w:sz w:val="24"/>
        <w:szCs w:val="24"/>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0D27FFE2" wp14:editId="529044FC">
          <wp:simplePos x="0" y="0"/>
          <wp:positionH relativeFrom="column">
            <wp:posOffset>-548004</wp:posOffset>
          </wp:positionH>
          <wp:positionV relativeFrom="paragraph">
            <wp:posOffset>-99694</wp:posOffset>
          </wp:positionV>
          <wp:extent cx="1619885" cy="495300"/>
          <wp:effectExtent l="0" t="0" r="0" b="0"/>
          <wp:wrapNone/>
          <wp:docPr id="12672019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19885" cy="495300"/>
                  </a:xfrm>
                  <a:prstGeom prst="rect">
                    <a:avLst/>
                  </a:prstGeom>
                  <a:ln/>
                </pic:spPr>
              </pic:pic>
            </a:graphicData>
          </a:graphic>
        </wp:anchor>
      </w:drawing>
    </w:r>
  </w:p>
  <w:p w14:paraId="595C7B17" w14:textId="2ED26457" w:rsidR="008925EB" w:rsidRDefault="001573C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b/>
        <w:noProof/>
        <w:color w:val="000000"/>
        <w:sz w:val="24"/>
        <w:szCs w:val="24"/>
      </w:rPr>
      <w:drawing>
        <wp:anchor distT="0" distB="0" distL="114300" distR="114300" simplePos="0" relativeHeight="251660288" behindDoc="1" locked="0" layoutInCell="1" allowOverlap="1" wp14:anchorId="69D24ACD" wp14:editId="22E51AB4">
          <wp:simplePos x="0" y="0"/>
          <wp:positionH relativeFrom="column">
            <wp:posOffset>-1144905</wp:posOffset>
          </wp:positionH>
          <wp:positionV relativeFrom="paragraph">
            <wp:posOffset>2387600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6C42"/>
    <w:multiLevelType w:val="multilevel"/>
    <w:tmpl w:val="DE4A3EAE"/>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4A306804"/>
    <w:multiLevelType w:val="multilevel"/>
    <w:tmpl w:val="4AFE4316"/>
    <w:lvl w:ilvl="0">
      <w:start w:val="1"/>
      <w:numFmt w:val="lowerLetter"/>
      <w:lvlText w:val="%1)"/>
      <w:lvlJc w:val="left"/>
      <w:pPr>
        <w:ind w:left="1428" w:hanging="360"/>
      </w:pPr>
      <w:rPr>
        <w:rFonts w:ascii="Century Gothic" w:eastAsia="Century Gothic" w:hAnsi="Century Gothic" w:cs="Century Gothic"/>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 w15:restartNumberingAfterBreak="0">
    <w:nsid w:val="4EC65A7F"/>
    <w:multiLevelType w:val="multilevel"/>
    <w:tmpl w:val="1FC2E1B8"/>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63590C0E"/>
    <w:multiLevelType w:val="multilevel"/>
    <w:tmpl w:val="5300C16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4" w15:restartNumberingAfterBreak="0">
    <w:nsid w:val="65C87E04"/>
    <w:multiLevelType w:val="multilevel"/>
    <w:tmpl w:val="43D6DE1E"/>
    <w:lvl w:ilvl="0">
      <w:start w:val="1"/>
      <w:numFmt w:val="lowerLetter"/>
      <w:lvlText w:val="%1)"/>
      <w:lvlJc w:val="left"/>
      <w:pPr>
        <w:ind w:left="1287" w:hanging="360"/>
      </w:p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1631132145">
    <w:abstractNumId w:val="1"/>
  </w:num>
  <w:num w:numId="2" w16cid:durableId="993876672">
    <w:abstractNumId w:val="4"/>
  </w:num>
  <w:num w:numId="3" w16cid:durableId="596062707">
    <w:abstractNumId w:val="3"/>
  </w:num>
  <w:num w:numId="4" w16cid:durableId="629438817">
    <w:abstractNumId w:val="0"/>
  </w:num>
  <w:num w:numId="5" w16cid:durableId="50464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5EB"/>
    <w:rsid w:val="001573C7"/>
    <w:rsid w:val="008925EB"/>
    <w:rsid w:val="00CF0D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F4FECB"/>
  <w15:docId w15:val="{CCCCC9D1-21EB-459C-9F33-25E447C56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B4D"/>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iedepgina">
    <w:name w:val="footer"/>
    <w:basedOn w:val="Normal"/>
    <w:link w:val="PiedepginaCar"/>
    <w:uiPriority w:val="99"/>
    <w:unhideWhenUsed/>
    <w:rsid w:val="002E3C2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E3C28"/>
    <w:rPr>
      <w:rFonts w:ascii="Calibri" w:eastAsiaTheme="minorEastAsia" w:hAnsi="Calibri" w:cs="Calibri"/>
      <w:lang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v0RjMqu7vFO9QwpaiPWNwIpo6Q==">CgMxLjAyCGguZ2pkZ3hzMgloLjMwajB6bGwyCWguMWZvYjl0ZTIJaC4zem55c2g3MgloLjJldDkycDAyCGgudHlqY3d0MgloLjNkeTZ2a20yCWguMXQzaDVzZjIJaC40ZDM0b2c4MgloLjJzOGV5bzE4AHIhMTkwemFhWkE4VUxfSWtONUV0WHZ2UF95dV9kUXpVM2Fy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14</Pages>
  <Words>4460</Words>
  <Characters>24536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2</cp:revision>
  <dcterms:created xsi:type="dcterms:W3CDTF">2023-09-07T20:46:00Z</dcterms:created>
  <dcterms:modified xsi:type="dcterms:W3CDTF">2023-10-24T20:32:00Z</dcterms:modified>
</cp:coreProperties>
</file>