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0D175" w14:textId="0A3D08BF" w:rsidR="00F95E73" w:rsidRPr="00251BFA" w:rsidRDefault="00F95E73" w:rsidP="000364B0">
      <w:pPr>
        <w:spacing w:line="240" w:lineRule="auto"/>
        <w:ind w:left="3402" w:right="51"/>
        <w:jc w:val="both"/>
        <w:rPr>
          <w:rFonts w:ascii="Century Gothic" w:eastAsia="Times New Roman" w:hAnsi="Century Gothic" w:cs="Arial"/>
          <w:bCs/>
          <w:sz w:val="24"/>
          <w:szCs w:val="24"/>
          <w:lang w:val="es-ES_tradnl" w:eastAsia="es-ES"/>
        </w:rPr>
      </w:pPr>
      <w:r w:rsidRPr="00251BFA">
        <w:rPr>
          <w:rFonts w:ascii="Century Gothic" w:eastAsia="Times New Roman" w:hAnsi="Century Gothic" w:cs="Arial"/>
          <w:b/>
          <w:sz w:val="24"/>
          <w:szCs w:val="24"/>
          <w:lang w:val="es-ES_tradnl" w:eastAsia="es-ES"/>
        </w:rPr>
        <w:t xml:space="preserve">RECURSO DE REVISIÓN: </w:t>
      </w:r>
      <w:r w:rsidRPr="00251BFA">
        <w:rPr>
          <w:rFonts w:ascii="Century Gothic" w:eastAsia="Times New Roman" w:hAnsi="Century Gothic" w:cs="Arial"/>
          <w:sz w:val="24"/>
          <w:szCs w:val="24"/>
          <w:lang w:val="es-ES_tradnl" w:eastAsia="es-ES"/>
        </w:rPr>
        <w:t>0</w:t>
      </w:r>
      <w:r w:rsidR="000364B0">
        <w:rPr>
          <w:rFonts w:ascii="Century Gothic" w:eastAsia="Times New Roman" w:hAnsi="Century Gothic" w:cs="Arial"/>
          <w:sz w:val="24"/>
          <w:szCs w:val="24"/>
          <w:lang w:val="es-ES_tradnl" w:eastAsia="es-ES"/>
        </w:rPr>
        <w:t>0</w:t>
      </w:r>
      <w:r w:rsidR="007668FB" w:rsidRPr="00251BFA">
        <w:rPr>
          <w:rFonts w:ascii="Century Gothic" w:eastAsia="Times New Roman" w:hAnsi="Century Gothic" w:cs="Arial"/>
          <w:sz w:val="24"/>
          <w:szCs w:val="24"/>
          <w:lang w:val="es-ES_tradnl" w:eastAsia="es-ES"/>
        </w:rPr>
        <w:t>40</w:t>
      </w:r>
      <w:r w:rsidRPr="00251BFA">
        <w:rPr>
          <w:rFonts w:ascii="Century Gothic" w:eastAsia="Times New Roman" w:hAnsi="Century Gothic" w:cs="Arial"/>
          <w:sz w:val="24"/>
          <w:szCs w:val="24"/>
          <w:lang w:val="es-ES_tradnl" w:eastAsia="es-ES"/>
        </w:rPr>
        <w:t>/2023</w:t>
      </w:r>
      <w:r w:rsidRPr="00251BFA">
        <w:rPr>
          <w:rFonts w:ascii="Century Gothic" w:eastAsia="Times New Roman" w:hAnsi="Century Gothic" w:cs="Arial"/>
          <w:b/>
          <w:sz w:val="24"/>
          <w:szCs w:val="24"/>
          <w:lang w:val="es-ES_tradnl" w:eastAsia="es-ES"/>
        </w:rPr>
        <w:t>.</w:t>
      </w:r>
    </w:p>
    <w:p w14:paraId="7E2037D0" w14:textId="6ADFDA27" w:rsidR="00F95E73" w:rsidRPr="00251BFA" w:rsidRDefault="00880D7E" w:rsidP="000364B0">
      <w:pPr>
        <w:spacing w:line="240" w:lineRule="auto"/>
        <w:ind w:left="3402" w:right="51"/>
        <w:jc w:val="both"/>
        <w:rPr>
          <w:rFonts w:ascii="Century Gothic" w:eastAsia="Times New Roman" w:hAnsi="Century Gothic" w:cs="Arial"/>
          <w:b/>
          <w:sz w:val="24"/>
          <w:szCs w:val="24"/>
          <w:lang w:val="es-ES_tradnl" w:eastAsia="es-ES"/>
        </w:rPr>
      </w:pPr>
      <w:r w:rsidRPr="00251BFA">
        <w:rPr>
          <w:rFonts w:ascii="Century Gothic" w:eastAsia="Times New Roman" w:hAnsi="Century Gothic" w:cs="Arial"/>
          <w:b/>
          <w:sz w:val="24"/>
          <w:szCs w:val="24"/>
          <w:lang w:val="es-ES_tradnl" w:eastAsia="es-ES"/>
        </w:rPr>
        <w:t xml:space="preserve">ANTEC: </w:t>
      </w:r>
      <w:r w:rsidR="00F95E73" w:rsidRPr="00251BFA">
        <w:rPr>
          <w:rFonts w:ascii="Century Gothic" w:eastAsia="Times New Roman" w:hAnsi="Century Gothic" w:cs="Arial"/>
          <w:b/>
          <w:sz w:val="24"/>
          <w:szCs w:val="24"/>
          <w:lang w:val="es-ES_tradnl" w:eastAsia="es-ES"/>
        </w:rPr>
        <w:t>JUICIO DE NULIDAD:</w:t>
      </w:r>
      <w:r w:rsidR="00F95E73" w:rsidRPr="00251BFA">
        <w:rPr>
          <w:rFonts w:ascii="Century Gothic" w:eastAsia="Times New Roman" w:hAnsi="Century Gothic" w:cs="Arial"/>
          <w:bCs/>
          <w:sz w:val="24"/>
          <w:szCs w:val="24"/>
          <w:lang w:val="es-ES_tradnl" w:eastAsia="es-ES"/>
        </w:rPr>
        <w:t xml:space="preserve"> </w:t>
      </w:r>
      <w:r w:rsidR="00F95E73" w:rsidRPr="00251BFA">
        <w:rPr>
          <w:rFonts w:ascii="Century Gothic" w:eastAsia="Times New Roman" w:hAnsi="Century Gothic" w:cs="Arial"/>
          <w:b/>
          <w:bCs/>
          <w:sz w:val="24"/>
          <w:szCs w:val="24"/>
          <w:lang w:val="es-ES_tradnl" w:eastAsia="es-ES"/>
        </w:rPr>
        <w:t>0</w:t>
      </w:r>
      <w:r w:rsidR="007668FB" w:rsidRPr="00251BFA">
        <w:rPr>
          <w:rFonts w:ascii="Century Gothic" w:eastAsia="Times New Roman" w:hAnsi="Century Gothic" w:cs="Arial"/>
          <w:b/>
          <w:bCs/>
          <w:sz w:val="24"/>
          <w:szCs w:val="24"/>
          <w:lang w:val="es-ES_tradnl" w:eastAsia="es-ES"/>
        </w:rPr>
        <w:t>101/2021</w:t>
      </w:r>
      <w:r w:rsidR="00F95E73" w:rsidRPr="00251BFA">
        <w:rPr>
          <w:rFonts w:ascii="Century Gothic" w:eastAsia="Times New Roman" w:hAnsi="Century Gothic" w:cs="Arial"/>
          <w:b/>
          <w:bCs/>
          <w:sz w:val="24"/>
          <w:szCs w:val="24"/>
          <w:lang w:val="es-ES_tradnl" w:eastAsia="es-ES"/>
        </w:rPr>
        <w:t xml:space="preserve"> </w:t>
      </w:r>
      <w:r w:rsidR="007668FB" w:rsidRPr="00251BFA">
        <w:rPr>
          <w:rFonts w:ascii="Century Gothic" w:eastAsia="Times New Roman" w:hAnsi="Century Gothic" w:cs="Arial"/>
          <w:b/>
          <w:bCs/>
          <w:sz w:val="24"/>
          <w:szCs w:val="24"/>
          <w:lang w:val="es-ES_tradnl" w:eastAsia="es-ES"/>
        </w:rPr>
        <w:t xml:space="preserve">DE LA </w:t>
      </w:r>
      <w:r w:rsidR="00F95E73" w:rsidRPr="00251BFA">
        <w:rPr>
          <w:rFonts w:ascii="Century Gothic" w:eastAsia="Times New Roman" w:hAnsi="Century Gothic" w:cs="Arial"/>
          <w:b/>
          <w:bCs/>
          <w:sz w:val="24"/>
          <w:szCs w:val="24"/>
          <w:lang w:val="es-ES_tradnl" w:eastAsia="es-ES"/>
        </w:rPr>
        <w:t xml:space="preserve">SEGUNDA SALA UNITARIA DE PRIMERA INSTANCIA DEL TRIBUNAL </w:t>
      </w:r>
      <w:r w:rsidR="00F95E73" w:rsidRPr="00251BFA">
        <w:rPr>
          <w:rFonts w:ascii="Century Gothic" w:eastAsia="Times New Roman" w:hAnsi="Century Gothic" w:cs="Arial"/>
          <w:b/>
          <w:sz w:val="24"/>
          <w:szCs w:val="24"/>
          <w:lang w:val="es-ES_tradnl" w:eastAsia="es-ES"/>
        </w:rPr>
        <w:t>DE JUSTICIA ADMINISTRATIVA Y COMBATE A LA CORRUPCIÓN DEL ESTADO DE OAXACA</w:t>
      </w:r>
      <w:r w:rsidR="00F95E73" w:rsidRPr="00251BFA">
        <w:rPr>
          <w:rFonts w:ascii="Century Gothic" w:eastAsia="Times New Roman" w:hAnsi="Century Gothic" w:cs="Arial"/>
          <w:b/>
          <w:bCs/>
          <w:sz w:val="24"/>
          <w:szCs w:val="24"/>
          <w:lang w:val="es-ES_tradnl" w:eastAsia="es-ES"/>
        </w:rPr>
        <w:t>.</w:t>
      </w:r>
    </w:p>
    <w:p w14:paraId="350A1D40" w14:textId="122826D0" w:rsidR="00F95E73" w:rsidRPr="00251BFA" w:rsidRDefault="00F95E73" w:rsidP="000364B0">
      <w:pPr>
        <w:spacing w:line="240" w:lineRule="auto"/>
        <w:ind w:left="3402" w:right="51"/>
        <w:jc w:val="both"/>
        <w:rPr>
          <w:rFonts w:ascii="Century Gothic" w:eastAsia="Times New Roman" w:hAnsi="Century Gothic" w:cs="Arial"/>
          <w:bCs/>
          <w:sz w:val="24"/>
          <w:szCs w:val="24"/>
          <w:lang w:val="es-ES_tradnl" w:eastAsia="es-ES"/>
        </w:rPr>
      </w:pPr>
      <w:r w:rsidRPr="00251BFA">
        <w:rPr>
          <w:rFonts w:ascii="Century Gothic" w:eastAsia="Times New Roman" w:hAnsi="Century Gothic" w:cs="Arial"/>
          <w:b/>
          <w:sz w:val="24"/>
          <w:szCs w:val="24"/>
          <w:lang w:val="es-ES_tradnl" w:eastAsia="es-ES"/>
        </w:rPr>
        <w:t>RECURRENTE:</w:t>
      </w:r>
      <w:bookmarkStart w:id="0" w:name="_Hlk106885326"/>
      <w:bookmarkStart w:id="1" w:name="_Hlk115266477"/>
      <w:r w:rsidRPr="00251BFA">
        <w:rPr>
          <w:rFonts w:ascii="Century Gothic" w:eastAsia="Times New Roman" w:hAnsi="Century Gothic" w:cs="Arial"/>
          <w:sz w:val="24"/>
          <w:szCs w:val="24"/>
          <w:lang w:val="es-ES_tradnl" w:eastAsia="es-ES"/>
        </w:rPr>
        <w:t xml:space="preserve"> </w:t>
      </w:r>
      <w:r w:rsidR="002A2BD9" w:rsidRPr="00251BFA">
        <w:rPr>
          <w:rFonts w:ascii="Century Gothic" w:hAnsi="Century Gothic" w:cs="Arial"/>
          <w:bCs/>
          <w:sz w:val="24"/>
          <w:szCs w:val="24"/>
        </w:rPr>
        <w:t>M.A</w:t>
      </w:r>
      <w:r w:rsidR="0052093C">
        <w:rPr>
          <w:rFonts w:ascii="Century Gothic" w:hAnsi="Century Gothic" w:cs="Arial"/>
          <w:bCs/>
          <w:sz w:val="24"/>
          <w:szCs w:val="24"/>
        </w:rPr>
        <w:t xml:space="preserve"> </w:t>
      </w:r>
      <w:r w:rsidR="0052093C" w:rsidRPr="00251BFA">
        <w:rPr>
          <w:rFonts w:ascii="Century Gothic" w:hAnsi="Century Gothic" w:cs="Arial"/>
          <w:sz w:val="24"/>
          <w:szCs w:val="24"/>
        </w:rPr>
        <w:t>URIEL BAUTISTA VÁSQUEZ</w:t>
      </w:r>
      <w:r w:rsidR="002A2BD9" w:rsidRPr="00251BFA">
        <w:rPr>
          <w:rFonts w:ascii="Century Gothic" w:hAnsi="Century Gothic" w:cs="Arial"/>
          <w:bCs/>
          <w:sz w:val="24"/>
          <w:szCs w:val="24"/>
        </w:rPr>
        <w:t>. DIRECTOR DE RECURSOS HUMANOS DE LA SECRETARÍA DE ADMINISTRACIÓN DEL GOBIERNO DEL ESTADO DE OAXACA</w:t>
      </w:r>
      <w:r w:rsidRPr="00251BFA">
        <w:rPr>
          <w:rFonts w:ascii="Century Gothic" w:hAnsi="Century Gothic" w:cs="Arial"/>
          <w:bCs/>
          <w:sz w:val="24"/>
          <w:szCs w:val="24"/>
        </w:rPr>
        <w:t>.</w:t>
      </w:r>
    </w:p>
    <w:p w14:paraId="6010EF4C" w14:textId="77777777" w:rsidR="00F95E73" w:rsidRPr="00251BFA" w:rsidRDefault="00F95E73" w:rsidP="000364B0">
      <w:pPr>
        <w:spacing w:line="240" w:lineRule="auto"/>
        <w:ind w:left="3402" w:right="51"/>
        <w:jc w:val="both"/>
        <w:rPr>
          <w:rFonts w:ascii="Century Gothic" w:eastAsia="Times New Roman" w:hAnsi="Century Gothic" w:cs="Arial"/>
          <w:bCs/>
          <w:sz w:val="24"/>
          <w:szCs w:val="24"/>
          <w:lang w:val="es-ES_tradnl" w:eastAsia="es-ES"/>
        </w:rPr>
      </w:pPr>
      <w:r w:rsidRPr="00251BFA">
        <w:rPr>
          <w:rFonts w:ascii="Century Gothic" w:eastAsia="Times New Roman" w:hAnsi="Century Gothic" w:cs="Arial"/>
          <w:b/>
          <w:sz w:val="24"/>
          <w:szCs w:val="24"/>
          <w:lang w:val="es-ES_tradnl" w:eastAsia="es-ES"/>
        </w:rPr>
        <w:t>PONENTE:</w:t>
      </w:r>
      <w:r w:rsidRPr="00251BFA">
        <w:rPr>
          <w:rFonts w:ascii="Century Gothic" w:eastAsia="Times New Roman" w:hAnsi="Century Gothic" w:cs="Arial"/>
          <w:bCs/>
          <w:sz w:val="24"/>
          <w:szCs w:val="24"/>
          <w:lang w:val="es-ES_tradnl" w:eastAsia="es-ES"/>
        </w:rPr>
        <w:t xml:space="preserve"> MAGISTRADA CRUZ ITZEL ESPINOSA ROJAS</w:t>
      </w:r>
    </w:p>
    <w:p w14:paraId="04B928A7" w14:textId="77777777" w:rsidR="00F95E73" w:rsidRPr="00251BFA" w:rsidRDefault="00F95E73" w:rsidP="00251BFA">
      <w:pPr>
        <w:spacing w:line="240" w:lineRule="auto"/>
        <w:ind w:left="3119" w:right="51"/>
        <w:jc w:val="both"/>
        <w:rPr>
          <w:rFonts w:ascii="Century Gothic" w:eastAsia="Times New Roman" w:hAnsi="Century Gothic" w:cs="Arial"/>
          <w:bCs/>
          <w:sz w:val="24"/>
          <w:szCs w:val="24"/>
          <w:lang w:val="es-ES_tradnl" w:eastAsia="es-ES"/>
        </w:rPr>
      </w:pPr>
    </w:p>
    <w:bookmarkEnd w:id="0"/>
    <w:bookmarkEnd w:id="1"/>
    <w:p w14:paraId="4E5953AD" w14:textId="4FCE1787" w:rsidR="00F95E73" w:rsidRPr="00251BFA" w:rsidRDefault="00F95E73" w:rsidP="00251BFA">
      <w:pPr>
        <w:widowControl w:val="0"/>
        <w:spacing w:line="240" w:lineRule="auto"/>
        <w:ind w:right="51" w:firstLine="567"/>
        <w:jc w:val="both"/>
        <w:rPr>
          <w:rFonts w:ascii="Century Gothic" w:eastAsia="Times New Roman" w:hAnsi="Century Gothic" w:cs="Arial"/>
          <w:b/>
          <w:sz w:val="24"/>
          <w:szCs w:val="24"/>
          <w:lang w:val="es-ES" w:eastAsia="es-ES"/>
        </w:rPr>
      </w:pPr>
      <w:r w:rsidRPr="00251BFA">
        <w:rPr>
          <w:rFonts w:ascii="Century Gothic" w:eastAsia="Times New Roman" w:hAnsi="Century Gothic" w:cs="Arial"/>
          <w:b/>
          <w:sz w:val="24"/>
          <w:szCs w:val="24"/>
          <w:lang w:val="es-ES" w:eastAsia="es-ES"/>
        </w:rPr>
        <w:t>OAXACA DE JUÁREZ, OAXACA,</w:t>
      </w:r>
      <w:r w:rsidR="00F0218A">
        <w:rPr>
          <w:rFonts w:ascii="Century Gothic" w:eastAsia="Times New Roman" w:hAnsi="Century Gothic" w:cs="Arial"/>
          <w:b/>
          <w:sz w:val="24"/>
          <w:szCs w:val="24"/>
          <w:lang w:val="es-ES" w:eastAsia="es-ES"/>
        </w:rPr>
        <w:t xml:space="preserve"> A SIETE </w:t>
      </w:r>
      <w:r w:rsidRPr="00251BFA">
        <w:rPr>
          <w:rFonts w:ascii="Century Gothic" w:eastAsia="Times New Roman" w:hAnsi="Century Gothic" w:cs="Arial"/>
          <w:b/>
          <w:sz w:val="24"/>
          <w:szCs w:val="24"/>
          <w:lang w:val="es-ES" w:eastAsia="es-ES"/>
        </w:rPr>
        <w:t>DE</w:t>
      </w:r>
      <w:r w:rsidR="00A86CC7">
        <w:rPr>
          <w:rFonts w:ascii="Century Gothic" w:eastAsia="Times New Roman" w:hAnsi="Century Gothic" w:cs="Arial"/>
          <w:b/>
          <w:sz w:val="24"/>
          <w:szCs w:val="24"/>
          <w:lang w:val="es-ES" w:eastAsia="es-ES"/>
        </w:rPr>
        <w:t xml:space="preserve"> </w:t>
      </w:r>
      <w:r w:rsidRPr="00251BFA">
        <w:rPr>
          <w:rFonts w:ascii="Century Gothic" w:eastAsia="Times New Roman" w:hAnsi="Century Gothic" w:cs="Arial"/>
          <w:b/>
          <w:sz w:val="24"/>
          <w:szCs w:val="24"/>
          <w:lang w:val="es-ES" w:eastAsia="es-ES"/>
        </w:rPr>
        <w:t>SEPTIEMBRE DE DOS MIL VEINTITRÉS.</w:t>
      </w:r>
      <w:r w:rsidR="00F0218A">
        <w:rPr>
          <w:rFonts w:ascii="Century Gothic" w:eastAsia="Times New Roman" w:hAnsi="Century Gothic" w:cs="Arial"/>
          <w:b/>
          <w:sz w:val="24"/>
          <w:szCs w:val="24"/>
          <w:lang w:val="es-ES" w:eastAsia="es-ES"/>
        </w:rPr>
        <w:t xml:space="preserve"> - - - - - - - - - - - - - - - - - - - - - - - - - - - - - - - - - - - - - - - - - - -</w:t>
      </w:r>
    </w:p>
    <w:p w14:paraId="53EBF8DA" w14:textId="24374E78" w:rsidR="00F95E73" w:rsidRPr="00251BFA" w:rsidRDefault="000364B0" w:rsidP="00251BFA">
      <w:pPr>
        <w:spacing w:line="240" w:lineRule="auto"/>
        <w:ind w:firstLine="708"/>
        <w:jc w:val="both"/>
        <w:rPr>
          <w:rFonts w:ascii="Century Gothic" w:hAnsi="Century Gothic" w:cs="Arial"/>
          <w:sz w:val="24"/>
          <w:szCs w:val="24"/>
        </w:rPr>
      </w:pPr>
      <w:r w:rsidRPr="000364B0">
        <w:rPr>
          <w:rFonts w:ascii="Century Gothic" w:hAnsi="Century Gothic" w:cs="Arial"/>
          <w:sz w:val="24"/>
          <w:szCs w:val="24"/>
        </w:rPr>
        <w:t>1.</w:t>
      </w:r>
      <w:r>
        <w:rPr>
          <w:rFonts w:ascii="Century Gothic" w:hAnsi="Century Gothic" w:cs="Arial"/>
          <w:b/>
          <w:bCs/>
          <w:sz w:val="24"/>
          <w:szCs w:val="24"/>
        </w:rPr>
        <w:t xml:space="preserve"> </w:t>
      </w:r>
      <w:r w:rsidR="00880D7E" w:rsidRPr="00251BFA">
        <w:rPr>
          <w:rFonts w:ascii="Century Gothic" w:hAnsi="Century Gothic" w:cs="Arial"/>
          <w:b/>
          <w:bCs/>
          <w:sz w:val="24"/>
          <w:szCs w:val="24"/>
        </w:rPr>
        <w:t>ÚNICO. Remisión del recurso</w:t>
      </w:r>
      <w:r w:rsidR="00880D7E" w:rsidRPr="00251BFA">
        <w:rPr>
          <w:rFonts w:ascii="Century Gothic" w:hAnsi="Century Gothic" w:cs="Arial"/>
          <w:sz w:val="24"/>
          <w:szCs w:val="24"/>
        </w:rPr>
        <w:t xml:space="preserve">. </w:t>
      </w:r>
      <w:r w:rsidR="00F95E73" w:rsidRPr="00251BFA">
        <w:rPr>
          <w:rFonts w:ascii="Century Gothic" w:hAnsi="Century Gothic" w:cs="Arial"/>
          <w:sz w:val="24"/>
          <w:szCs w:val="24"/>
        </w:rPr>
        <w:t xml:space="preserve">Se tiene por recibido el cuaderno de revisión </w:t>
      </w:r>
      <w:r w:rsidR="002A2BD9" w:rsidRPr="00251BFA">
        <w:rPr>
          <w:rFonts w:ascii="Century Gothic" w:hAnsi="Century Gothic" w:cs="Arial"/>
          <w:b/>
          <w:sz w:val="24"/>
          <w:szCs w:val="24"/>
        </w:rPr>
        <w:t>0</w:t>
      </w:r>
      <w:r>
        <w:rPr>
          <w:rFonts w:ascii="Century Gothic" w:hAnsi="Century Gothic" w:cs="Arial"/>
          <w:b/>
          <w:sz w:val="24"/>
          <w:szCs w:val="24"/>
        </w:rPr>
        <w:t>0</w:t>
      </w:r>
      <w:r w:rsidR="002A2BD9" w:rsidRPr="00251BFA">
        <w:rPr>
          <w:rFonts w:ascii="Century Gothic" w:hAnsi="Century Gothic" w:cs="Arial"/>
          <w:b/>
          <w:sz w:val="24"/>
          <w:szCs w:val="24"/>
        </w:rPr>
        <w:t>40</w:t>
      </w:r>
      <w:r w:rsidR="00F95E73" w:rsidRPr="00251BFA">
        <w:rPr>
          <w:rFonts w:ascii="Century Gothic" w:hAnsi="Century Gothic" w:cs="Arial"/>
          <w:b/>
          <w:sz w:val="24"/>
          <w:szCs w:val="24"/>
        </w:rPr>
        <w:t>/2023</w:t>
      </w:r>
      <w:r w:rsidR="00F95E73" w:rsidRPr="00251BFA">
        <w:rPr>
          <w:rFonts w:ascii="Century Gothic" w:hAnsi="Century Gothic" w:cs="Arial"/>
          <w:sz w:val="24"/>
          <w:szCs w:val="24"/>
        </w:rPr>
        <w:t xml:space="preserve"> que remite la Secretaría General de Acuerdos, con motivo del recurso de revisión interpuesto por </w:t>
      </w:r>
      <w:r w:rsidR="002A2BD9" w:rsidRPr="00251BFA">
        <w:rPr>
          <w:rFonts w:ascii="Century Gothic" w:hAnsi="Century Gothic" w:cs="Arial"/>
          <w:bCs/>
          <w:sz w:val="24"/>
          <w:szCs w:val="24"/>
        </w:rPr>
        <w:t>M.A</w:t>
      </w:r>
      <w:r w:rsidR="000F09DA">
        <w:rPr>
          <w:rFonts w:ascii="Century Gothic" w:hAnsi="Century Gothic" w:cs="Arial"/>
          <w:bCs/>
          <w:sz w:val="24"/>
          <w:szCs w:val="24"/>
        </w:rPr>
        <w:t xml:space="preserve"> **********</w:t>
      </w:r>
      <w:r w:rsidR="002A2BD9" w:rsidRPr="00251BFA">
        <w:rPr>
          <w:rFonts w:ascii="Century Gothic" w:hAnsi="Century Gothic" w:cs="Arial"/>
          <w:bCs/>
          <w:sz w:val="24"/>
          <w:szCs w:val="24"/>
        </w:rPr>
        <w:t>, Director de Recursos Humanos de la Secretaría de Administración del Gobierno del Esta</w:t>
      </w:r>
      <w:r w:rsidR="00EF255D">
        <w:rPr>
          <w:rFonts w:ascii="Century Gothic" w:hAnsi="Century Gothic" w:cs="Arial"/>
          <w:bCs/>
          <w:sz w:val="24"/>
          <w:szCs w:val="24"/>
        </w:rPr>
        <w:t xml:space="preserve">do </w:t>
      </w:r>
      <w:r w:rsidR="002A2BD9" w:rsidRPr="00251BFA">
        <w:rPr>
          <w:rFonts w:ascii="Century Gothic" w:hAnsi="Century Gothic" w:cs="Arial"/>
          <w:bCs/>
          <w:sz w:val="24"/>
          <w:szCs w:val="24"/>
        </w:rPr>
        <w:t>de Oaxaca</w:t>
      </w:r>
      <w:r w:rsidR="00F95E73" w:rsidRPr="00251BFA">
        <w:rPr>
          <w:rFonts w:ascii="Century Gothic" w:hAnsi="Century Gothic" w:cs="Arial"/>
          <w:b/>
          <w:sz w:val="24"/>
          <w:szCs w:val="24"/>
        </w:rPr>
        <w:t>,</w:t>
      </w:r>
      <w:r w:rsidR="00F95E73" w:rsidRPr="00251BFA">
        <w:rPr>
          <w:rFonts w:ascii="Century Gothic" w:hAnsi="Century Gothic" w:cs="Arial"/>
          <w:sz w:val="24"/>
          <w:szCs w:val="24"/>
        </w:rPr>
        <w:t xml:space="preserve"> en contra de la sentencia de fecha </w:t>
      </w:r>
      <w:r w:rsidR="002A2BD9" w:rsidRPr="00251BFA">
        <w:rPr>
          <w:rFonts w:ascii="Century Gothic" w:hAnsi="Century Gothic" w:cs="Arial"/>
          <w:sz w:val="24"/>
          <w:szCs w:val="24"/>
        </w:rPr>
        <w:t>diez de enero</w:t>
      </w:r>
      <w:r w:rsidR="00F95E73" w:rsidRPr="00251BFA">
        <w:rPr>
          <w:rFonts w:ascii="Century Gothic" w:hAnsi="Century Gothic" w:cs="Arial"/>
          <w:sz w:val="24"/>
          <w:szCs w:val="24"/>
        </w:rPr>
        <w:t xml:space="preserve"> de dos mil veintitrés, dictada en el </w:t>
      </w:r>
      <w:r w:rsidR="002A2BD9" w:rsidRPr="00251BFA">
        <w:rPr>
          <w:rFonts w:ascii="Century Gothic" w:hAnsi="Century Gothic" w:cs="Arial"/>
          <w:sz w:val="24"/>
          <w:szCs w:val="24"/>
        </w:rPr>
        <w:t xml:space="preserve">juicio de nulidad con número de expediente </w:t>
      </w:r>
      <w:r w:rsidR="002A2BD9" w:rsidRPr="00251BFA">
        <w:rPr>
          <w:rFonts w:ascii="Century Gothic" w:eastAsia="Times New Roman" w:hAnsi="Century Gothic" w:cs="Arial"/>
          <w:bCs/>
          <w:sz w:val="24"/>
          <w:szCs w:val="24"/>
          <w:lang w:val="es-ES_tradnl" w:eastAsia="es-ES"/>
        </w:rPr>
        <w:t xml:space="preserve">0101/2021 de la Segunda Sala Unitaria de Primera Instancia del Tribunal </w:t>
      </w:r>
      <w:r w:rsidR="002A2BD9" w:rsidRPr="00251BFA">
        <w:rPr>
          <w:rFonts w:ascii="Century Gothic" w:eastAsia="Times New Roman" w:hAnsi="Century Gothic" w:cs="Arial"/>
          <w:sz w:val="24"/>
          <w:szCs w:val="24"/>
          <w:lang w:val="es-ES_tradnl" w:eastAsia="es-ES"/>
        </w:rPr>
        <w:t>de Justicia Administrativa y Combate a la Corrupción del Estado de Oaxaca</w:t>
      </w:r>
      <w:r w:rsidR="002A2BD9" w:rsidRPr="00251BFA">
        <w:rPr>
          <w:rFonts w:ascii="Century Gothic" w:hAnsi="Century Gothic" w:cs="Arial"/>
          <w:sz w:val="24"/>
          <w:szCs w:val="24"/>
        </w:rPr>
        <w:t xml:space="preserve">, </w:t>
      </w:r>
      <w:r w:rsidR="00F95E73" w:rsidRPr="00251BFA">
        <w:rPr>
          <w:rFonts w:ascii="Century Gothic" w:hAnsi="Century Gothic" w:cs="Arial"/>
          <w:sz w:val="24"/>
          <w:szCs w:val="24"/>
        </w:rPr>
        <w:t xml:space="preserve">promovido por </w:t>
      </w:r>
      <w:r w:rsidR="002A2BD9" w:rsidRPr="00251BFA">
        <w:rPr>
          <w:rFonts w:ascii="Century Gothic" w:hAnsi="Century Gothic" w:cs="Arial"/>
          <w:sz w:val="24"/>
          <w:szCs w:val="24"/>
        </w:rPr>
        <w:t>el</w:t>
      </w:r>
      <w:r w:rsidR="000F09DA">
        <w:rPr>
          <w:rFonts w:ascii="Century Gothic" w:hAnsi="Century Gothic" w:cs="Arial"/>
          <w:sz w:val="24"/>
          <w:szCs w:val="24"/>
        </w:rPr>
        <w:t xml:space="preserve"> **********</w:t>
      </w:r>
      <w:r w:rsidR="002A2BD9" w:rsidRPr="00251BFA">
        <w:rPr>
          <w:rFonts w:ascii="Century Gothic" w:hAnsi="Century Gothic" w:cs="Arial"/>
          <w:b/>
          <w:sz w:val="24"/>
          <w:szCs w:val="24"/>
        </w:rPr>
        <w:t>;</w:t>
      </w:r>
      <w:r w:rsidR="00F95E73" w:rsidRPr="00251BFA">
        <w:rPr>
          <w:rFonts w:ascii="Century Gothic" w:hAnsi="Century Gothic" w:cs="Arial"/>
          <w:b/>
          <w:sz w:val="24"/>
          <w:szCs w:val="24"/>
        </w:rPr>
        <w:t xml:space="preserve"> </w:t>
      </w:r>
      <w:r w:rsidR="00F95E73" w:rsidRPr="00251BFA">
        <w:rPr>
          <w:rFonts w:ascii="Century Gothic" w:hAnsi="Century Gothic" w:cs="Arial"/>
          <w:sz w:val="24"/>
          <w:szCs w:val="24"/>
        </w:rPr>
        <w:t>por lo que, con fundamento en los artículos 236 y 238 de la Ley de Procedimiento y 24, fracciones I y III de la Ley Orgánica del Tribunal de Justicia Administrativa para el Estado de Oaxaca, se procede a dictar resolución en los siguientes términos:</w:t>
      </w:r>
      <w:r w:rsidR="00880D7E" w:rsidRPr="00251BFA">
        <w:rPr>
          <w:rFonts w:ascii="Century Gothic" w:hAnsi="Century Gothic" w:cs="Arial"/>
          <w:sz w:val="24"/>
          <w:szCs w:val="24"/>
        </w:rPr>
        <w:t xml:space="preserve">- - - - - - - - - - - - - - - - - - - - - - - </w:t>
      </w:r>
    </w:p>
    <w:p w14:paraId="13F5A1B7" w14:textId="4DFCE455" w:rsidR="00CD3B6F" w:rsidRPr="00251BFA" w:rsidRDefault="00CD3B6F" w:rsidP="00251BFA">
      <w:pPr>
        <w:tabs>
          <w:tab w:val="center" w:pos="4418"/>
          <w:tab w:val="left" w:pos="6330"/>
        </w:tabs>
        <w:spacing w:line="240" w:lineRule="auto"/>
        <w:jc w:val="center"/>
        <w:rPr>
          <w:rFonts w:ascii="Century Gothic" w:hAnsi="Century Gothic" w:cs="Arial"/>
          <w:b/>
          <w:sz w:val="24"/>
          <w:szCs w:val="24"/>
        </w:rPr>
      </w:pPr>
      <w:r w:rsidRPr="00251BFA">
        <w:rPr>
          <w:rFonts w:ascii="Century Gothic" w:hAnsi="Century Gothic" w:cs="Arial"/>
          <w:b/>
          <w:sz w:val="24"/>
          <w:szCs w:val="24"/>
        </w:rPr>
        <w:t>GLOSARIO:</w:t>
      </w:r>
    </w:p>
    <w:tbl>
      <w:tblPr>
        <w:tblStyle w:val="Tablaconcuadrcula"/>
        <w:tblW w:w="0" w:type="auto"/>
        <w:tblLook w:val="04A0" w:firstRow="1" w:lastRow="0" w:firstColumn="1" w:lastColumn="0" w:noHBand="0" w:noVBand="1"/>
      </w:tblPr>
      <w:tblGrid>
        <w:gridCol w:w="3256"/>
        <w:gridCol w:w="5005"/>
      </w:tblGrid>
      <w:tr w:rsidR="00F41B36" w:rsidRPr="00251BFA" w14:paraId="6C4092B4" w14:textId="77777777" w:rsidTr="003C2164">
        <w:trPr>
          <w:trHeight w:val="655"/>
        </w:trPr>
        <w:tc>
          <w:tcPr>
            <w:tcW w:w="3256" w:type="dxa"/>
          </w:tcPr>
          <w:p w14:paraId="2C58FF0E" w14:textId="77777777" w:rsidR="00F41B36" w:rsidRPr="00251BFA" w:rsidRDefault="00F41B36" w:rsidP="00251BFA">
            <w:pPr>
              <w:tabs>
                <w:tab w:val="center" w:pos="4418"/>
                <w:tab w:val="left" w:pos="6330"/>
              </w:tabs>
              <w:jc w:val="center"/>
              <w:rPr>
                <w:rFonts w:ascii="Century Gothic" w:hAnsi="Century Gothic" w:cs="Arial"/>
                <w:b/>
                <w:i/>
                <w:sz w:val="24"/>
                <w:szCs w:val="24"/>
              </w:rPr>
            </w:pPr>
            <w:r w:rsidRPr="00251BFA">
              <w:rPr>
                <w:rFonts w:ascii="Century Gothic" w:hAnsi="Century Gothic" w:cs="Arial"/>
                <w:b/>
                <w:i/>
                <w:sz w:val="24"/>
                <w:szCs w:val="24"/>
              </w:rPr>
              <w:t>Constitución Federal:</w:t>
            </w:r>
          </w:p>
        </w:tc>
        <w:tc>
          <w:tcPr>
            <w:tcW w:w="5005" w:type="dxa"/>
          </w:tcPr>
          <w:p w14:paraId="6D3D85BD" w14:textId="77777777" w:rsidR="00F41B36" w:rsidRPr="00251BFA" w:rsidRDefault="00F41B36" w:rsidP="00251BFA">
            <w:pPr>
              <w:tabs>
                <w:tab w:val="center" w:pos="4418"/>
                <w:tab w:val="left" w:pos="6330"/>
              </w:tabs>
              <w:jc w:val="center"/>
              <w:rPr>
                <w:rFonts w:ascii="Century Gothic" w:hAnsi="Century Gothic" w:cs="Arial"/>
                <w:sz w:val="24"/>
                <w:szCs w:val="24"/>
              </w:rPr>
            </w:pPr>
            <w:r w:rsidRPr="00251BFA">
              <w:rPr>
                <w:rFonts w:ascii="Century Gothic" w:hAnsi="Century Gothic" w:cs="Arial"/>
                <w:sz w:val="24"/>
                <w:szCs w:val="24"/>
              </w:rPr>
              <w:t>Constitución Política de los Estados Unidos Mexicanos.</w:t>
            </w:r>
          </w:p>
        </w:tc>
      </w:tr>
      <w:tr w:rsidR="00F41B36" w:rsidRPr="00251BFA" w14:paraId="47E80C23" w14:textId="77777777" w:rsidTr="003C2164">
        <w:tc>
          <w:tcPr>
            <w:tcW w:w="3256" w:type="dxa"/>
          </w:tcPr>
          <w:p w14:paraId="0448E4BA" w14:textId="77777777" w:rsidR="00F41B36" w:rsidRPr="00251BFA" w:rsidRDefault="00F41B36" w:rsidP="00251BFA">
            <w:pPr>
              <w:tabs>
                <w:tab w:val="center" w:pos="4418"/>
                <w:tab w:val="left" w:pos="6330"/>
              </w:tabs>
              <w:jc w:val="center"/>
              <w:rPr>
                <w:rFonts w:ascii="Century Gothic" w:hAnsi="Century Gothic" w:cs="Arial"/>
                <w:b/>
                <w:i/>
                <w:sz w:val="24"/>
                <w:szCs w:val="24"/>
              </w:rPr>
            </w:pPr>
            <w:r w:rsidRPr="00251BFA">
              <w:rPr>
                <w:rFonts w:ascii="Century Gothic" w:hAnsi="Century Gothic" w:cs="Arial"/>
                <w:b/>
                <w:i/>
                <w:sz w:val="24"/>
                <w:szCs w:val="24"/>
              </w:rPr>
              <w:t>Constitución Local:</w:t>
            </w:r>
          </w:p>
        </w:tc>
        <w:tc>
          <w:tcPr>
            <w:tcW w:w="5005" w:type="dxa"/>
          </w:tcPr>
          <w:p w14:paraId="7B7B653F" w14:textId="77777777" w:rsidR="00F41B36" w:rsidRPr="00251BFA" w:rsidRDefault="00F41B36" w:rsidP="00251BFA">
            <w:pPr>
              <w:tabs>
                <w:tab w:val="center" w:pos="4418"/>
                <w:tab w:val="left" w:pos="6330"/>
              </w:tabs>
              <w:jc w:val="center"/>
              <w:rPr>
                <w:rFonts w:ascii="Century Gothic" w:hAnsi="Century Gothic" w:cs="Arial"/>
                <w:sz w:val="24"/>
                <w:szCs w:val="24"/>
              </w:rPr>
            </w:pPr>
            <w:r w:rsidRPr="00251BFA">
              <w:rPr>
                <w:rFonts w:ascii="Century Gothic" w:hAnsi="Century Gothic" w:cs="Arial"/>
                <w:sz w:val="24"/>
                <w:szCs w:val="24"/>
              </w:rPr>
              <w:t>Constitución Política del Estado Libre y Soberano de Oaxaca.</w:t>
            </w:r>
          </w:p>
        </w:tc>
      </w:tr>
      <w:tr w:rsidR="00F41B36" w:rsidRPr="00251BFA" w14:paraId="5B81E66B" w14:textId="77777777" w:rsidTr="003C2164">
        <w:tc>
          <w:tcPr>
            <w:tcW w:w="3256" w:type="dxa"/>
          </w:tcPr>
          <w:p w14:paraId="2C266412" w14:textId="6361D20A" w:rsidR="00F41B36" w:rsidRPr="00251BFA" w:rsidRDefault="00F41B36" w:rsidP="00251BFA">
            <w:pPr>
              <w:tabs>
                <w:tab w:val="center" w:pos="4418"/>
                <w:tab w:val="left" w:pos="6330"/>
              </w:tabs>
              <w:jc w:val="center"/>
              <w:rPr>
                <w:rFonts w:ascii="Century Gothic" w:hAnsi="Century Gothic" w:cs="Arial"/>
                <w:b/>
                <w:i/>
                <w:sz w:val="24"/>
                <w:szCs w:val="24"/>
              </w:rPr>
            </w:pPr>
            <w:r w:rsidRPr="00251BFA">
              <w:rPr>
                <w:rFonts w:ascii="Century Gothic" w:hAnsi="Century Gothic" w:cs="Arial"/>
                <w:b/>
                <w:i/>
                <w:sz w:val="24"/>
                <w:szCs w:val="24"/>
              </w:rPr>
              <w:t>Ley de Procedimiento:</w:t>
            </w:r>
          </w:p>
        </w:tc>
        <w:tc>
          <w:tcPr>
            <w:tcW w:w="5005" w:type="dxa"/>
          </w:tcPr>
          <w:p w14:paraId="57D9D9B5" w14:textId="0D75DCC5" w:rsidR="00F41B36" w:rsidRPr="00251BFA" w:rsidRDefault="00F41B36" w:rsidP="00251BFA">
            <w:pPr>
              <w:tabs>
                <w:tab w:val="center" w:pos="4418"/>
                <w:tab w:val="left" w:pos="6330"/>
              </w:tabs>
              <w:jc w:val="center"/>
              <w:rPr>
                <w:rFonts w:ascii="Century Gothic" w:hAnsi="Century Gothic" w:cs="Arial"/>
                <w:sz w:val="24"/>
                <w:szCs w:val="24"/>
              </w:rPr>
            </w:pPr>
            <w:r w:rsidRPr="00251BFA">
              <w:rPr>
                <w:rFonts w:ascii="Century Gothic" w:hAnsi="Century Gothic" w:cs="Arial"/>
                <w:sz w:val="24"/>
                <w:szCs w:val="24"/>
              </w:rPr>
              <w:t>Ley de Procedimiento</w:t>
            </w:r>
            <w:r w:rsidR="00F73CCB">
              <w:rPr>
                <w:rFonts w:ascii="Century Gothic" w:hAnsi="Century Gothic" w:cs="Arial"/>
                <w:sz w:val="24"/>
                <w:szCs w:val="24"/>
              </w:rPr>
              <w:t>s</w:t>
            </w:r>
            <w:r w:rsidRPr="00251BFA">
              <w:rPr>
                <w:rFonts w:ascii="Century Gothic" w:hAnsi="Century Gothic" w:cs="Arial"/>
                <w:sz w:val="24"/>
                <w:szCs w:val="24"/>
              </w:rPr>
              <w:t xml:space="preserve"> y Justicia Administrativa para el Estado de Oaxaca.</w:t>
            </w:r>
          </w:p>
        </w:tc>
      </w:tr>
    </w:tbl>
    <w:p w14:paraId="1EB69758" w14:textId="77777777" w:rsidR="00F95E73" w:rsidRPr="00251BFA" w:rsidRDefault="00F95E73" w:rsidP="00251BFA">
      <w:pPr>
        <w:spacing w:line="240" w:lineRule="auto"/>
        <w:ind w:firstLine="708"/>
        <w:jc w:val="center"/>
        <w:rPr>
          <w:rFonts w:ascii="Century Gothic" w:hAnsi="Century Gothic" w:cs="Arial"/>
          <w:b/>
          <w:bCs/>
          <w:sz w:val="24"/>
          <w:szCs w:val="24"/>
        </w:rPr>
      </w:pPr>
    </w:p>
    <w:p w14:paraId="5DD8BDC5" w14:textId="77777777" w:rsidR="00F95E73" w:rsidRPr="00251BFA" w:rsidRDefault="00F95E73" w:rsidP="00251BFA">
      <w:pPr>
        <w:spacing w:line="240" w:lineRule="auto"/>
        <w:ind w:firstLine="708"/>
        <w:jc w:val="center"/>
        <w:rPr>
          <w:rFonts w:ascii="Century Gothic" w:hAnsi="Century Gothic" w:cs="Arial"/>
          <w:b/>
          <w:bCs/>
          <w:sz w:val="24"/>
          <w:szCs w:val="24"/>
        </w:rPr>
      </w:pPr>
      <w:r w:rsidRPr="00251BFA">
        <w:rPr>
          <w:rFonts w:ascii="Century Gothic" w:hAnsi="Century Gothic" w:cs="Arial"/>
          <w:b/>
          <w:bCs/>
          <w:sz w:val="24"/>
          <w:szCs w:val="24"/>
        </w:rPr>
        <w:t>R E S U L T A N D O</w:t>
      </w:r>
    </w:p>
    <w:p w14:paraId="41CC6383" w14:textId="20F47873" w:rsidR="001E772A" w:rsidRDefault="00125A05" w:rsidP="00251BFA">
      <w:pPr>
        <w:spacing w:line="240" w:lineRule="auto"/>
        <w:jc w:val="both"/>
        <w:rPr>
          <w:rFonts w:ascii="Century Gothic" w:hAnsi="Century Gothic" w:cs="Arial"/>
          <w:b/>
          <w:bCs/>
          <w:sz w:val="24"/>
          <w:szCs w:val="24"/>
        </w:rPr>
      </w:pPr>
      <w:r>
        <w:rPr>
          <w:rFonts w:ascii="Century Gothic" w:hAnsi="Century Gothic" w:cs="Arial"/>
          <w:b/>
          <w:bCs/>
          <w:sz w:val="24"/>
          <w:szCs w:val="24"/>
        </w:rPr>
        <w:t xml:space="preserve">2. </w:t>
      </w:r>
      <w:r w:rsidR="00F95E73" w:rsidRPr="00251BFA">
        <w:rPr>
          <w:rFonts w:ascii="Century Gothic" w:hAnsi="Century Gothic" w:cs="Arial"/>
          <w:b/>
          <w:bCs/>
          <w:sz w:val="24"/>
          <w:szCs w:val="24"/>
        </w:rPr>
        <w:t>PRIMERO.</w:t>
      </w:r>
      <w:r w:rsidR="001E772A">
        <w:rPr>
          <w:rFonts w:ascii="Century Gothic" w:hAnsi="Century Gothic" w:cs="Arial"/>
          <w:b/>
          <w:bCs/>
          <w:sz w:val="24"/>
          <w:szCs w:val="24"/>
        </w:rPr>
        <w:t xml:space="preserve"> </w:t>
      </w:r>
      <w:r w:rsidR="00C44DB6" w:rsidRPr="00251BFA">
        <w:rPr>
          <w:rFonts w:ascii="Century Gothic" w:hAnsi="Century Gothic" w:cs="Arial"/>
          <w:b/>
          <w:bCs/>
          <w:sz w:val="24"/>
          <w:szCs w:val="24"/>
        </w:rPr>
        <w:t>Antecedentes.</w:t>
      </w:r>
    </w:p>
    <w:p w14:paraId="66205790" w14:textId="71B6B99E" w:rsidR="00A1334A" w:rsidRPr="001E772A" w:rsidRDefault="00125A05" w:rsidP="00251BFA">
      <w:pPr>
        <w:spacing w:line="240" w:lineRule="auto"/>
        <w:jc w:val="both"/>
        <w:rPr>
          <w:rFonts w:ascii="Century Gothic" w:hAnsi="Century Gothic" w:cs="Arial"/>
          <w:b/>
          <w:bCs/>
          <w:sz w:val="24"/>
          <w:szCs w:val="24"/>
        </w:rPr>
      </w:pPr>
      <w:r>
        <w:rPr>
          <w:rFonts w:ascii="Century Gothic" w:hAnsi="Century Gothic" w:cs="Tahoma"/>
          <w:b/>
          <w:sz w:val="24"/>
          <w:szCs w:val="24"/>
        </w:rPr>
        <w:t>A.</w:t>
      </w:r>
      <w:r w:rsidR="00596140" w:rsidRPr="00251BFA">
        <w:rPr>
          <w:rFonts w:ascii="Century Gothic" w:hAnsi="Century Gothic" w:cs="Tahoma"/>
          <w:b/>
          <w:sz w:val="24"/>
          <w:szCs w:val="24"/>
        </w:rPr>
        <w:t>-</w:t>
      </w:r>
      <w:r w:rsidR="00596140" w:rsidRPr="00251BFA">
        <w:rPr>
          <w:rFonts w:ascii="Century Gothic" w:hAnsi="Century Gothic" w:cs="Tahoma"/>
          <w:sz w:val="24"/>
          <w:szCs w:val="24"/>
        </w:rPr>
        <w:t xml:space="preserve"> </w:t>
      </w:r>
      <w:r w:rsidR="000269F9" w:rsidRPr="00251BFA">
        <w:rPr>
          <w:rFonts w:ascii="Century Gothic" w:hAnsi="Century Gothic" w:cs="Tahoma"/>
          <w:sz w:val="24"/>
          <w:szCs w:val="24"/>
        </w:rPr>
        <w:t>En auto de fecha quince de diciembre de dos mil veintiuno</w:t>
      </w:r>
      <w:r w:rsidR="00A1334A" w:rsidRPr="00251BFA">
        <w:rPr>
          <w:rFonts w:ascii="Century Gothic" w:hAnsi="Century Gothic" w:cs="Tahoma"/>
          <w:sz w:val="24"/>
          <w:szCs w:val="24"/>
        </w:rPr>
        <w:t>,</w:t>
      </w:r>
      <w:r w:rsidR="000269F9" w:rsidRPr="00251BFA">
        <w:rPr>
          <w:rFonts w:ascii="Century Gothic" w:hAnsi="Century Gothic" w:cs="Tahoma"/>
          <w:sz w:val="24"/>
          <w:szCs w:val="24"/>
        </w:rPr>
        <w:t xml:space="preserve"> </w:t>
      </w:r>
      <w:r w:rsidR="00A1334A" w:rsidRPr="00251BFA">
        <w:rPr>
          <w:rFonts w:ascii="Century Gothic" w:hAnsi="Century Gothic" w:cs="Tahoma"/>
          <w:sz w:val="24"/>
          <w:szCs w:val="24"/>
        </w:rPr>
        <w:t xml:space="preserve">emitido dentro del expediente </w:t>
      </w:r>
      <w:r w:rsidR="00CE5FBE">
        <w:rPr>
          <w:rFonts w:ascii="Century Gothic" w:hAnsi="Century Gothic" w:cs="Tahoma"/>
          <w:sz w:val="24"/>
          <w:szCs w:val="24"/>
        </w:rPr>
        <w:t>0</w:t>
      </w:r>
      <w:r w:rsidR="00A1334A" w:rsidRPr="00251BFA">
        <w:rPr>
          <w:rFonts w:ascii="Century Gothic" w:hAnsi="Century Gothic" w:cs="Tahoma"/>
          <w:sz w:val="24"/>
          <w:szCs w:val="24"/>
        </w:rPr>
        <w:t xml:space="preserve">101/2021 del índice de la Segunda Sala Unitaria de Primera Instancia, </w:t>
      </w:r>
      <w:r w:rsidR="000269F9" w:rsidRPr="00251BFA">
        <w:rPr>
          <w:rFonts w:ascii="Century Gothic" w:hAnsi="Century Gothic" w:cs="Tahoma"/>
          <w:sz w:val="24"/>
          <w:szCs w:val="24"/>
        </w:rPr>
        <w:t>se tuvo por recibida la demanda y anexos del C.</w:t>
      </w:r>
      <w:r w:rsidR="000F09DA" w:rsidRPr="000F09DA">
        <w:rPr>
          <w:rFonts w:ascii="Century Gothic" w:hAnsi="Century Gothic" w:cs="Arial"/>
          <w:sz w:val="24"/>
          <w:szCs w:val="24"/>
        </w:rPr>
        <w:t xml:space="preserve"> </w:t>
      </w:r>
      <w:r w:rsidR="000F09DA">
        <w:rPr>
          <w:rFonts w:ascii="Century Gothic" w:hAnsi="Century Gothic" w:cs="Arial"/>
          <w:sz w:val="24"/>
          <w:szCs w:val="24"/>
        </w:rPr>
        <w:t>**********</w:t>
      </w:r>
      <w:r w:rsidR="000269F9" w:rsidRPr="00251BFA">
        <w:rPr>
          <w:rFonts w:ascii="Century Gothic" w:hAnsi="Century Gothic" w:cs="Tahoma"/>
          <w:sz w:val="24"/>
          <w:szCs w:val="24"/>
        </w:rPr>
        <w:t>, presentada ante la oficialía de partes de este H. Tribunal el veintinueve de noviembre de dos mil veintiuno, en contra de la Dire</w:t>
      </w:r>
      <w:r w:rsidR="00CC6D5C">
        <w:rPr>
          <w:rFonts w:ascii="Century Gothic" w:hAnsi="Century Gothic" w:cs="Tahoma"/>
          <w:sz w:val="24"/>
          <w:szCs w:val="24"/>
        </w:rPr>
        <w:t>ctor</w:t>
      </w:r>
      <w:r w:rsidR="000269F9" w:rsidRPr="00251BFA">
        <w:rPr>
          <w:rFonts w:ascii="Century Gothic" w:hAnsi="Century Gothic" w:cs="Tahoma"/>
          <w:sz w:val="24"/>
          <w:szCs w:val="24"/>
        </w:rPr>
        <w:t xml:space="preserve"> de Recursos Humanos </w:t>
      </w:r>
      <w:r w:rsidR="00C26961" w:rsidRPr="00251BFA">
        <w:rPr>
          <w:rFonts w:ascii="Century Gothic" w:hAnsi="Century Gothic" w:cs="Tahoma"/>
          <w:sz w:val="24"/>
          <w:szCs w:val="24"/>
        </w:rPr>
        <w:t xml:space="preserve">de la </w:t>
      </w:r>
      <w:r w:rsidR="000269F9" w:rsidRPr="00251BFA">
        <w:rPr>
          <w:rFonts w:ascii="Century Gothic" w:hAnsi="Century Gothic" w:cs="Tahoma"/>
          <w:sz w:val="24"/>
          <w:szCs w:val="24"/>
        </w:rPr>
        <w:t xml:space="preserve">Secretaría </w:t>
      </w:r>
      <w:r w:rsidR="00C26961" w:rsidRPr="00251BFA">
        <w:rPr>
          <w:rFonts w:ascii="Century Gothic" w:hAnsi="Century Gothic" w:cs="Tahoma"/>
          <w:sz w:val="24"/>
          <w:szCs w:val="24"/>
        </w:rPr>
        <w:t xml:space="preserve">de </w:t>
      </w:r>
      <w:r w:rsidR="00A1334A" w:rsidRPr="00251BFA">
        <w:rPr>
          <w:rFonts w:ascii="Century Gothic" w:hAnsi="Century Gothic" w:cs="Tahoma"/>
          <w:sz w:val="24"/>
          <w:szCs w:val="24"/>
        </w:rPr>
        <w:t>Administración del Gobierno del E</w:t>
      </w:r>
      <w:r w:rsidR="00632718" w:rsidRPr="00251BFA">
        <w:rPr>
          <w:rFonts w:ascii="Century Gothic" w:hAnsi="Century Gothic" w:cs="Tahoma"/>
          <w:sz w:val="24"/>
          <w:szCs w:val="24"/>
        </w:rPr>
        <w:t xml:space="preserve">stado y por la cual demanda nulidad de la resolución negativa ficta recaída a su escrito sin fecha, recibido el tres de junio de dos mil veintiuno. </w:t>
      </w:r>
      <w:r w:rsidR="00632718" w:rsidRPr="00251BFA">
        <w:rPr>
          <w:rFonts w:ascii="Century Gothic" w:hAnsi="Century Gothic" w:cs="Tahoma"/>
          <w:sz w:val="24"/>
          <w:szCs w:val="24"/>
        </w:rPr>
        <w:lastRenderedPageBreak/>
        <w:t>En ese mismo auto se requirió al promovente para que en el plazo ahí señalado, exhibiera el original o copia certificada de la documental privada ahí precisada, apercibido que en caso de incumplimiento se desecharía su demanda de nulidad.</w:t>
      </w:r>
    </w:p>
    <w:p w14:paraId="46AC7608" w14:textId="0343FCAE" w:rsidR="00632718"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B</w:t>
      </w:r>
      <w:r w:rsidR="00A1334A" w:rsidRPr="00A05CC3">
        <w:rPr>
          <w:rFonts w:ascii="Century Gothic" w:hAnsi="Century Gothic" w:cs="Tahoma"/>
          <w:b/>
          <w:sz w:val="24"/>
          <w:szCs w:val="24"/>
        </w:rPr>
        <w:t>.-</w:t>
      </w:r>
      <w:r w:rsidR="00A1334A" w:rsidRPr="00251BFA">
        <w:rPr>
          <w:rFonts w:ascii="Century Gothic" w:hAnsi="Century Gothic" w:cs="Tahoma"/>
          <w:sz w:val="24"/>
          <w:szCs w:val="24"/>
        </w:rPr>
        <w:t xml:space="preserve"> </w:t>
      </w:r>
      <w:r w:rsidR="00632718" w:rsidRPr="00251BFA">
        <w:rPr>
          <w:rFonts w:ascii="Century Gothic" w:hAnsi="Century Gothic" w:cs="Tahoma"/>
          <w:sz w:val="24"/>
          <w:szCs w:val="24"/>
        </w:rPr>
        <w:t xml:space="preserve">Con fecha veinticinco de marzo de dos mil veintidós se tuvo por recibida la demanda de amparo </w:t>
      </w:r>
      <w:r w:rsidR="005F0FE2">
        <w:rPr>
          <w:rFonts w:ascii="Century Gothic" w:hAnsi="Century Gothic" w:cs="Tahoma"/>
          <w:sz w:val="24"/>
          <w:szCs w:val="24"/>
        </w:rPr>
        <w:t>311</w:t>
      </w:r>
      <w:r w:rsidR="00632718" w:rsidRPr="00251BFA">
        <w:rPr>
          <w:rFonts w:ascii="Century Gothic" w:hAnsi="Century Gothic" w:cs="Tahoma"/>
          <w:sz w:val="24"/>
          <w:szCs w:val="24"/>
        </w:rPr>
        <w:t xml:space="preserve">/2022 del Juzgado Décimo Primero de Distrito en el Estado de Oaxaca, promovida por el C. </w:t>
      </w:r>
      <w:r w:rsidR="000F09DA">
        <w:rPr>
          <w:rFonts w:ascii="Century Gothic" w:hAnsi="Century Gothic" w:cs="Tahoma"/>
          <w:sz w:val="24"/>
          <w:szCs w:val="24"/>
        </w:rPr>
        <w:t>***********</w:t>
      </w:r>
      <w:r w:rsidR="000F09DA">
        <w:rPr>
          <w:rFonts w:ascii="Century Gothic" w:hAnsi="Century Gothic" w:cs="Tahoma"/>
          <w:sz w:val="24"/>
          <w:szCs w:val="24"/>
        </w:rPr>
        <w:t xml:space="preserve"> </w:t>
      </w:r>
      <w:r w:rsidR="00632718" w:rsidRPr="00251BFA">
        <w:rPr>
          <w:rFonts w:ascii="Century Gothic" w:hAnsi="Century Gothic" w:cs="Tahoma"/>
          <w:sz w:val="24"/>
          <w:szCs w:val="24"/>
        </w:rPr>
        <w:t xml:space="preserve">en contra del Magistrado de la Segunda Sala Unitaria de Primera Instancia del entonces Tribunal de Justicia Administrativa del Estado de Oaxaca, por la omisión de dicha autoridad de resolver (admitir, requerir o desechar) respecto del escrito de demanda de nulidad con número de expediente </w:t>
      </w:r>
      <w:r w:rsidR="00CE5FBE">
        <w:rPr>
          <w:rFonts w:ascii="Century Gothic" w:hAnsi="Century Gothic" w:cs="Tahoma"/>
          <w:sz w:val="24"/>
          <w:szCs w:val="24"/>
        </w:rPr>
        <w:t>0</w:t>
      </w:r>
      <w:r w:rsidR="00632718" w:rsidRPr="00251BFA">
        <w:rPr>
          <w:rFonts w:ascii="Century Gothic" w:hAnsi="Century Gothic" w:cs="Tahoma"/>
          <w:sz w:val="24"/>
          <w:szCs w:val="24"/>
        </w:rPr>
        <w:t>101/202</w:t>
      </w:r>
      <w:r w:rsidR="005F0FE2">
        <w:rPr>
          <w:rFonts w:ascii="Century Gothic" w:hAnsi="Century Gothic" w:cs="Tahoma"/>
          <w:sz w:val="24"/>
          <w:szCs w:val="24"/>
        </w:rPr>
        <w:t>1</w:t>
      </w:r>
      <w:r w:rsidR="00632718" w:rsidRPr="00251BFA">
        <w:rPr>
          <w:rFonts w:ascii="Century Gothic" w:hAnsi="Century Gothic" w:cs="Tahoma"/>
          <w:sz w:val="24"/>
          <w:szCs w:val="24"/>
        </w:rPr>
        <w:t>.</w:t>
      </w:r>
    </w:p>
    <w:p w14:paraId="567A36D4" w14:textId="5769B192" w:rsidR="00610AA8"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C</w:t>
      </w:r>
      <w:r w:rsidR="00632718" w:rsidRPr="00A05CC3">
        <w:rPr>
          <w:rFonts w:ascii="Century Gothic" w:hAnsi="Century Gothic" w:cs="Tahoma"/>
          <w:b/>
          <w:sz w:val="24"/>
          <w:szCs w:val="24"/>
        </w:rPr>
        <w:t>.</w:t>
      </w:r>
      <w:r w:rsidR="00610AA8" w:rsidRPr="00A05CC3">
        <w:rPr>
          <w:rFonts w:ascii="Century Gothic" w:hAnsi="Century Gothic" w:cs="Tahoma"/>
          <w:b/>
          <w:sz w:val="24"/>
          <w:szCs w:val="24"/>
        </w:rPr>
        <w:t>-</w:t>
      </w:r>
      <w:r w:rsidR="00632718" w:rsidRPr="00251BFA">
        <w:rPr>
          <w:rFonts w:ascii="Century Gothic" w:hAnsi="Century Gothic" w:cs="Tahoma"/>
          <w:sz w:val="24"/>
          <w:szCs w:val="24"/>
        </w:rPr>
        <w:t xml:space="preserve"> </w:t>
      </w:r>
      <w:r w:rsidR="00610AA8" w:rsidRPr="00251BFA">
        <w:rPr>
          <w:rFonts w:ascii="Century Gothic" w:hAnsi="Century Gothic" w:cs="Tahoma"/>
          <w:sz w:val="24"/>
          <w:szCs w:val="24"/>
        </w:rPr>
        <w:t>Mediante acuerdo de fecha cuatro de abril de dos mil veintidós, previo cumplimiento de la prevención realizada al actor, se admitió a trámite la demanda, ordenándose notificar, emplazar y correr traslado a la autoridad demandada, para que produjera su contestación en los términos de ley.</w:t>
      </w:r>
    </w:p>
    <w:p w14:paraId="13CF3EE7" w14:textId="162DF317" w:rsidR="00A1334A"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D</w:t>
      </w:r>
      <w:r w:rsidR="00610AA8" w:rsidRPr="00A05CC3">
        <w:rPr>
          <w:rFonts w:ascii="Century Gothic" w:hAnsi="Century Gothic" w:cs="Tahoma"/>
          <w:b/>
          <w:sz w:val="24"/>
          <w:szCs w:val="24"/>
        </w:rPr>
        <w:t>.-</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En auto de fecha veinte de mayo de dos mil veintidós, se tuvo por</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 xml:space="preserve">recibido el oficio 8610/2022, suscrito por el </w:t>
      </w:r>
      <w:proofErr w:type="gramStart"/>
      <w:r w:rsidR="00632718" w:rsidRPr="00251BFA">
        <w:rPr>
          <w:rFonts w:ascii="Century Gothic" w:hAnsi="Century Gothic" w:cs="Tahoma"/>
          <w:sz w:val="24"/>
          <w:szCs w:val="24"/>
        </w:rPr>
        <w:t>Secretario</w:t>
      </w:r>
      <w:proofErr w:type="gramEnd"/>
      <w:r w:rsidR="00632718" w:rsidRPr="00251BFA">
        <w:rPr>
          <w:rFonts w:ascii="Century Gothic" w:hAnsi="Century Gothic" w:cs="Tahoma"/>
          <w:sz w:val="24"/>
          <w:szCs w:val="24"/>
        </w:rPr>
        <w:t xml:space="preserve"> del Juzgado Decimoprimero de</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Distrito en el Estado, en el cual informó</w:t>
      </w:r>
      <w:r w:rsidR="00610AA8" w:rsidRPr="00251BFA">
        <w:rPr>
          <w:rFonts w:ascii="Century Gothic" w:hAnsi="Century Gothic" w:cs="Tahoma"/>
          <w:sz w:val="24"/>
          <w:szCs w:val="24"/>
        </w:rPr>
        <w:t xml:space="preserve"> al</w:t>
      </w:r>
      <w:r w:rsidR="00632718" w:rsidRPr="00251BFA">
        <w:rPr>
          <w:rFonts w:ascii="Century Gothic" w:hAnsi="Century Gothic" w:cs="Tahoma"/>
          <w:sz w:val="24"/>
          <w:szCs w:val="24"/>
        </w:rPr>
        <w:t xml:space="preserve"> </w:t>
      </w:r>
      <w:r w:rsidR="00610AA8" w:rsidRPr="00251BFA">
        <w:rPr>
          <w:rFonts w:ascii="Century Gothic" w:hAnsi="Century Gothic" w:cs="Tahoma"/>
          <w:sz w:val="24"/>
          <w:szCs w:val="24"/>
        </w:rPr>
        <w:t xml:space="preserve">Magistrado de la Segunda Sala Unitaria de Primera Instancia </w:t>
      </w:r>
      <w:r w:rsidR="00632718" w:rsidRPr="00251BFA">
        <w:rPr>
          <w:rFonts w:ascii="Century Gothic" w:hAnsi="Century Gothic" w:cs="Tahoma"/>
          <w:sz w:val="24"/>
          <w:szCs w:val="24"/>
        </w:rPr>
        <w:t>que el juicio de amparo 311/2022, fue</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sobreseído fuera de la audiencia constitucional; asimismo, mediante oficio</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11421/2022, el Secretario del Juzgado en mención informó del archivo del juicio de</w:t>
      </w:r>
      <w:r w:rsidR="00610AA8" w:rsidRPr="00251BFA">
        <w:rPr>
          <w:rFonts w:ascii="Century Gothic" w:hAnsi="Century Gothic" w:cs="Tahoma"/>
          <w:sz w:val="24"/>
          <w:szCs w:val="24"/>
        </w:rPr>
        <w:t xml:space="preserve"> </w:t>
      </w:r>
      <w:r w:rsidR="00632718" w:rsidRPr="00251BFA">
        <w:rPr>
          <w:rFonts w:ascii="Century Gothic" w:hAnsi="Century Gothic" w:cs="Tahoma"/>
          <w:sz w:val="24"/>
          <w:szCs w:val="24"/>
        </w:rPr>
        <w:t>amparo en mención.</w:t>
      </w:r>
    </w:p>
    <w:p w14:paraId="4DE931B1" w14:textId="7A3F2AD2" w:rsidR="000320FC"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E</w:t>
      </w:r>
      <w:r w:rsidR="00610AA8" w:rsidRPr="00A05CC3">
        <w:rPr>
          <w:rFonts w:ascii="Century Gothic" w:hAnsi="Century Gothic" w:cs="Tahoma"/>
          <w:b/>
          <w:sz w:val="24"/>
          <w:szCs w:val="24"/>
        </w:rPr>
        <w:t>.-</w:t>
      </w:r>
      <w:r w:rsidR="000320FC" w:rsidRPr="00251BFA">
        <w:rPr>
          <w:rFonts w:ascii="Century Gothic" w:hAnsi="Century Gothic"/>
          <w:sz w:val="24"/>
          <w:szCs w:val="24"/>
        </w:rPr>
        <w:t xml:space="preserve"> </w:t>
      </w:r>
      <w:r w:rsidR="00387732" w:rsidRPr="00251BFA">
        <w:rPr>
          <w:rFonts w:ascii="Century Gothic" w:hAnsi="Century Gothic" w:cs="Tahoma"/>
          <w:sz w:val="24"/>
          <w:szCs w:val="24"/>
        </w:rPr>
        <w:t>con fecha diecinueve de mayo de dos mil veintidós</w:t>
      </w:r>
      <w:r w:rsidR="000320FC" w:rsidRPr="00251BFA">
        <w:rPr>
          <w:rFonts w:ascii="Century Gothic" w:hAnsi="Century Gothic" w:cs="Tahoma"/>
          <w:sz w:val="24"/>
          <w:szCs w:val="24"/>
        </w:rPr>
        <w:t xml:space="preserve">, el </w:t>
      </w:r>
      <w:proofErr w:type="gramStart"/>
      <w:r w:rsidR="000320FC" w:rsidRPr="00251BFA">
        <w:rPr>
          <w:rFonts w:ascii="Century Gothic" w:hAnsi="Century Gothic" w:cs="Tahoma"/>
          <w:sz w:val="24"/>
          <w:szCs w:val="24"/>
        </w:rPr>
        <w:t>Director</w:t>
      </w:r>
      <w:proofErr w:type="gramEnd"/>
      <w:r w:rsidR="000320FC" w:rsidRPr="00251BFA">
        <w:rPr>
          <w:rFonts w:ascii="Century Gothic" w:hAnsi="Century Gothic" w:cs="Tahoma"/>
          <w:sz w:val="24"/>
          <w:szCs w:val="24"/>
        </w:rPr>
        <w:t xml:space="preserve"> de Recursos Humanos de la Secretaria de Administración del Gobierno del Estado de Oaxaca, dio contestación a la demanda en tiempo y forma, se tuvieron por admitidas las pruebas ofrecidas y se corrió traslado a la parte actora finalmente, para que, en el plazo ahí señalado, ampliara su demanda, apercibido que en caso de no hacerlo se le tendría por perdido su derecho.</w:t>
      </w:r>
    </w:p>
    <w:p w14:paraId="14AE5753" w14:textId="4FA4B532" w:rsidR="000320FC"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F</w:t>
      </w:r>
      <w:r w:rsidR="00387732" w:rsidRPr="00A05CC3">
        <w:rPr>
          <w:rFonts w:ascii="Century Gothic" w:hAnsi="Century Gothic" w:cs="Tahoma"/>
          <w:b/>
          <w:sz w:val="24"/>
          <w:szCs w:val="24"/>
        </w:rPr>
        <w:t>.-</w:t>
      </w:r>
      <w:r w:rsidR="00387732" w:rsidRPr="00251BFA">
        <w:rPr>
          <w:rFonts w:ascii="Century Gothic" w:hAnsi="Century Gothic" w:cs="Tahoma"/>
          <w:sz w:val="24"/>
          <w:szCs w:val="24"/>
        </w:rPr>
        <w:t xml:space="preserve"> En</w:t>
      </w:r>
      <w:r w:rsidR="000320FC" w:rsidRPr="00251BFA">
        <w:rPr>
          <w:rFonts w:ascii="Century Gothic" w:hAnsi="Century Gothic" w:cs="Tahoma"/>
          <w:sz w:val="24"/>
          <w:szCs w:val="24"/>
        </w:rPr>
        <w:t xml:space="preserve"> acuerdo de fecha veinte de junio de dos mil veintidós, </w:t>
      </w:r>
      <w:r w:rsidR="00387732" w:rsidRPr="00251BFA">
        <w:rPr>
          <w:rFonts w:ascii="Century Gothic" w:hAnsi="Century Gothic" w:cs="Tahoma"/>
          <w:sz w:val="24"/>
          <w:szCs w:val="24"/>
        </w:rPr>
        <w:t>el C.</w:t>
      </w:r>
      <w:r w:rsidR="000F09DA">
        <w:rPr>
          <w:rFonts w:ascii="Century Gothic" w:hAnsi="Century Gothic" w:cs="Tahoma"/>
          <w:sz w:val="24"/>
          <w:szCs w:val="24"/>
        </w:rPr>
        <w:t>***********</w:t>
      </w:r>
      <w:r w:rsidR="00387732" w:rsidRPr="00251BFA">
        <w:rPr>
          <w:rFonts w:ascii="Century Gothic" w:hAnsi="Century Gothic" w:cs="Tahoma"/>
          <w:sz w:val="24"/>
          <w:szCs w:val="24"/>
        </w:rPr>
        <w:t>, realizó</w:t>
      </w:r>
      <w:r w:rsidR="000320FC" w:rsidRPr="00251BFA">
        <w:rPr>
          <w:rFonts w:ascii="Century Gothic" w:hAnsi="Century Gothic" w:cs="Tahoma"/>
          <w:sz w:val="24"/>
          <w:szCs w:val="24"/>
        </w:rPr>
        <w:t xml:space="preserve"> su ampliación de demanda en tiempo y forma, </w:t>
      </w:r>
      <w:r w:rsidR="00387732" w:rsidRPr="00251BFA">
        <w:rPr>
          <w:rFonts w:ascii="Century Gothic" w:hAnsi="Century Gothic" w:cs="Tahoma"/>
          <w:sz w:val="24"/>
          <w:szCs w:val="24"/>
        </w:rPr>
        <w:t xml:space="preserve">y </w:t>
      </w:r>
      <w:r w:rsidR="000320FC" w:rsidRPr="00251BFA">
        <w:rPr>
          <w:rFonts w:ascii="Century Gothic" w:hAnsi="Century Gothic" w:cs="Tahoma"/>
          <w:sz w:val="24"/>
          <w:szCs w:val="24"/>
        </w:rPr>
        <w:t>se tuvieron por admitidas</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 xml:space="preserve">las pruebas ofrecidas y se corrió traslado a la autoridad demandada para </w:t>
      </w:r>
      <w:r w:rsidR="00387732" w:rsidRPr="00251BFA">
        <w:rPr>
          <w:rFonts w:ascii="Century Gothic" w:hAnsi="Century Gothic" w:cs="Tahoma"/>
          <w:sz w:val="24"/>
          <w:szCs w:val="24"/>
        </w:rPr>
        <w:t>que,</w:t>
      </w:r>
      <w:r w:rsidR="000320FC" w:rsidRPr="00251BFA">
        <w:rPr>
          <w:rFonts w:ascii="Century Gothic" w:hAnsi="Century Gothic" w:cs="Tahoma"/>
          <w:sz w:val="24"/>
          <w:szCs w:val="24"/>
        </w:rPr>
        <w:t xml:space="preserve"> en el</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plazo ahí establecido, realizara la contestación a la ampliación de la demanda,</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apercibido que de no hacerlo se le tendría contestando en sentido afirmativo.</w:t>
      </w:r>
    </w:p>
    <w:p w14:paraId="62A2A2DE" w14:textId="5C014BCB" w:rsidR="000320FC"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G</w:t>
      </w:r>
      <w:r w:rsidR="000320FC" w:rsidRPr="00A05CC3">
        <w:rPr>
          <w:rFonts w:ascii="Century Gothic" w:hAnsi="Century Gothic" w:cs="Tahoma"/>
          <w:b/>
          <w:sz w:val="24"/>
          <w:szCs w:val="24"/>
        </w:rPr>
        <w:t>.</w:t>
      </w:r>
      <w:r w:rsidR="00387732" w:rsidRPr="00A05CC3">
        <w:rPr>
          <w:rFonts w:ascii="Century Gothic" w:hAnsi="Century Gothic" w:cs="Tahoma"/>
          <w:b/>
          <w:sz w:val="24"/>
          <w:szCs w:val="24"/>
        </w:rPr>
        <w:t>-</w:t>
      </w:r>
      <w:r w:rsidR="000320FC" w:rsidRPr="00251BFA">
        <w:rPr>
          <w:rFonts w:ascii="Century Gothic" w:hAnsi="Century Gothic" w:cs="Tahoma"/>
          <w:sz w:val="24"/>
          <w:szCs w:val="24"/>
        </w:rPr>
        <w:t xml:space="preserve"> En auto de fecha veintidós de agosto de dos mil veintidós, la autoridad</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demandada realizó su contestación a la ampliación de la demanda en tiempo y forma</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y se ordenó dar vista a la parte actora para los efectos legales conducentes.</w:t>
      </w:r>
    </w:p>
    <w:p w14:paraId="144F1BB5" w14:textId="3A1D2824" w:rsidR="000320FC" w:rsidRPr="00251BFA" w:rsidRDefault="000320FC" w:rsidP="00251BFA">
      <w:pPr>
        <w:spacing w:line="240" w:lineRule="auto"/>
        <w:jc w:val="both"/>
        <w:rPr>
          <w:rFonts w:ascii="Century Gothic" w:hAnsi="Century Gothic" w:cs="Tahoma"/>
          <w:sz w:val="24"/>
          <w:szCs w:val="24"/>
        </w:rPr>
      </w:pPr>
      <w:r w:rsidRPr="00251BFA">
        <w:rPr>
          <w:rFonts w:ascii="Century Gothic" w:hAnsi="Century Gothic" w:cs="Tahoma"/>
          <w:sz w:val="24"/>
          <w:szCs w:val="24"/>
        </w:rPr>
        <w:t>Por otra parte,</w:t>
      </w:r>
      <w:r w:rsidR="00387732" w:rsidRPr="00251BFA">
        <w:rPr>
          <w:rFonts w:ascii="Century Gothic" w:hAnsi="Century Gothic" w:cs="Tahoma"/>
          <w:sz w:val="24"/>
          <w:szCs w:val="24"/>
        </w:rPr>
        <w:t xml:space="preserve"> en ese mismo auto, la</w:t>
      </w:r>
      <w:r w:rsidRPr="00251BFA">
        <w:rPr>
          <w:rFonts w:ascii="Century Gothic" w:hAnsi="Century Gothic" w:cs="Tahoma"/>
          <w:sz w:val="24"/>
          <w:szCs w:val="24"/>
        </w:rPr>
        <w:t xml:space="preserve"> </w:t>
      </w:r>
      <w:r w:rsidR="00387732" w:rsidRPr="00251BFA">
        <w:rPr>
          <w:rFonts w:ascii="Century Gothic" w:hAnsi="Century Gothic" w:cs="Tahoma"/>
          <w:sz w:val="24"/>
          <w:szCs w:val="24"/>
        </w:rPr>
        <w:t>Sala Unitaria de Primera Instancia señaló</w:t>
      </w:r>
      <w:r w:rsidRPr="00251BFA">
        <w:rPr>
          <w:rFonts w:ascii="Century Gothic" w:hAnsi="Century Gothic" w:cs="Tahoma"/>
          <w:sz w:val="24"/>
          <w:szCs w:val="24"/>
        </w:rPr>
        <w:t xml:space="preserve"> fecha y hora para la celebración de la audiencia final.</w:t>
      </w:r>
    </w:p>
    <w:p w14:paraId="7E78A50B" w14:textId="0FBAFACB" w:rsidR="000320FC" w:rsidRPr="00251BFA" w:rsidRDefault="00125A05" w:rsidP="00251BFA">
      <w:pPr>
        <w:spacing w:line="240" w:lineRule="auto"/>
        <w:jc w:val="both"/>
        <w:rPr>
          <w:rFonts w:ascii="Century Gothic" w:hAnsi="Century Gothic" w:cs="Tahoma"/>
          <w:sz w:val="24"/>
          <w:szCs w:val="24"/>
        </w:rPr>
      </w:pPr>
      <w:r>
        <w:rPr>
          <w:rFonts w:ascii="Century Gothic" w:hAnsi="Century Gothic" w:cs="Tahoma"/>
          <w:b/>
          <w:sz w:val="24"/>
          <w:szCs w:val="24"/>
        </w:rPr>
        <w:t>H</w:t>
      </w:r>
      <w:r w:rsidR="00387732" w:rsidRPr="00A05CC3">
        <w:rPr>
          <w:rFonts w:ascii="Century Gothic" w:hAnsi="Century Gothic" w:cs="Tahoma"/>
          <w:b/>
          <w:sz w:val="24"/>
          <w:szCs w:val="24"/>
        </w:rPr>
        <w:t>.-</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El cuatro de noviembre de dos mil veintidós, se llevó a cabo la</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audiencia final, sin la asistencia de las partes o de persona que legalmente las</w:t>
      </w:r>
      <w:r w:rsidR="00387732" w:rsidRPr="00251BFA">
        <w:rPr>
          <w:rFonts w:ascii="Century Gothic" w:hAnsi="Century Gothic" w:cs="Tahoma"/>
          <w:sz w:val="24"/>
          <w:szCs w:val="24"/>
        </w:rPr>
        <w:t xml:space="preserve"> </w:t>
      </w:r>
      <w:r w:rsidR="000320FC" w:rsidRPr="00251BFA">
        <w:rPr>
          <w:rFonts w:ascii="Century Gothic" w:hAnsi="Century Gothic" w:cs="Tahoma"/>
          <w:sz w:val="24"/>
          <w:szCs w:val="24"/>
        </w:rPr>
        <w:t>representara, asentándose que la autoridad demandada formuló alegatos a su favor;</w:t>
      </w:r>
    </w:p>
    <w:p w14:paraId="01618316" w14:textId="4A668D21" w:rsidR="00E35060" w:rsidRPr="00251BFA" w:rsidRDefault="00125A05" w:rsidP="00251BFA">
      <w:pPr>
        <w:spacing w:after="120" w:line="240" w:lineRule="auto"/>
        <w:ind w:right="-376"/>
        <w:jc w:val="both"/>
        <w:rPr>
          <w:rFonts w:ascii="Century Gothic" w:hAnsi="Century Gothic" w:cs="Arial"/>
          <w:sz w:val="24"/>
          <w:szCs w:val="24"/>
        </w:rPr>
      </w:pPr>
      <w:r>
        <w:rPr>
          <w:rFonts w:ascii="Century Gothic" w:hAnsi="Century Gothic" w:cs="Tahoma"/>
          <w:b/>
          <w:sz w:val="24"/>
          <w:szCs w:val="24"/>
        </w:rPr>
        <w:lastRenderedPageBreak/>
        <w:t>I</w:t>
      </w:r>
      <w:r w:rsidR="00387732" w:rsidRPr="00A05CC3">
        <w:rPr>
          <w:rFonts w:ascii="Century Gothic" w:hAnsi="Century Gothic" w:cs="Tahoma"/>
          <w:b/>
          <w:sz w:val="24"/>
          <w:szCs w:val="24"/>
        </w:rPr>
        <w:t>.-</w:t>
      </w:r>
      <w:r w:rsidR="00387732" w:rsidRPr="00251BFA">
        <w:rPr>
          <w:rFonts w:ascii="Century Gothic" w:hAnsi="Century Gothic" w:cs="Tahoma"/>
          <w:sz w:val="24"/>
          <w:szCs w:val="24"/>
        </w:rPr>
        <w:t xml:space="preserve"> </w:t>
      </w:r>
      <w:r w:rsidR="00E35060" w:rsidRPr="00251BFA">
        <w:rPr>
          <w:rFonts w:ascii="Century Gothic" w:hAnsi="Century Gothic" w:cs="Arial"/>
          <w:sz w:val="24"/>
          <w:szCs w:val="24"/>
        </w:rPr>
        <w:t xml:space="preserve">Con fecha diez de enero de dos mil veintitrés, se emitió resolución dentro del </w:t>
      </w:r>
      <w:r w:rsidR="00CE5FBE">
        <w:rPr>
          <w:rFonts w:ascii="Century Gothic" w:hAnsi="Century Gothic" w:cs="Arial"/>
          <w:sz w:val="24"/>
          <w:szCs w:val="24"/>
        </w:rPr>
        <w:t>0</w:t>
      </w:r>
      <w:r w:rsidR="00E35060" w:rsidRPr="00251BFA">
        <w:rPr>
          <w:rFonts w:ascii="Century Gothic" w:hAnsi="Century Gothic" w:cs="Tahoma"/>
          <w:sz w:val="24"/>
          <w:szCs w:val="24"/>
        </w:rPr>
        <w:t>101/2021 del índice de la Segunda Sala Unitaria de Primera Instancia</w:t>
      </w:r>
      <w:r w:rsidR="00E35060" w:rsidRPr="00251BFA">
        <w:rPr>
          <w:rFonts w:ascii="Century Gothic" w:hAnsi="Century Gothic" w:cs="Arial"/>
          <w:sz w:val="24"/>
          <w:szCs w:val="24"/>
        </w:rPr>
        <w:t xml:space="preserve"> </w:t>
      </w:r>
      <w:r w:rsidR="00843D37">
        <w:rPr>
          <w:rFonts w:ascii="Century Gothic" w:hAnsi="Century Gothic" w:cs="Arial"/>
          <w:sz w:val="24"/>
          <w:szCs w:val="24"/>
        </w:rPr>
        <w:t>del Tribunal de Justicia Administrativa</w:t>
      </w:r>
      <w:r w:rsidR="00E35060" w:rsidRPr="00251BFA">
        <w:rPr>
          <w:rFonts w:ascii="Century Gothic" w:hAnsi="Century Gothic" w:cs="Arial"/>
          <w:sz w:val="24"/>
          <w:szCs w:val="24"/>
        </w:rPr>
        <w:t xml:space="preserve"> del Estado de Oaxaca.</w:t>
      </w:r>
    </w:p>
    <w:p w14:paraId="14EE99FE" w14:textId="0F31C789" w:rsidR="00E35060" w:rsidRPr="00251BFA" w:rsidRDefault="00125A05" w:rsidP="00251BFA">
      <w:pPr>
        <w:spacing w:after="120" w:line="240" w:lineRule="auto"/>
        <w:ind w:right="-376"/>
        <w:jc w:val="both"/>
        <w:rPr>
          <w:rFonts w:ascii="Century Gothic" w:hAnsi="Century Gothic" w:cs="Arial"/>
          <w:sz w:val="24"/>
          <w:szCs w:val="24"/>
        </w:rPr>
      </w:pPr>
      <w:r>
        <w:rPr>
          <w:rFonts w:ascii="Century Gothic" w:hAnsi="Century Gothic" w:cs="Arial"/>
          <w:b/>
          <w:sz w:val="24"/>
          <w:szCs w:val="24"/>
        </w:rPr>
        <w:t>J</w:t>
      </w:r>
      <w:r w:rsidR="00E35060" w:rsidRPr="00A05CC3">
        <w:rPr>
          <w:rFonts w:ascii="Century Gothic" w:hAnsi="Century Gothic" w:cs="Arial"/>
          <w:b/>
          <w:sz w:val="24"/>
          <w:szCs w:val="24"/>
        </w:rPr>
        <w:t>.-</w:t>
      </w:r>
      <w:r w:rsidR="00E35060" w:rsidRPr="00251BFA">
        <w:rPr>
          <w:rFonts w:ascii="Century Gothic" w:hAnsi="Century Gothic" w:cs="Arial"/>
          <w:sz w:val="24"/>
          <w:szCs w:val="24"/>
        </w:rPr>
        <w:t xml:space="preserve"> Mediante auto de fecha uno de febrero de dos mil veintitrés se tuvo por recibido en la Oficialía de Partes Común de este Tribunal, el oficio SA/SUBDCGPRH/DRH/DLAC/0102/2023, suscrito </w:t>
      </w:r>
      <w:r w:rsidR="00E03EB4" w:rsidRPr="00251BFA">
        <w:rPr>
          <w:rFonts w:ascii="Century Gothic" w:hAnsi="Century Gothic" w:cs="Arial"/>
          <w:sz w:val="24"/>
          <w:szCs w:val="24"/>
        </w:rPr>
        <w:t>por M.</w:t>
      </w:r>
      <w:r w:rsidR="00E35060" w:rsidRPr="00251BFA">
        <w:rPr>
          <w:rFonts w:ascii="Century Gothic" w:hAnsi="Century Gothic" w:cs="Arial"/>
          <w:sz w:val="24"/>
          <w:szCs w:val="24"/>
        </w:rPr>
        <w:t xml:space="preserve"> A. Uriel Bautista Vásquez </w:t>
      </w:r>
      <w:proofErr w:type="gramStart"/>
      <w:r w:rsidR="00E35060" w:rsidRPr="00251BFA">
        <w:rPr>
          <w:rFonts w:ascii="Century Gothic" w:hAnsi="Century Gothic" w:cs="Arial"/>
          <w:sz w:val="24"/>
          <w:szCs w:val="24"/>
        </w:rPr>
        <w:t>Director</w:t>
      </w:r>
      <w:proofErr w:type="gramEnd"/>
      <w:r w:rsidR="00E35060" w:rsidRPr="00251BFA">
        <w:rPr>
          <w:rFonts w:ascii="Century Gothic" w:hAnsi="Century Gothic" w:cs="Arial"/>
          <w:sz w:val="24"/>
          <w:szCs w:val="24"/>
        </w:rPr>
        <w:t xml:space="preserve"> de Recursos Humanos de la Secretaría de Administración del Estado de </w:t>
      </w:r>
      <w:r w:rsidR="00E03EB4" w:rsidRPr="00251BFA">
        <w:rPr>
          <w:rFonts w:ascii="Century Gothic" w:hAnsi="Century Gothic" w:cs="Arial"/>
          <w:sz w:val="24"/>
          <w:szCs w:val="24"/>
        </w:rPr>
        <w:t>Oaxaca, por</w:t>
      </w:r>
      <w:r w:rsidR="00E35060" w:rsidRPr="00251BFA">
        <w:rPr>
          <w:rFonts w:ascii="Century Gothic" w:hAnsi="Century Gothic" w:cs="Arial"/>
          <w:sz w:val="24"/>
          <w:szCs w:val="24"/>
        </w:rPr>
        <w:t xml:space="preserve"> el cual interpone recurso de revisión en contra de la sentencia de fecha d</w:t>
      </w:r>
      <w:r w:rsidR="00E03EB4" w:rsidRPr="00251BFA">
        <w:rPr>
          <w:rFonts w:ascii="Century Gothic" w:hAnsi="Century Gothic" w:cs="Arial"/>
          <w:sz w:val="24"/>
          <w:szCs w:val="24"/>
        </w:rPr>
        <w:t>iez</w:t>
      </w:r>
      <w:r w:rsidR="00E35060" w:rsidRPr="00251BFA">
        <w:rPr>
          <w:rFonts w:ascii="Century Gothic" w:hAnsi="Century Gothic" w:cs="Arial"/>
          <w:sz w:val="24"/>
          <w:szCs w:val="24"/>
        </w:rPr>
        <w:t xml:space="preserve"> de </w:t>
      </w:r>
      <w:r w:rsidR="00E03EB4" w:rsidRPr="00251BFA">
        <w:rPr>
          <w:rFonts w:ascii="Century Gothic" w:hAnsi="Century Gothic" w:cs="Arial"/>
          <w:sz w:val="24"/>
          <w:szCs w:val="24"/>
        </w:rPr>
        <w:t xml:space="preserve">enero </w:t>
      </w:r>
      <w:r w:rsidR="00E35060" w:rsidRPr="00251BFA">
        <w:rPr>
          <w:rFonts w:ascii="Century Gothic" w:hAnsi="Century Gothic" w:cs="Arial"/>
          <w:sz w:val="24"/>
          <w:szCs w:val="24"/>
        </w:rPr>
        <w:t>de dos mil veintitrés emitida en el juicio de nulidad al rubro indicado.</w:t>
      </w:r>
    </w:p>
    <w:p w14:paraId="2B7740F4" w14:textId="337BE31E" w:rsidR="00C26961" w:rsidRPr="00251BFA" w:rsidRDefault="00C26961" w:rsidP="00251BFA">
      <w:pPr>
        <w:spacing w:after="120" w:line="240" w:lineRule="auto"/>
        <w:ind w:right="-376"/>
        <w:jc w:val="both"/>
        <w:rPr>
          <w:rFonts w:ascii="Century Gothic" w:hAnsi="Century Gothic" w:cs="Arial"/>
          <w:b/>
          <w:bCs/>
          <w:sz w:val="24"/>
          <w:szCs w:val="24"/>
        </w:rPr>
      </w:pPr>
    </w:p>
    <w:p w14:paraId="6EDB4069" w14:textId="77777777" w:rsidR="00344FF3" w:rsidRDefault="00C44DB6" w:rsidP="00843D37">
      <w:pPr>
        <w:spacing w:line="240" w:lineRule="auto"/>
        <w:ind w:firstLine="708"/>
        <w:jc w:val="both"/>
        <w:rPr>
          <w:rFonts w:ascii="Century Gothic" w:hAnsi="Century Gothic" w:cs="Arial"/>
          <w:b/>
          <w:bCs/>
          <w:sz w:val="24"/>
          <w:szCs w:val="24"/>
        </w:rPr>
      </w:pPr>
      <w:r w:rsidRPr="0017368E">
        <w:rPr>
          <w:rFonts w:ascii="Century Gothic" w:hAnsi="Century Gothic" w:cs="Arial"/>
          <w:b/>
          <w:bCs/>
          <w:sz w:val="24"/>
          <w:szCs w:val="24"/>
        </w:rPr>
        <w:t>SEGUNDO. Determinación recurrida.</w:t>
      </w:r>
    </w:p>
    <w:p w14:paraId="7A30855D" w14:textId="42EC245F" w:rsidR="00F95E73" w:rsidRPr="0017368E" w:rsidRDefault="009E7198" w:rsidP="00843D37">
      <w:pPr>
        <w:spacing w:line="240" w:lineRule="auto"/>
        <w:ind w:firstLine="708"/>
        <w:jc w:val="both"/>
        <w:rPr>
          <w:rFonts w:ascii="Century Gothic" w:hAnsi="Century Gothic" w:cs="Arial"/>
          <w:sz w:val="24"/>
          <w:szCs w:val="24"/>
        </w:rPr>
      </w:pPr>
      <w:r>
        <w:rPr>
          <w:rFonts w:ascii="Century Gothic" w:hAnsi="Century Gothic" w:cs="Arial"/>
          <w:sz w:val="24"/>
          <w:szCs w:val="24"/>
        </w:rPr>
        <w:t>3</w:t>
      </w:r>
      <w:r w:rsidR="00344FF3" w:rsidRPr="00125A05">
        <w:rPr>
          <w:rFonts w:ascii="Century Gothic" w:hAnsi="Century Gothic" w:cs="Arial"/>
          <w:sz w:val="24"/>
          <w:szCs w:val="24"/>
        </w:rPr>
        <w:t>.</w:t>
      </w:r>
      <w:r w:rsidR="00344FF3">
        <w:rPr>
          <w:rFonts w:ascii="Century Gothic" w:hAnsi="Century Gothic" w:cs="Arial"/>
          <w:b/>
          <w:bCs/>
          <w:sz w:val="24"/>
          <w:szCs w:val="24"/>
        </w:rPr>
        <w:t xml:space="preserve"> </w:t>
      </w:r>
      <w:r w:rsidR="00F95E73" w:rsidRPr="0017368E">
        <w:rPr>
          <w:rFonts w:ascii="Century Gothic" w:hAnsi="Century Gothic" w:cs="Arial"/>
          <w:sz w:val="24"/>
          <w:szCs w:val="24"/>
        </w:rPr>
        <w:t>Inconf</w:t>
      </w:r>
      <w:r w:rsidR="00843D37" w:rsidRPr="0017368E">
        <w:rPr>
          <w:rFonts w:ascii="Century Gothic" w:hAnsi="Century Gothic" w:cs="Arial"/>
          <w:sz w:val="24"/>
          <w:szCs w:val="24"/>
        </w:rPr>
        <w:t xml:space="preserve">orme con la sentencia de fecha diez de enero </w:t>
      </w:r>
      <w:r w:rsidR="00F95E73" w:rsidRPr="0017368E">
        <w:rPr>
          <w:rFonts w:ascii="Century Gothic" w:hAnsi="Century Gothic" w:cs="Arial"/>
          <w:sz w:val="24"/>
          <w:szCs w:val="24"/>
        </w:rPr>
        <w:t xml:space="preserve">de dos mil veintitrés dictada dentro del juicio de nulidad con número de expediente </w:t>
      </w:r>
      <w:r w:rsidR="00CE5FBE" w:rsidRPr="00CE5FBE">
        <w:rPr>
          <w:rFonts w:ascii="Century Gothic" w:hAnsi="Century Gothic" w:cs="Arial"/>
          <w:b/>
          <w:bCs/>
          <w:sz w:val="24"/>
          <w:szCs w:val="24"/>
        </w:rPr>
        <w:t>0</w:t>
      </w:r>
      <w:r w:rsidR="00843D37" w:rsidRPr="00CE5FBE">
        <w:rPr>
          <w:rFonts w:ascii="Century Gothic" w:hAnsi="Century Gothic" w:cs="Arial"/>
          <w:b/>
          <w:bCs/>
          <w:sz w:val="24"/>
          <w:szCs w:val="24"/>
        </w:rPr>
        <w:t>101/2021</w:t>
      </w:r>
      <w:r w:rsidR="00843D37" w:rsidRPr="0017368E">
        <w:rPr>
          <w:rFonts w:ascii="Century Gothic" w:hAnsi="Century Gothic" w:cs="Arial"/>
          <w:sz w:val="24"/>
          <w:szCs w:val="24"/>
        </w:rPr>
        <w:t xml:space="preserve"> del índice de la S</w:t>
      </w:r>
      <w:r w:rsidR="00F95E73" w:rsidRPr="0017368E">
        <w:rPr>
          <w:rFonts w:ascii="Century Gothic" w:hAnsi="Century Gothic" w:cs="Arial"/>
          <w:sz w:val="24"/>
          <w:szCs w:val="24"/>
        </w:rPr>
        <w:t xml:space="preserve">egunda Sala Unitaria de Primera Instancia del Tribunal </w:t>
      </w:r>
      <w:r w:rsidR="00F95E73" w:rsidRPr="0017368E">
        <w:rPr>
          <w:rFonts w:ascii="Century Gothic" w:eastAsia="Times New Roman" w:hAnsi="Century Gothic" w:cs="Arial"/>
          <w:sz w:val="24"/>
          <w:szCs w:val="24"/>
          <w:lang w:val="es-ES_tradnl" w:eastAsia="es-ES"/>
        </w:rPr>
        <w:t>de Justicia Administrativa y Combate a la Corrupción del Estado de Oaxaca</w:t>
      </w:r>
      <w:r w:rsidR="00F95E73" w:rsidRPr="0017368E">
        <w:rPr>
          <w:rFonts w:ascii="Century Gothic" w:hAnsi="Century Gothic" w:cs="Arial"/>
          <w:sz w:val="24"/>
          <w:szCs w:val="24"/>
        </w:rPr>
        <w:t>, la autoridad demandada interpuso en</w:t>
      </w:r>
      <w:r w:rsidR="00843D37" w:rsidRPr="0017368E">
        <w:rPr>
          <w:rFonts w:ascii="Century Gothic" w:hAnsi="Century Gothic" w:cs="Arial"/>
          <w:sz w:val="24"/>
          <w:szCs w:val="24"/>
        </w:rPr>
        <w:t xml:space="preserve"> su contra recurso de revisión. </w:t>
      </w:r>
      <w:r w:rsidR="00F95E73" w:rsidRPr="0017368E">
        <w:rPr>
          <w:rFonts w:ascii="Century Gothic" w:hAnsi="Century Gothic" w:cs="Arial"/>
          <w:bCs/>
          <w:sz w:val="24"/>
          <w:szCs w:val="24"/>
        </w:rPr>
        <w:t>Los puntos resolutivos de la sentencia recurrida son los siguientes:</w:t>
      </w:r>
    </w:p>
    <w:p w14:paraId="32793201" w14:textId="38D17A8F" w:rsidR="00F95E73" w:rsidRPr="0017368E" w:rsidRDefault="00F95E73" w:rsidP="00251BFA">
      <w:pPr>
        <w:spacing w:after="0" w:line="240" w:lineRule="auto"/>
        <w:ind w:left="567" w:right="616" w:firstLine="284"/>
        <w:jc w:val="both"/>
        <w:rPr>
          <w:rFonts w:ascii="Century Gothic" w:hAnsi="Century Gothic" w:cs="Arial"/>
          <w:i/>
          <w:sz w:val="24"/>
          <w:szCs w:val="24"/>
        </w:rPr>
      </w:pPr>
      <w:r w:rsidRPr="0017368E">
        <w:rPr>
          <w:rFonts w:ascii="Century Gothic" w:hAnsi="Century Gothic"/>
          <w:b/>
          <w:i/>
          <w:sz w:val="24"/>
          <w:szCs w:val="24"/>
        </w:rPr>
        <w:t>“</w:t>
      </w:r>
      <w:r w:rsidRPr="0017368E">
        <w:rPr>
          <w:rFonts w:ascii="Century Gothic" w:hAnsi="Century Gothic" w:cs="Arial"/>
          <w:b/>
          <w:i/>
          <w:sz w:val="24"/>
          <w:szCs w:val="24"/>
        </w:rPr>
        <w:t xml:space="preserve">PRIMERO. </w:t>
      </w:r>
      <w:r w:rsidRPr="0017368E">
        <w:rPr>
          <w:rFonts w:ascii="Century Gothic" w:hAnsi="Century Gothic" w:cs="Arial"/>
          <w:i/>
          <w:sz w:val="24"/>
          <w:szCs w:val="24"/>
        </w:rPr>
        <w:t xml:space="preserve">Esta Segunda Sala Unitaria es competente para conocer y resolver del presente asunto. - - - - - - - - - - - - - - - - - </w:t>
      </w:r>
    </w:p>
    <w:p w14:paraId="6E801585" w14:textId="77777777" w:rsidR="00F95E73" w:rsidRPr="0017368E" w:rsidRDefault="00F95E73" w:rsidP="00251BFA">
      <w:pPr>
        <w:spacing w:after="0" w:line="240" w:lineRule="auto"/>
        <w:ind w:left="567" w:right="616" w:firstLine="284"/>
        <w:jc w:val="both"/>
        <w:rPr>
          <w:rFonts w:ascii="Century Gothic" w:hAnsi="Century Gothic" w:cs="Arial"/>
          <w:i/>
          <w:sz w:val="24"/>
          <w:szCs w:val="24"/>
        </w:rPr>
      </w:pPr>
    </w:p>
    <w:p w14:paraId="42C68242" w14:textId="23220BDF" w:rsidR="00F95E73" w:rsidRPr="0017368E" w:rsidRDefault="00F95E73" w:rsidP="00251BFA">
      <w:pPr>
        <w:spacing w:after="0" w:line="240" w:lineRule="auto"/>
        <w:ind w:left="567" w:right="616" w:firstLine="284"/>
        <w:jc w:val="both"/>
        <w:rPr>
          <w:rFonts w:ascii="Century Gothic" w:hAnsi="Century Gothic" w:cs="Arial"/>
          <w:i/>
          <w:sz w:val="24"/>
          <w:szCs w:val="24"/>
        </w:rPr>
      </w:pPr>
      <w:r w:rsidRPr="0017368E">
        <w:rPr>
          <w:rFonts w:ascii="Century Gothic" w:hAnsi="Century Gothic" w:cs="Arial"/>
          <w:b/>
          <w:i/>
          <w:sz w:val="24"/>
          <w:szCs w:val="24"/>
        </w:rPr>
        <w:t xml:space="preserve">SEGUNDO. </w:t>
      </w:r>
      <w:r w:rsidRPr="0017368E">
        <w:rPr>
          <w:rFonts w:ascii="Century Gothic" w:hAnsi="Century Gothic" w:cs="Arial"/>
          <w:i/>
          <w:sz w:val="24"/>
          <w:szCs w:val="24"/>
        </w:rPr>
        <w:t xml:space="preserve">La personalidad de las partes quedo asentada en autos, dentro del considerando SEGUNDO de la presente resolución. - - - - - - - - - - - - - - - - - - - - - - - - - - - - - - - - - - - - - - - - </w:t>
      </w:r>
    </w:p>
    <w:p w14:paraId="547FEA07" w14:textId="77777777" w:rsidR="00F95E73" w:rsidRPr="0017368E" w:rsidRDefault="00F95E73" w:rsidP="00251BFA">
      <w:pPr>
        <w:spacing w:after="0" w:line="240" w:lineRule="auto"/>
        <w:ind w:left="567" w:right="616" w:firstLine="284"/>
        <w:jc w:val="both"/>
        <w:rPr>
          <w:rFonts w:ascii="Century Gothic" w:hAnsi="Century Gothic" w:cs="Arial"/>
          <w:i/>
          <w:sz w:val="24"/>
          <w:szCs w:val="24"/>
        </w:rPr>
      </w:pPr>
    </w:p>
    <w:p w14:paraId="4A41F665" w14:textId="7127B213" w:rsidR="00F95E73" w:rsidRPr="0017368E" w:rsidRDefault="00F95E73" w:rsidP="00251BFA">
      <w:pPr>
        <w:spacing w:after="0" w:line="240" w:lineRule="auto"/>
        <w:ind w:left="567" w:right="616" w:firstLine="284"/>
        <w:jc w:val="both"/>
        <w:rPr>
          <w:rFonts w:ascii="Century Gothic" w:hAnsi="Century Gothic" w:cs="Arial"/>
          <w:i/>
          <w:sz w:val="24"/>
          <w:szCs w:val="24"/>
        </w:rPr>
      </w:pPr>
      <w:r w:rsidRPr="0017368E">
        <w:rPr>
          <w:rFonts w:ascii="Century Gothic" w:hAnsi="Century Gothic" w:cs="Arial"/>
          <w:b/>
          <w:i/>
          <w:sz w:val="24"/>
          <w:szCs w:val="24"/>
        </w:rPr>
        <w:t xml:space="preserve">TERCERO. </w:t>
      </w:r>
      <w:r w:rsidRPr="0017368E">
        <w:rPr>
          <w:rFonts w:ascii="Century Gothic" w:hAnsi="Century Gothic" w:cs="Arial"/>
          <w:i/>
          <w:sz w:val="24"/>
          <w:szCs w:val="24"/>
        </w:rPr>
        <w:t>Esta Sala Unitaria advierte que, en el presente juicio no se configura alguna causal de improcedencia o sobreseimiento, por tanto, NO SE SOBRESEE.</w:t>
      </w:r>
      <w:r w:rsidRPr="0017368E">
        <w:rPr>
          <w:rFonts w:ascii="Century Gothic" w:hAnsi="Century Gothic" w:cs="Arial"/>
          <w:b/>
          <w:i/>
          <w:sz w:val="24"/>
          <w:szCs w:val="24"/>
        </w:rPr>
        <w:t xml:space="preserve"> </w:t>
      </w:r>
      <w:r w:rsidRPr="0017368E">
        <w:rPr>
          <w:rFonts w:ascii="Century Gothic" w:hAnsi="Century Gothic" w:cs="Arial"/>
          <w:i/>
          <w:sz w:val="24"/>
          <w:szCs w:val="24"/>
        </w:rPr>
        <w:t xml:space="preserve"> - - - - - - - - - - - - - </w:t>
      </w:r>
    </w:p>
    <w:p w14:paraId="5F965116" w14:textId="77777777" w:rsidR="00F95E73" w:rsidRPr="0017368E" w:rsidRDefault="00F95E73" w:rsidP="00251BFA">
      <w:pPr>
        <w:spacing w:after="0" w:line="240" w:lineRule="auto"/>
        <w:ind w:left="567" w:right="616" w:firstLine="284"/>
        <w:jc w:val="both"/>
        <w:rPr>
          <w:rFonts w:ascii="Century Gothic" w:hAnsi="Century Gothic" w:cs="Arial"/>
          <w:i/>
          <w:sz w:val="24"/>
          <w:szCs w:val="24"/>
        </w:rPr>
      </w:pPr>
    </w:p>
    <w:p w14:paraId="24B1B560" w14:textId="034B521E" w:rsidR="00F95E73" w:rsidRPr="0017368E" w:rsidRDefault="00843D37" w:rsidP="00251BFA">
      <w:pPr>
        <w:spacing w:after="0" w:line="240" w:lineRule="auto"/>
        <w:ind w:left="567" w:right="616" w:firstLine="284"/>
        <w:jc w:val="both"/>
        <w:rPr>
          <w:rFonts w:ascii="Century Gothic" w:hAnsi="Century Gothic" w:cs="Arial"/>
          <w:i/>
          <w:sz w:val="24"/>
          <w:szCs w:val="24"/>
        </w:rPr>
      </w:pPr>
      <w:r w:rsidRPr="0017368E">
        <w:rPr>
          <w:rFonts w:ascii="Century Gothic" w:eastAsia="Calibri" w:hAnsi="Century Gothic" w:cs="Arial"/>
          <w:b/>
          <w:bCs/>
          <w:i/>
          <w:sz w:val="24"/>
          <w:szCs w:val="24"/>
        </w:rPr>
        <w:t>CUARTO.</w:t>
      </w:r>
      <w:r w:rsidRPr="0017368E">
        <w:rPr>
          <w:rFonts w:ascii="Century Gothic" w:eastAsia="Calibri" w:hAnsi="Century Gothic" w:cs="Arial"/>
          <w:bCs/>
          <w:i/>
          <w:sz w:val="24"/>
          <w:szCs w:val="24"/>
        </w:rPr>
        <w:t xml:space="preserve"> SE CONFIGURÓ LA NEGATIVA FICTA; en consecuencia, se declara la NULIDAD de la NEGATIVA FICTA recaída al escrito de petición sin fecha y recibido el tres de junio de dos mil veintiuno, para el EFECTO de que la autoridad demandada emita por escrito, la respuesta en forma exhaustiva y congruente a la petición contenida en el escrito sin fecha y recibido el tres de junio de dos mil veintiuno, por lo que en pleno uso de sus facultades y atribuciones fundando y motivando las causas de hecho y derecho por las cuales sea procedente o no, en su caso, la expedición de la constancia de continuidad, agregando los nombramientos que refiere el actor en su escrito de petición, además, deberá anexar a su respuesta el documento que sea necesario para sustentar su contestación, dado que el escrito del actor tiene su origen en el derecho de petición consagrado en el artículo 8° de la Constitución Política de los Estados Unidos Mexicanos, por las razones expuestas en el considerando CUARTO de la presente sentencia” </w:t>
      </w:r>
      <w:r w:rsidRPr="0017368E">
        <w:rPr>
          <w:rFonts w:ascii="Century Gothic" w:hAnsi="Century Gothic" w:cs="Arial"/>
          <w:sz w:val="24"/>
          <w:szCs w:val="24"/>
        </w:rPr>
        <w:t xml:space="preserve">, </w:t>
      </w:r>
      <w:r w:rsidRPr="0017368E">
        <w:rPr>
          <w:rFonts w:ascii="Century Gothic" w:hAnsi="Century Gothic" w:cs="Arial"/>
          <w:bCs/>
          <w:color w:val="000000"/>
          <w:sz w:val="24"/>
          <w:szCs w:val="24"/>
        </w:rPr>
        <w:t xml:space="preserve">por ende, se encuentra dentro de ese catálogo que enlista el numeral 236 </w:t>
      </w:r>
      <w:r w:rsidRPr="0017368E">
        <w:rPr>
          <w:rFonts w:ascii="Century Gothic" w:hAnsi="Century Gothic" w:cs="Arial"/>
          <w:bCs/>
          <w:iCs/>
          <w:sz w:val="24"/>
          <w:szCs w:val="24"/>
        </w:rPr>
        <w:t>de la Ley de Procedimiento</w:t>
      </w:r>
      <w:r w:rsidRPr="0017368E">
        <w:rPr>
          <w:rFonts w:ascii="Century Gothic" w:hAnsi="Century Gothic" w:cs="Arial"/>
          <w:bCs/>
          <w:color w:val="000000"/>
          <w:sz w:val="24"/>
          <w:szCs w:val="24"/>
        </w:rPr>
        <w:t>, por lo cual procede el recurso de revisión</w:t>
      </w:r>
      <w:r w:rsidR="00F95E73" w:rsidRPr="0017368E">
        <w:rPr>
          <w:rFonts w:ascii="Century Gothic" w:hAnsi="Century Gothic" w:cs="Arial"/>
          <w:i/>
          <w:sz w:val="24"/>
          <w:szCs w:val="24"/>
        </w:rPr>
        <w:t xml:space="preserve">. - - - - - - - - - - - - - - - - - - </w:t>
      </w:r>
    </w:p>
    <w:p w14:paraId="640EB5C7" w14:textId="77777777" w:rsidR="00F95E73" w:rsidRPr="0017368E" w:rsidRDefault="00F95E73" w:rsidP="00251BFA">
      <w:pPr>
        <w:spacing w:after="0" w:line="240" w:lineRule="auto"/>
        <w:ind w:left="567" w:right="616" w:firstLine="284"/>
        <w:jc w:val="both"/>
        <w:rPr>
          <w:rFonts w:ascii="Century Gothic" w:hAnsi="Century Gothic" w:cs="Arial"/>
          <w:i/>
          <w:sz w:val="24"/>
          <w:szCs w:val="24"/>
        </w:rPr>
      </w:pPr>
    </w:p>
    <w:p w14:paraId="7C7FC969" w14:textId="038A66E7" w:rsidR="00E25794" w:rsidRPr="00251BFA" w:rsidRDefault="00F95E73" w:rsidP="00251BFA">
      <w:pPr>
        <w:spacing w:after="0" w:line="240" w:lineRule="auto"/>
        <w:ind w:left="567" w:right="616" w:firstLine="284"/>
        <w:jc w:val="both"/>
        <w:rPr>
          <w:rFonts w:ascii="Century Gothic" w:hAnsi="Century Gothic" w:cs="Arial"/>
          <w:b/>
          <w:i/>
          <w:sz w:val="24"/>
          <w:szCs w:val="24"/>
        </w:rPr>
      </w:pPr>
      <w:r w:rsidRPr="0017368E">
        <w:rPr>
          <w:rFonts w:ascii="Century Gothic" w:hAnsi="Century Gothic" w:cs="Arial"/>
          <w:b/>
          <w:i/>
          <w:sz w:val="24"/>
          <w:szCs w:val="24"/>
        </w:rPr>
        <w:t xml:space="preserve">QUINTO. NOTIFÍQUESE </w:t>
      </w:r>
      <w:r w:rsidR="00E25794" w:rsidRPr="0017368E">
        <w:rPr>
          <w:rFonts w:ascii="Century Gothic" w:hAnsi="Century Gothic" w:cs="Arial"/>
          <w:b/>
          <w:i/>
          <w:sz w:val="24"/>
          <w:szCs w:val="24"/>
        </w:rPr>
        <w:t>Y CÚMPLASE.</w:t>
      </w:r>
      <w:r w:rsidR="00E13363" w:rsidRPr="0017368E">
        <w:rPr>
          <w:rFonts w:ascii="Century Gothic" w:hAnsi="Century Gothic" w:cs="Arial"/>
          <w:b/>
          <w:i/>
          <w:sz w:val="24"/>
          <w:szCs w:val="24"/>
        </w:rPr>
        <w:t>”</w:t>
      </w:r>
    </w:p>
    <w:p w14:paraId="19AF4521" w14:textId="28B4667F" w:rsidR="00E25794" w:rsidRPr="00251BFA" w:rsidRDefault="00E25794" w:rsidP="00251BFA">
      <w:pPr>
        <w:spacing w:after="0" w:line="240" w:lineRule="auto"/>
        <w:ind w:left="567" w:right="616" w:firstLine="284"/>
        <w:jc w:val="both"/>
        <w:rPr>
          <w:rFonts w:ascii="Century Gothic" w:hAnsi="Century Gothic" w:cs="Arial"/>
          <w:b/>
          <w:i/>
          <w:sz w:val="24"/>
          <w:szCs w:val="24"/>
        </w:rPr>
      </w:pPr>
    </w:p>
    <w:p w14:paraId="5D4070F5" w14:textId="77777777" w:rsidR="00E25794" w:rsidRPr="00251BFA" w:rsidRDefault="00E25794" w:rsidP="00251BFA">
      <w:pPr>
        <w:spacing w:after="0" w:line="240" w:lineRule="auto"/>
        <w:ind w:left="567" w:right="616" w:firstLine="284"/>
        <w:jc w:val="both"/>
        <w:rPr>
          <w:rFonts w:ascii="Century Gothic" w:hAnsi="Century Gothic" w:cs="Arial"/>
          <w:b/>
          <w:i/>
          <w:sz w:val="24"/>
          <w:szCs w:val="24"/>
        </w:rPr>
      </w:pPr>
    </w:p>
    <w:p w14:paraId="3CE2FB50" w14:textId="66080660" w:rsidR="00287983" w:rsidRPr="00251BFA" w:rsidRDefault="00287983" w:rsidP="00251BFA">
      <w:pPr>
        <w:widowControl w:val="0"/>
        <w:tabs>
          <w:tab w:val="left" w:pos="7938"/>
        </w:tabs>
        <w:spacing w:before="240" w:after="0" w:line="240" w:lineRule="auto"/>
        <w:ind w:left="1134" w:right="616"/>
        <w:jc w:val="center"/>
        <w:rPr>
          <w:rFonts w:ascii="Century Gothic" w:hAnsi="Century Gothic" w:cs="Arial"/>
          <w:b/>
          <w:bCs/>
          <w:sz w:val="24"/>
          <w:szCs w:val="24"/>
        </w:rPr>
      </w:pPr>
      <w:r w:rsidRPr="00251BFA">
        <w:rPr>
          <w:rFonts w:ascii="Century Gothic" w:hAnsi="Century Gothic" w:cs="Arial"/>
          <w:b/>
          <w:bCs/>
          <w:sz w:val="24"/>
          <w:szCs w:val="24"/>
        </w:rPr>
        <w:t xml:space="preserve">C O N S I D E R A N </w:t>
      </w:r>
      <w:r w:rsidR="00BE4773" w:rsidRPr="00251BFA">
        <w:rPr>
          <w:rFonts w:ascii="Century Gothic" w:hAnsi="Century Gothic" w:cs="Arial"/>
          <w:b/>
          <w:bCs/>
          <w:sz w:val="24"/>
          <w:szCs w:val="24"/>
        </w:rPr>
        <w:t>D O</w:t>
      </w:r>
    </w:p>
    <w:p w14:paraId="6E695257" w14:textId="77777777" w:rsidR="009E7198" w:rsidRDefault="00287983" w:rsidP="00251BFA">
      <w:pPr>
        <w:pStyle w:val="Textoindependiente21"/>
        <w:spacing w:before="240" w:line="240" w:lineRule="auto"/>
        <w:ind w:right="18" w:firstLine="708"/>
        <w:rPr>
          <w:rFonts w:ascii="Century Gothic" w:hAnsi="Century Gothic" w:cs="Arial"/>
          <w:bCs/>
          <w:iCs/>
          <w:szCs w:val="24"/>
        </w:rPr>
      </w:pPr>
      <w:r w:rsidRPr="00251BFA">
        <w:rPr>
          <w:rFonts w:ascii="Century Gothic" w:hAnsi="Century Gothic" w:cs="Arial"/>
          <w:b/>
          <w:bCs/>
          <w:iCs/>
          <w:szCs w:val="24"/>
        </w:rPr>
        <w:t>PRIMERO.</w:t>
      </w:r>
      <w:r w:rsidR="009E7198">
        <w:rPr>
          <w:rFonts w:ascii="Century Gothic" w:hAnsi="Century Gothic" w:cs="Arial"/>
          <w:b/>
          <w:bCs/>
          <w:iCs/>
          <w:szCs w:val="24"/>
        </w:rPr>
        <w:t xml:space="preserve"> </w:t>
      </w:r>
      <w:r w:rsidR="00406D0B" w:rsidRPr="00251BFA">
        <w:rPr>
          <w:rFonts w:ascii="Century Gothic" w:hAnsi="Century Gothic" w:cs="Arial"/>
          <w:b/>
          <w:bCs/>
          <w:iCs/>
          <w:szCs w:val="24"/>
        </w:rPr>
        <w:t>Jurisdicción y Competencia</w:t>
      </w:r>
      <w:r w:rsidR="00406D0B" w:rsidRPr="00251BFA">
        <w:rPr>
          <w:rFonts w:ascii="Century Gothic" w:hAnsi="Century Gothic" w:cs="Arial"/>
          <w:bCs/>
          <w:iCs/>
          <w:szCs w:val="24"/>
        </w:rPr>
        <w:t xml:space="preserve">. </w:t>
      </w:r>
    </w:p>
    <w:p w14:paraId="47E15336" w14:textId="11D598EE" w:rsidR="00287983" w:rsidRPr="00251BFA" w:rsidRDefault="009E7198" w:rsidP="00251BFA">
      <w:pPr>
        <w:pStyle w:val="Textoindependiente21"/>
        <w:spacing w:before="240" w:line="240" w:lineRule="auto"/>
        <w:ind w:right="18" w:firstLine="708"/>
        <w:rPr>
          <w:rFonts w:ascii="Century Gothic" w:hAnsi="Century Gothic" w:cs="Arial"/>
          <w:b/>
          <w:szCs w:val="24"/>
        </w:rPr>
      </w:pPr>
      <w:r>
        <w:rPr>
          <w:rFonts w:ascii="Century Gothic" w:hAnsi="Century Gothic" w:cs="Arial"/>
          <w:bCs/>
          <w:iCs/>
          <w:szCs w:val="24"/>
        </w:rPr>
        <w:t xml:space="preserve">4. </w:t>
      </w:r>
      <w:r w:rsidR="00406D0B" w:rsidRPr="00251BFA">
        <w:rPr>
          <w:rFonts w:ascii="Century Gothic" w:hAnsi="Century Gothic" w:cs="Arial"/>
          <w:bCs/>
          <w:iCs/>
          <w:szCs w:val="24"/>
        </w:rPr>
        <w:t xml:space="preserve">El Tribunal de Justicia Administrativa y Combate a la Corrupción del Estado de Oaxaca ejerce jurisdicción y esta Sala Superior es competente para conocer del presente asunto, conforme a lo dispuesto por los artículos 114 </w:t>
      </w:r>
      <w:proofErr w:type="spellStart"/>
      <w:r w:rsidR="00406D0B" w:rsidRPr="00251BFA">
        <w:rPr>
          <w:rFonts w:ascii="Century Gothic" w:hAnsi="Century Gothic" w:cs="Arial"/>
          <w:bCs/>
          <w:iCs/>
          <w:szCs w:val="24"/>
        </w:rPr>
        <w:t>Quáter</w:t>
      </w:r>
      <w:proofErr w:type="spellEnd"/>
      <w:r w:rsidR="00406D0B" w:rsidRPr="00251BFA">
        <w:rPr>
          <w:rFonts w:ascii="Century Gothic" w:hAnsi="Century Gothic" w:cs="Arial"/>
          <w:bCs/>
          <w:iCs/>
          <w:szCs w:val="24"/>
        </w:rPr>
        <w:t xml:space="preserve">  de la Constitución </w:t>
      </w:r>
      <w:r w:rsidR="00F353FC" w:rsidRPr="00251BFA">
        <w:rPr>
          <w:rFonts w:ascii="Century Gothic" w:hAnsi="Century Gothic" w:cs="Arial"/>
          <w:bCs/>
          <w:iCs/>
          <w:szCs w:val="24"/>
        </w:rPr>
        <w:t xml:space="preserve"> </w:t>
      </w:r>
      <w:r w:rsidR="00406D0B" w:rsidRPr="00251BFA">
        <w:rPr>
          <w:rFonts w:ascii="Century Gothic" w:hAnsi="Century Gothic" w:cs="Arial"/>
          <w:bCs/>
          <w:iCs/>
          <w:szCs w:val="24"/>
        </w:rPr>
        <w:t>Política del Estado Libre y Soberano de Oaxaca</w:t>
      </w:r>
      <w:r w:rsidR="00406D0B" w:rsidRPr="00251BFA">
        <w:rPr>
          <w:rFonts w:ascii="Century Gothic" w:eastAsia="Calibri" w:hAnsi="Century Gothic" w:cs="Arial"/>
          <w:bCs/>
          <w:color w:val="000000" w:themeColor="text1"/>
          <w:szCs w:val="24"/>
          <w:vertAlign w:val="superscript"/>
        </w:rPr>
        <w:footnoteReference w:id="1"/>
      </w:r>
      <w:r w:rsidR="00406D0B" w:rsidRPr="00251BFA">
        <w:rPr>
          <w:rFonts w:ascii="Century Gothic" w:hAnsi="Century Gothic" w:cs="Arial"/>
          <w:bCs/>
          <w:iCs/>
          <w:szCs w:val="24"/>
        </w:rPr>
        <w:t>; 1, 2, 4, fracción VIII, 23, 24, fracciones I y III, 25, fracción I y 27 de la Ley Orgánica del Tribunal de Justicia Administrativa del Estado de Oaxaca, vigente; 120, 125, 127, 129,130, fracción l, 131, 201, 236, fracción VII y 238 de la Ley de Procedimiento</w:t>
      </w:r>
      <w:r w:rsidR="00770D7F" w:rsidRPr="00251BFA">
        <w:rPr>
          <w:rFonts w:ascii="Century Gothic" w:hAnsi="Century Gothic" w:cs="Arial"/>
          <w:bCs/>
          <w:iCs/>
          <w:szCs w:val="24"/>
        </w:rPr>
        <w:t>, dado que se trata de un recurso de r</w:t>
      </w:r>
      <w:r w:rsidR="00287983" w:rsidRPr="00251BFA">
        <w:rPr>
          <w:rFonts w:ascii="Century Gothic" w:hAnsi="Century Gothic" w:cs="Arial"/>
          <w:bCs/>
          <w:iCs/>
          <w:szCs w:val="24"/>
        </w:rPr>
        <w:t xml:space="preserve">evisión interpuesto en contra </w:t>
      </w:r>
      <w:r w:rsidR="001E0E21" w:rsidRPr="00251BFA">
        <w:rPr>
          <w:rFonts w:ascii="Century Gothic" w:hAnsi="Century Gothic" w:cs="Arial"/>
          <w:bCs/>
          <w:iCs/>
          <w:szCs w:val="24"/>
        </w:rPr>
        <w:t>de la</w:t>
      </w:r>
      <w:r w:rsidR="001E0E21" w:rsidRPr="00251BFA">
        <w:rPr>
          <w:rFonts w:ascii="Century Gothic" w:hAnsi="Century Gothic" w:cs="Arial"/>
          <w:szCs w:val="24"/>
        </w:rPr>
        <w:t xml:space="preserve"> sentencia de </w:t>
      </w:r>
      <w:r w:rsidR="00E25794" w:rsidRPr="00251BFA">
        <w:rPr>
          <w:rFonts w:ascii="Century Gothic" w:hAnsi="Century Gothic" w:cs="Arial"/>
          <w:szCs w:val="24"/>
        </w:rPr>
        <w:t xml:space="preserve">fecha </w:t>
      </w:r>
      <w:r w:rsidR="00E03EB4" w:rsidRPr="00251BFA">
        <w:rPr>
          <w:rFonts w:ascii="Century Gothic" w:hAnsi="Century Gothic" w:cs="Arial"/>
          <w:szCs w:val="24"/>
        </w:rPr>
        <w:t>diez de enero</w:t>
      </w:r>
      <w:r w:rsidR="00A12515" w:rsidRPr="00251BFA">
        <w:rPr>
          <w:rFonts w:ascii="Century Gothic" w:hAnsi="Century Gothic" w:cs="Arial"/>
          <w:szCs w:val="24"/>
        </w:rPr>
        <w:t xml:space="preserve"> de dos mil veintitrés</w:t>
      </w:r>
      <w:r w:rsidR="001E0E21" w:rsidRPr="00251BFA">
        <w:rPr>
          <w:rFonts w:ascii="Century Gothic" w:hAnsi="Century Gothic" w:cs="Arial"/>
          <w:szCs w:val="24"/>
        </w:rPr>
        <w:t xml:space="preserve">, </w:t>
      </w:r>
      <w:r w:rsidR="00234A27" w:rsidRPr="00251BFA">
        <w:rPr>
          <w:rFonts w:ascii="Century Gothic" w:hAnsi="Century Gothic" w:cs="Arial"/>
          <w:szCs w:val="24"/>
        </w:rPr>
        <w:t xml:space="preserve">dictada en el juicio de nulidad con número de  expediente </w:t>
      </w:r>
      <w:r w:rsidR="00E03EB4" w:rsidRPr="00251BFA">
        <w:rPr>
          <w:rFonts w:ascii="Century Gothic" w:hAnsi="Century Gothic" w:cs="Arial"/>
          <w:b/>
          <w:szCs w:val="24"/>
        </w:rPr>
        <w:t>0101/2021</w:t>
      </w:r>
      <w:r w:rsidR="00234A27" w:rsidRPr="00251BFA">
        <w:rPr>
          <w:rFonts w:ascii="Century Gothic" w:hAnsi="Century Gothic" w:cs="Arial"/>
          <w:szCs w:val="24"/>
        </w:rPr>
        <w:t xml:space="preserve"> de</w:t>
      </w:r>
      <w:r w:rsidR="0024076F" w:rsidRPr="00251BFA">
        <w:rPr>
          <w:rFonts w:ascii="Century Gothic" w:hAnsi="Century Gothic" w:cs="Arial"/>
          <w:szCs w:val="24"/>
        </w:rPr>
        <w:t xml:space="preserve">l índice de </w:t>
      </w:r>
      <w:r w:rsidR="00234A27" w:rsidRPr="00251BFA">
        <w:rPr>
          <w:rFonts w:ascii="Century Gothic" w:hAnsi="Century Gothic" w:cs="Arial"/>
          <w:szCs w:val="24"/>
        </w:rPr>
        <w:t xml:space="preserve">la </w:t>
      </w:r>
      <w:r w:rsidR="0024076F" w:rsidRPr="00251BFA">
        <w:rPr>
          <w:rFonts w:ascii="Century Gothic" w:hAnsi="Century Gothic" w:cs="Arial"/>
          <w:szCs w:val="24"/>
        </w:rPr>
        <w:t>Segunda</w:t>
      </w:r>
      <w:r w:rsidR="00234A27" w:rsidRPr="00251BFA">
        <w:rPr>
          <w:rFonts w:ascii="Century Gothic" w:hAnsi="Century Gothic" w:cs="Arial"/>
          <w:szCs w:val="24"/>
        </w:rPr>
        <w:t xml:space="preserve"> Sala Unitaria de Primera Instancia del Tribunal </w:t>
      </w:r>
      <w:r w:rsidR="00234A27" w:rsidRPr="00251BFA">
        <w:rPr>
          <w:rFonts w:ascii="Century Gothic" w:hAnsi="Century Gothic" w:cs="Arial"/>
          <w:szCs w:val="24"/>
          <w:lang w:val="es-ES_tradnl"/>
        </w:rPr>
        <w:t>de Justicia Administrativa y Combate a la Corrupción del Estado de Oaxaca</w:t>
      </w:r>
      <w:r w:rsidR="00287983" w:rsidRPr="00251BFA">
        <w:rPr>
          <w:rFonts w:ascii="Century Gothic" w:hAnsi="Century Gothic" w:cs="Arial"/>
          <w:b/>
          <w:szCs w:val="24"/>
        </w:rPr>
        <w:t xml:space="preserve">.  </w:t>
      </w:r>
    </w:p>
    <w:p w14:paraId="2C7EB83C" w14:textId="7BAC8A86" w:rsidR="00C27A33" w:rsidRPr="00251BFA" w:rsidRDefault="009E7198" w:rsidP="00251BFA">
      <w:pPr>
        <w:spacing w:before="240" w:line="240" w:lineRule="auto"/>
        <w:ind w:firstLine="708"/>
        <w:jc w:val="both"/>
        <w:rPr>
          <w:rFonts w:ascii="Century Gothic" w:hAnsi="Century Gothic" w:cs="Arial"/>
          <w:bCs/>
          <w:iCs/>
          <w:sz w:val="24"/>
          <w:szCs w:val="24"/>
        </w:rPr>
      </w:pPr>
      <w:r>
        <w:rPr>
          <w:rFonts w:ascii="Century Gothic" w:hAnsi="Century Gothic" w:cs="Arial"/>
          <w:bCs/>
          <w:sz w:val="24"/>
          <w:szCs w:val="24"/>
        </w:rPr>
        <w:t>5</w:t>
      </w:r>
      <w:r w:rsidR="000364B0" w:rsidRPr="000364B0">
        <w:rPr>
          <w:rFonts w:ascii="Century Gothic" w:hAnsi="Century Gothic" w:cs="Arial"/>
          <w:bCs/>
          <w:sz w:val="24"/>
          <w:szCs w:val="24"/>
        </w:rPr>
        <w:t xml:space="preserve">. </w:t>
      </w:r>
      <w:r w:rsidR="00C27A33" w:rsidRPr="00251BFA">
        <w:rPr>
          <w:rFonts w:ascii="Century Gothic" w:hAnsi="Century Gothic" w:cs="Arial"/>
          <w:b/>
          <w:sz w:val="24"/>
          <w:szCs w:val="24"/>
        </w:rPr>
        <w:t>SEGUNDO</w:t>
      </w:r>
      <w:r w:rsidR="00C27A33" w:rsidRPr="00251BFA">
        <w:rPr>
          <w:rFonts w:ascii="Century Gothic" w:hAnsi="Century Gothic" w:cs="Arial"/>
          <w:b/>
          <w:iCs/>
          <w:sz w:val="24"/>
          <w:szCs w:val="24"/>
        </w:rPr>
        <w:t xml:space="preserve">. Requisitos de procedencia. </w:t>
      </w:r>
      <w:r w:rsidR="00C27A33" w:rsidRPr="00251BFA">
        <w:rPr>
          <w:rFonts w:ascii="Century Gothic" w:hAnsi="Century Gothic" w:cs="Arial"/>
          <w:bCs/>
          <w:iCs/>
          <w:sz w:val="24"/>
          <w:szCs w:val="24"/>
        </w:rPr>
        <w:t>Se tienen por satisfechos los requisitos de procedencia previstos en los artículos 236, 237 de la Ley de Procedimiento.</w:t>
      </w:r>
    </w:p>
    <w:p w14:paraId="146E9F9B" w14:textId="5DBD06A1" w:rsidR="00C27A33" w:rsidRPr="00251BFA" w:rsidRDefault="00C27A33" w:rsidP="00251BFA">
      <w:pPr>
        <w:pStyle w:val="Prrafodelista"/>
        <w:numPr>
          <w:ilvl w:val="0"/>
          <w:numId w:val="17"/>
        </w:numPr>
        <w:spacing w:before="240" w:line="240" w:lineRule="auto"/>
        <w:ind w:left="0" w:firstLine="426"/>
        <w:jc w:val="both"/>
        <w:rPr>
          <w:rFonts w:ascii="Century Gothic" w:hAnsi="Century Gothic" w:cs="Arial"/>
          <w:bCs/>
          <w:iCs/>
          <w:sz w:val="24"/>
          <w:szCs w:val="24"/>
        </w:rPr>
      </w:pPr>
      <w:r w:rsidRPr="00251BFA">
        <w:rPr>
          <w:rFonts w:ascii="Century Gothic" w:hAnsi="Century Gothic" w:cs="Arial"/>
          <w:b/>
          <w:iCs/>
          <w:sz w:val="24"/>
          <w:szCs w:val="24"/>
        </w:rPr>
        <w:t xml:space="preserve">Forma. </w:t>
      </w:r>
      <w:r w:rsidRPr="00251BFA">
        <w:rPr>
          <w:rFonts w:ascii="Century Gothic" w:hAnsi="Century Gothic" w:cs="Arial"/>
          <w:bCs/>
          <w:iCs/>
          <w:sz w:val="24"/>
          <w:szCs w:val="24"/>
        </w:rPr>
        <w:t>Se observa que el</w:t>
      </w:r>
      <w:r w:rsidRPr="00251BFA">
        <w:rPr>
          <w:rFonts w:ascii="Century Gothic" w:hAnsi="Century Gothic" w:cs="Arial"/>
          <w:b/>
          <w:iCs/>
          <w:sz w:val="24"/>
          <w:szCs w:val="24"/>
        </w:rPr>
        <w:t xml:space="preserve"> </w:t>
      </w:r>
      <w:r w:rsidRPr="00251BFA">
        <w:rPr>
          <w:rFonts w:ascii="Century Gothic" w:hAnsi="Century Gothic" w:cs="Arial"/>
          <w:bCs/>
          <w:iCs/>
          <w:sz w:val="24"/>
          <w:szCs w:val="24"/>
        </w:rPr>
        <w:t>recurso se efectuó conforme a los lineamientos que exige el artículo 236 de la Ley de Procedimiento, ya que se presentó por escrito, con la expresión de agravios ante la Sala que dictó el acuerdo que se impugna.</w:t>
      </w:r>
    </w:p>
    <w:p w14:paraId="72EDAD8F" w14:textId="20111FCE" w:rsidR="00C27A33" w:rsidRPr="00251BFA" w:rsidRDefault="00C27A33" w:rsidP="00251BFA">
      <w:pPr>
        <w:pStyle w:val="Prrafodelista"/>
        <w:numPr>
          <w:ilvl w:val="0"/>
          <w:numId w:val="17"/>
        </w:numPr>
        <w:spacing w:before="240" w:line="240" w:lineRule="auto"/>
        <w:ind w:left="0" w:firstLine="426"/>
        <w:jc w:val="both"/>
        <w:rPr>
          <w:rFonts w:ascii="Century Gothic" w:hAnsi="Century Gothic" w:cs="Arial"/>
          <w:bCs/>
          <w:iCs/>
          <w:sz w:val="24"/>
          <w:szCs w:val="24"/>
        </w:rPr>
      </w:pPr>
      <w:r w:rsidRPr="00251BFA">
        <w:rPr>
          <w:rFonts w:ascii="Century Gothic" w:hAnsi="Century Gothic" w:cs="Arial"/>
          <w:b/>
          <w:iCs/>
          <w:sz w:val="24"/>
          <w:szCs w:val="24"/>
        </w:rPr>
        <w:t xml:space="preserve">Oportunidad. </w:t>
      </w:r>
      <w:r w:rsidRPr="00251BFA">
        <w:rPr>
          <w:rFonts w:ascii="Century Gothic" w:hAnsi="Century Gothic" w:cs="Arial"/>
          <w:bCs/>
          <w:iCs/>
          <w:sz w:val="24"/>
          <w:szCs w:val="24"/>
        </w:rPr>
        <w:t xml:space="preserve">Se cumple tal requisito, toda vez que el acto impugnado fue notificado al recurrente, el </w:t>
      </w:r>
      <w:r w:rsidR="00E03EB4" w:rsidRPr="00251BFA">
        <w:rPr>
          <w:rFonts w:ascii="Century Gothic" w:hAnsi="Century Gothic" w:cs="Arial"/>
          <w:bCs/>
          <w:iCs/>
          <w:sz w:val="24"/>
          <w:szCs w:val="24"/>
        </w:rPr>
        <w:t xml:space="preserve">lunes dieciséis de enero </w:t>
      </w:r>
      <w:r w:rsidRPr="00251BFA">
        <w:rPr>
          <w:rFonts w:ascii="Century Gothic" w:hAnsi="Century Gothic" w:cs="Arial"/>
          <w:bCs/>
          <w:iCs/>
          <w:sz w:val="24"/>
          <w:szCs w:val="24"/>
        </w:rPr>
        <w:t>de dos mil veintitrés,</w:t>
      </w:r>
      <w:r w:rsidR="00E03EB4" w:rsidRPr="00251BFA">
        <w:rPr>
          <w:rFonts w:ascii="Century Gothic" w:hAnsi="Century Gothic" w:cs="Arial"/>
          <w:bCs/>
          <w:iCs/>
          <w:sz w:val="24"/>
          <w:szCs w:val="24"/>
        </w:rPr>
        <w:t xml:space="preserve"> </w:t>
      </w:r>
      <w:r w:rsidRPr="00251BFA">
        <w:rPr>
          <w:rFonts w:ascii="Century Gothic" w:hAnsi="Century Gothic" w:cs="Arial"/>
          <w:bCs/>
          <w:iCs/>
          <w:sz w:val="24"/>
          <w:szCs w:val="24"/>
        </w:rPr>
        <w:t xml:space="preserve"> en tanto el correspondiente recurso se interpuso el día </w:t>
      </w:r>
      <w:r w:rsidR="003A5241" w:rsidRPr="00251BFA">
        <w:rPr>
          <w:rFonts w:ascii="Century Gothic" w:hAnsi="Century Gothic" w:cs="Arial"/>
          <w:bCs/>
          <w:iCs/>
          <w:sz w:val="24"/>
          <w:szCs w:val="24"/>
        </w:rPr>
        <w:t>veinti</w:t>
      </w:r>
      <w:r w:rsidR="00E03EB4" w:rsidRPr="00251BFA">
        <w:rPr>
          <w:rFonts w:ascii="Century Gothic" w:hAnsi="Century Gothic" w:cs="Arial"/>
          <w:bCs/>
          <w:iCs/>
          <w:sz w:val="24"/>
          <w:szCs w:val="24"/>
        </w:rPr>
        <w:t>cuatro de enero del presente año</w:t>
      </w:r>
      <w:r w:rsidRPr="00251BFA">
        <w:rPr>
          <w:rFonts w:ascii="Century Gothic" w:hAnsi="Century Gothic" w:cs="Arial"/>
          <w:bCs/>
          <w:iCs/>
          <w:sz w:val="24"/>
          <w:szCs w:val="24"/>
        </w:rPr>
        <w:t xml:space="preserve">, siendo éste dentro del plazo de cinco </w:t>
      </w:r>
      <w:r w:rsidR="00C21D0A" w:rsidRPr="00251BFA">
        <w:rPr>
          <w:rFonts w:ascii="Century Gothic" w:hAnsi="Century Gothic" w:cs="Arial"/>
          <w:bCs/>
          <w:iCs/>
          <w:sz w:val="24"/>
          <w:szCs w:val="24"/>
        </w:rPr>
        <w:t>días previsto en el artículo 237</w:t>
      </w:r>
      <w:r w:rsidRPr="00251BFA">
        <w:rPr>
          <w:rFonts w:ascii="Century Gothic" w:hAnsi="Century Gothic" w:cs="Arial"/>
          <w:bCs/>
          <w:iCs/>
          <w:sz w:val="24"/>
          <w:szCs w:val="24"/>
        </w:rPr>
        <w:t xml:space="preserve"> de la Ley de Procedimiento para el Estado de Oaxaca, en virtud que el </w:t>
      </w:r>
      <w:r w:rsidR="003A5241" w:rsidRPr="00251BFA">
        <w:rPr>
          <w:rFonts w:ascii="Century Gothic" w:hAnsi="Century Gothic" w:cs="Arial"/>
          <w:bCs/>
          <w:iCs/>
          <w:sz w:val="24"/>
          <w:szCs w:val="24"/>
        </w:rPr>
        <w:t xml:space="preserve">día </w:t>
      </w:r>
      <w:r w:rsidR="00E03EB4" w:rsidRPr="00251BFA">
        <w:rPr>
          <w:rFonts w:ascii="Century Gothic" w:hAnsi="Century Gothic" w:cs="Arial"/>
          <w:bCs/>
          <w:iCs/>
          <w:sz w:val="24"/>
          <w:szCs w:val="24"/>
        </w:rPr>
        <w:t>martes diecisiete de</w:t>
      </w:r>
      <w:r w:rsidR="008D4C7D" w:rsidRPr="00251BFA">
        <w:rPr>
          <w:rFonts w:ascii="Century Gothic" w:hAnsi="Century Gothic" w:cs="Arial"/>
          <w:bCs/>
          <w:iCs/>
          <w:sz w:val="24"/>
          <w:szCs w:val="24"/>
        </w:rPr>
        <w:t xml:space="preserve"> enero</w:t>
      </w:r>
      <w:r w:rsidR="003A5241" w:rsidRPr="00251BFA">
        <w:rPr>
          <w:rFonts w:ascii="Century Gothic" w:hAnsi="Century Gothic" w:cs="Arial"/>
          <w:bCs/>
          <w:iCs/>
          <w:sz w:val="24"/>
          <w:szCs w:val="24"/>
        </w:rPr>
        <w:t xml:space="preserve"> del año </w:t>
      </w:r>
      <w:r w:rsidR="00CC19BA" w:rsidRPr="00251BFA">
        <w:rPr>
          <w:rFonts w:ascii="Century Gothic" w:hAnsi="Century Gothic" w:cs="Arial"/>
          <w:bCs/>
          <w:iCs/>
          <w:sz w:val="24"/>
          <w:szCs w:val="24"/>
        </w:rPr>
        <w:t xml:space="preserve">en curso </w:t>
      </w:r>
      <w:r w:rsidRPr="00251BFA">
        <w:rPr>
          <w:rFonts w:ascii="Century Gothic" w:hAnsi="Century Gothic" w:cs="Arial"/>
          <w:bCs/>
          <w:iCs/>
          <w:sz w:val="24"/>
          <w:szCs w:val="24"/>
        </w:rPr>
        <w:t xml:space="preserve">surtió efectos y empezando a correr el conteo a partir del día </w:t>
      </w:r>
      <w:r w:rsidR="00E03EB4" w:rsidRPr="00251BFA">
        <w:rPr>
          <w:rFonts w:ascii="Century Gothic" w:hAnsi="Century Gothic" w:cs="Arial"/>
          <w:bCs/>
          <w:iCs/>
          <w:sz w:val="24"/>
          <w:szCs w:val="24"/>
        </w:rPr>
        <w:t>miércoles dieciocho</w:t>
      </w:r>
      <w:r w:rsidR="00CC19BA" w:rsidRPr="00251BFA">
        <w:rPr>
          <w:rFonts w:ascii="Century Gothic" w:hAnsi="Century Gothic" w:cs="Arial"/>
          <w:bCs/>
          <w:iCs/>
          <w:sz w:val="24"/>
          <w:szCs w:val="24"/>
        </w:rPr>
        <w:t xml:space="preserve"> al </w:t>
      </w:r>
      <w:r w:rsidR="008D4C7D" w:rsidRPr="00251BFA">
        <w:rPr>
          <w:rFonts w:ascii="Century Gothic" w:hAnsi="Century Gothic" w:cs="Arial"/>
          <w:bCs/>
          <w:iCs/>
          <w:sz w:val="24"/>
          <w:szCs w:val="24"/>
        </w:rPr>
        <w:t xml:space="preserve">veinticuatro de enero </w:t>
      </w:r>
      <w:r w:rsidR="00CC19BA" w:rsidRPr="00251BFA">
        <w:rPr>
          <w:rFonts w:ascii="Century Gothic" w:hAnsi="Century Gothic" w:cs="Arial"/>
          <w:bCs/>
          <w:iCs/>
          <w:sz w:val="24"/>
          <w:szCs w:val="24"/>
        </w:rPr>
        <w:t>del presente año</w:t>
      </w:r>
      <w:r w:rsidRPr="00251BFA">
        <w:rPr>
          <w:rFonts w:ascii="Century Gothic" w:hAnsi="Century Gothic" w:cs="Arial"/>
          <w:bCs/>
          <w:iCs/>
          <w:sz w:val="24"/>
          <w:szCs w:val="24"/>
        </w:rPr>
        <w:t xml:space="preserve"> (sin ser contados los días </w:t>
      </w:r>
      <w:r w:rsidR="00CC19BA" w:rsidRPr="00251BFA">
        <w:rPr>
          <w:rFonts w:ascii="Century Gothic" w:hAnsi="Century Gothic" w:cs="Arial"/>
          <w:bCs/>
          <w:iCs/>
          <w:sz w:val="24"/>
          <w:szCs w:val="24"/>
        </w:rPr>
        <w:t xml:space="preserve">sábado y domingo por ser </w:t>
      </w:r>
      <w:r w:rsidRPr="00251BFA">
        <w:rPr>
          <w:rFonts w:ascii="Century Gothic" w:hAnsi="Century Gothic" w:cs="Arial"/>
          <w:bCs/>
          <w:iCs/>
          <w:sz w:val="24"/>
          <w:szCs w:val="24"/>
        </w:rPr>
        <w:t>inhábiles</w:t>
      </w:r>
      <w:r w:rsidR="00CC19BA" w:rsidRPr="00251BFA">
        <w:rPr>
          <w:rFonts w:ascii="Century Gothic" w:hAnsi="Century Gothic" w:cs="Arial"/>
          <w:bCs/>
          <w:iCs/>
          <w:sz w:val="24"/>
          <w:szCs w:val="24"/>
        </w:rPr>
        <w:t>, de conformidad con el artículo 39 de la Ley de Procedimiento</w:t>
      </w:r>
      <w:r w:rsidR="00CC19BA" w:rsidRPr="00251BFA">
        <w:rPr>
          <w:rStyle w:val="Refdenotaalpie"/>
          <w:rFonts w:ascii="Century Gothic" w:hAnsi="Century Gothic" w:cs="Arial"/>
          <w:bCs/>
          <w:iCs/>
          <w:sz w:val="24"/>
          <w:szCs w:val="24"/>
        </w:rPr>
        <w:footnoteReference w:id="2"/>
      </w:r>
      <w:r w:rsidRPr="00251BFA">
        <w:rPr>
          <w:rFonts w:ascii="Century Gothic" w:hAnsi="Century Gothic" w:cs="Arial"/>
          <w:bCs/>
          <w:iCs/>
          <w:sz w:val="24"/>
          <w:szCs w:val="24"/>
        </w:rPr>
        <w:t>).</w:t>
      </w:r>
      <w:r w:rsidR="008D4C7D" w:rsidRPr="00251BFA">
        <w:rPr>
          <w:rFonts w:ascii="Century Gothic" w:hAnsi="Century Gothic" w:cs="Arial"/>
          <w:bCs/>
          <w:iCs/>
          <w:sz w:val="24"/>
          <w:szCs w:val="24"/>
        </w:rPr>
        <w:t xml:space="preserve"> De lo anterior se advierte </w:t>
      </w:r>
      <w:r w:rsidR="008D4C7D" w:rsidRPr="00251BFA">
        <w:rPr>
          <w:rFonts w:ascii="Century Gothic" w:hAnsi="Century Gothic" w:cs="Arial"/>
          <w:bCs/>
          <w:iCs/>
          <w:sz w:val="24"/>
          <w:szCs w:val="24"/>
        </w:rPr>
        <w:lastRenderedPageBreak/>
        <w:t xml:space="preserve">que el promovente está dentro del término establecido para la interposición del presente recurso. </w:t>
      </w:r>
    </w:p>
    <w:p w14:paraId="7C5D1027" w14:textId="77777777" w:rsidR="0042380D" w:rsidRPr="00251BFA" w:rsidRDefault="00C27A33" w:rsidP="00251BFA">
      <w:pPr>
        <w:pStyle w:val="Prrafodelista"/>
        <w:numPr>
          <w:ilvl w:val="0"/>
          <w:numId w:val="17"/>
        </w:numPr>
        <w:spacing w:before="240" w:line="240" w:lineRule="auto"/>
        <w:ind w:left="0" w:firstLine="426"/>
        <w:jc w:val="both"/>
        <w:rPr>
          <w:rFonts w:ascii="Century Gothic" w:hAnsi="Century Gothic" w:cs="Arial"/>
          <w:bCs/>
          <w:iCs/>
          <w:sz w:val="24"/>
          <w:szCs w:val="24"/>
        </w:rPr>
      </w:pPr>
      <w:r w:rsidRPr="00251BFA">
        <w:rPr>
          <w:rFonts w:ascii="Century Gothic" w:hAnsi="Century Gothic" w:cs="Arial"/>
          <w:b/>
          <w:iCs/>
          <w:sz w:val="24"/>
          <w:szCs w:val="24"/>
        </w:rPr>
        <w:t xml:space="preserve">Legitimación. </w:t>
      </w:r>
      <w:r w:rsidRPr="00251BFA">
        <w:rPr>
          <w:rFonts w:ascii="Century Gothic" w:hAnsi="Century Gothic" w:cs="Arial"/>
          <w:bCs/>
          <w:iCs/>
          <w:sz w:val="24"/>
          <w:szCs w:val="24"/>
        </w:rPr>
        <w:t>El presente recurso fue interpuesto por parte legítima. Ello, porque de conformidad con señalado en el artículo 236, de la Ley de Procedimiento, el recurso de revisión en que se actúa, puede ser impugnado por las partes.</w:t>
      </w:r>
    </w:p>
    <w:p w14:paraId="5B1BF677" w14:textId="7FBE46EF" w:rsidR="00C27A33" w:rsidRPr="00251BFA" w:rsidRDefault="00C27A33" w:rsidP="00251BFA">
      <w:pPr>
        <w:pStyle w:val="Prrafodelista"/>
        <w:numPr>
          <w:ilvl w:val="0"/>
          <w:numId w:val="17"/>
        </w:numPr>
        <w:spacing w:before="240" w:line="240" w:lineRule="auto"/>
        <w:ind w:left="0" w:firstLine="426"/>
        <w:jc w:val="both"/>
        <w:rPr>
          <w:rFonts w:ascii="Century Gothic" w:hAnsi="Century Gothic" w:cs="Arial"/>
          <w:bCs/>
          <w:iCs/>
          <w:sz w:val="24"/>
          <w:szCs w:val="24"/>
        </w:rPr>
      </w:pPr>
      <w:r w:rsidRPr="00251BFA">
        <w:rPr>
          <w:rFonts w:ascii="Century Gothic" w:hAnsi="Century Gothic" w:cs="Arial"/>
          <w:b/>
          <w:color w:val="000000"/>
          <w:sz w:val="24"/>
          <w:szCs w:val="24"/>
        </w:rPr>
        <w:t xml:space="preserve">Idoneidad. </w:t>
      </w:r>
      <w:r w:rsidRPr="00251BFA">
        <w:rPr>
          <w:rFonts w:ascii="Century Gothic" w:hAnsi="Century Gothic" w:cs="Arial"/>
          <w:bCs/>
          <w:color w:val="000000"/>
          <w:sz w:val="24"/>
          <w:szCs w:val="24"/>
        </w:rPr>
        <w:t xml:space="preserve">Ahora, por lo que hace a este requisito, éste se cumple, en virtud que la determinación de la Sala Unitaria de primera Instancia que fue recurrida es </w:t>
      </w:r>
      <w:r w:rsidR="00E13363" w:rsidRPr="00251BFA">
        <w:rPr>
          <w:rFonts w:ascii="Century Gothic" w:hAnsi="Century Gothic" w:cs="Arial"/>
          <w:bCs/>
          <w:color w:val="000000"/>
          <w:sz w:val="24"/>
          <w:szCs w:val="24"/>
        </w:rPr>
        <w:t xml:space="preserve">la </w:t>
      </w:r>
      <w:r w:rsidR="00E13363" w:rsidRPr="00251BFA">
        <w:rPr>
          <w:rFonts w:ascii="Century Gothic" w:eastAsia="Calibri" w:hAnsi="Century Gothic" w:cs="Arial"/>
          <w:bCs/>
          <w:sz w:val="24"/>
          <w:szCs w:val="24"/>
        </w:rPr>
        <w:t xml:space="preserve">declaración </w:t>
      </w:r>
      <w:r w:rsidR="008D4C7D" w:rsidRPr="00251BFA">
        <w:rPr>
          <w:rFonts w:ascii="Century Gothic" w:eastAsia="Calibri" w:hAnsi="Century Gothic" w:cs="Arial"/>
          <w:bCs/>
          <w:sz w:val="24"/>
          <w:szCs w:val="24"/>
        </w:rPr>
        <w:t>“</w:t>
      </w:r>
      <w:r w:rsidR="008D4C7D" w:rsidRPr="00251BFA">
        <w:rPr>
          <w:rFonts w:ascii="Century Gothic" w:eastAsia="Calibri" w:hAnsi="Century Gothic" w:cs="Arial"/>
          <w:bCs/>
          <w:i/>
          <w:sz w:val="24"/>
          <w:szCs w:val="24"/>
        </w:rPr>
        <w:t>CUARTO. SE CONFIGURÓ LA NEGATIVA FICTA; en consecuencia, se declara la NULIDAD de la NEGATIVA FICTA recaída al escrito de petición sin fecha y recibido el tres de junio de dos mil veintiuno, para el EFECTO de que la autoridad demandada emita por escrito, la respuesta en forma exhaustiva y</w:t>
      </w:r>
      <w:r w:rsidR="0042380D" w:rsidRPr="00251BFA">
        <w:rPr>
          <w:rFonts w:ascii="Century Gothic" w:eastAsia="Calibri" w:hAnsi="Century Gothic" w:cs="Arial"/>
          <w:bCs/>
          <w:i/>
          <w:sz w:val="24"/>
          <w:szCs w:val="24"/>
        </w:rPr>
        <w:t xml:space="preserve"> congruente a la petición contenida en el escrito sin fecha y recibido el tres de junio de dos mil veintiuno, por lo que en pleno uso de sus facultades y atribuciones fundando y motivando las causas de hecho y derecho por las cuales sea procedente o no, en su caso, la expedición de la constancia de continuidad, agregando los nombramientos que refiere el actor en su escrito de petición, además, deberá anexar a su respuesta el documento que sea necesario para sustentar su contestación, dado que el escrito del actor tiene su origen en el derecho de petición consagrado en el artículo 8° de la Constitución Política de los Estados Unidos Mexicanos, por las razones expuestas en el considerando CUARTO de la presente sentencia” </w:t>
      </w:r>
      <w:r w:rsidR="00E13363" w:rsidRPr="00251BFA">
        <w:rPr>
          <w:rFonts w:ascii="Century Gothic" w:hAnsi="Century Gothic" w:cs="Arial"/>
          <w:sz w:val="24"/>
          <w:szCs w:val="24"/>
        </w:rPr>
        <w:t xml:space="preserve">, </w:t>
      </w:r>
      <w:r w:rsidRPr="00251BFA">
        <w:rPr>
          <w:rFonts w:ascii="Century Gothic" w:hAnsi="Century Gothic" w:cs="Arial"/>
          <w:bCs/>
          <w:color w:val="000000"/>
          <w:sz w:val="24"/>
          <w:szCs w:val="24"/>
        </w:rPr>
        <w:t xml:space="preserve">por ende, se encuentra dentro de ese catálogo que enlista el numeral 236 </w:t>
      </w:r>
      <w:r w:rsidRPr="00251BFA">
        <w:rPr>
          <w:rFonts w:ascii="Century Gothic" w:hAnsi="Century Gothic" w:cs="Arial"/>
          <w:bCs/>
          <w:iCs/>
          <w:sz w:val="24"/>
          <w:szCs w:val="24"/>
        </w:rPr>
        <w:t>de la Ley de Procedimiento</w:t>
      </w:r>
      <w:r w:rsidRPr="00251BFA">
        <w:rPr>
          <w:rFonts w:ascii="Century Gothic" w:hAnsi="Century Gothic" w:cs="Arial"/>
          <w:bCs/>
          <w:color w:val="000000"/>
          <w:sz w:val="24"/>
          <w:szCs w:val="24"/>
        </w:rPr>
        <w:t>, por lo cual procede el recurso de revisión.</w:t>
      </w:r>
    </w:p>
    <w:p w14:paraId="4F2BB292" w14:textId="77777777" w:rsidR="009E7198" w:rsidRDefault="00C27A33" w:rsidP="00251BFA">
      <w:pPr>
        <w:spacing w:before="240" w:after="0" w:line="240" w:lineRule="auto"/>
        <w:ind w:right="49" w:firstLine="708"/>
        <w:jc w:val="both"/>
        <w:rPr>
          <w:rFonts w:ascii="Century Gothic" w:hAnsi="Century Gothic" w:cs="Arial"/>
          <w:b/>
          <w:bCs/>
          <w:sz w:val="24"/>
          <w:szCs w:val="24"/>
        </w:rPr>
      </w:pPr>
      <w:r w:rsidRPr="00251BFA">
        <w:rPr>
          <w:rFonts w:ascii="Century Gothic" w:hAnsi="Century Gothic" w:cs="Arial"/>
          <w:b/>
          <w:bCs/>
          <w:sz w:val="24"/>
          <w:szCs w:val="24"/>
        </w:rPr>
        <w:t>TERCERO</w:t>
      </w:r>
      <w:r w:rsidR="00287983" w:rsidRPr="00251BFA">
        <w:rPr>
          <w:rFonts w:ascii="Century Gothic" w:hAnsi="Century Gothic" w:cs="Arial"/>
          <w:b/>
          <w:bCs/>
          <w:sz w:val="24"/>
          <w:szCs w:val="24"/>
        </w:rPr>
        <w:t>.</w:t>
      </w:r>
      <w:r w:rsidR="00287983" w:rsidRPr="00251BFA">
        <w:rPr>
          <w:rFonts w:ascii="Century Gothic" w:hAnsi="Century Gothic" w:cs="Arial"/>
          <w:bCs/>
          <w:sz w:val="24"/>
          <w:szCs w:val="24"/>
        </w:rPr>
        <w:t xml:space="preserve"> </w:t>
      </w:r>
      <w:r w:rsidRPr="00251BFA">
        <w:rPr>
          <w:rFonts w:ascii="Century Gothic" w:hAnsi="Century Gothic" w:cs="Arial"/>
          <w:b/>
          <w:bCs/>
          <w:sz w:val="24"/>
          <w:szCs w:val="24"/>
        </w:rPr>
        <w:t>Agr</w:t>
      </w:r>
      <w:r w:rsidR="00CC19BA" w:rsidRPr="00251BFA">
        <w:rPr>
          <w:rFonts w:ascii="Century Gothic" w:hAnsi="Century Gothic" w:cs="Arial"/>
          <w:b/>
          <w:bCs/>
          <w:sz w:val="24"/>
          <w:szCs w:val="24"/>
        </w:rPr>
        <w:t>avios</w:t>
      </w:r>
      <w:r w:rsidRPr="00251BFA">
        <w:rPr>
          <w:rFonts w:ascii="Century Gothic" w:hAnsi="Century Gothic" w:cs="Arial"/>
          <w:b/>
          <w:bCs/>
          <w:sz w:val="24"/>
          <w:szCs w:val="24"/>
        </w:rPr>
        <w:t>.</w:t>
      </w:r>
    </w:p>
    <w:p w14:paraId="475773A8" w14:textId="1D3C073E" w:rsidR="00287983" w:rsidRPr="00251BFA" w:rsidRDefault="009E7198" w:rsidP="00251BFA">
      <w:pPr>
        <w:spacing w:before="240" w:after="0" w:line="240" w:lineRule="auto"/>
        <w:ind w:right="49" w:firstLine="708"/>
        <w:jc w:val="both"/>
        <w:rPr>
          <w:rFonts w:ascii="Century Gothic" w:hAnsi="Century Gothic" w:cs="Arial"/>
          <w:sz w:val="24"/>
          <w:szCs w:val="24"/>
        </w:rPr>
      </w:pPr>
      <w:r w:rsidRPr="009E7198">
        <w:rPr>
          <w:rFonts w:ascii="Century Gothic" w:hAnsi="Century Gothic" w:cs="Arial"/>
          <w:sz w:val="24"/>
          <w:szCs w:val="24"/>
        </w:rPr>
        <w:t xml:space="preserve">6. </w:t>
      </w:r>
      <w:r w:rsidR="00E34263" w:rsidRPr="00251BFA">
        <w:rPr>
          <w:rFonts w:ascii="Century Gothic" w:hAnsi="Century Gothic" w:cs="Arial"/>
          <w:bCs/>
          <w:sz w:val="24"/>
          <w:szCs w:val="24"/>
        </w:rPr>
        <w:t>Los</w:t>
      </w:r>
      <w:r w:rsidR="00EE0690" w:rsidRPr="00251BFA">
        <w:rPr>
          <w:rFonts w:ascii="Century Gothic" w:hAnsi="Century Gothic" w:cs="Arial"/>
          <w:bCs/>
          <w:sz w:val="24"/>
          <w:szCs w:val="24"/>
        </w:rPr>
        <w:t xml:space="preserve"> </w:t>
      </w:r>
      <w:r w:rsidR="00287983" w:rsidRPr="00251BFA">
        <w:rPr>
          <w:rFonts w:ascii="Century Gothic" w:hAnsi="Century Gothic" w:cs="Arial"/>
          <w:bCs/>
          <w:sz w:val="24"/>
          <w:szCs w:val="24"/>
        </w:rPr>
        <w:t>agravio</w:t>
      </w:r>
      <w:r w:rsidR="00E34263" w:rsidRPr="00251BFA">
        <w:rPr>
          <w:rFonts w:ascii="Century Gothic" w:hAnsi="Century Gothic" w:cs="Arial"/>
          <w:bCs/>
          <w:sz w:val="24"/>
          <w:szCs w:val="24"/>
        </w:rPr>
        <w:t>s</w:t>
      </w:r>
      <w:r w:rsidR="00287983" w:rsidRPr="00251BFA">
        <w:rPr>
          <w:rFonts w:ascii="Century Gothic" w:hAnsi="Century Gothic" w:cs="Arial"/>
          <w:bCs/>
          <w:sz w:val="24"/>
          <w:szCs w:val="24"/>
        </w:rPr>
        <w:t xml:space="preserve"> hecho</w:t>
      </w:r>
      <w:r w:rsidR="00E34263" w:rsidRPr="00251BFA">
        <w:rPr>
          <w:rFonts w:ascii="Century Gothic" w:hAnsi="Century Gothic" w:cs="Arial"/>
          <w:bCs/>
          <w:sz w:val="24"/>
          <w:szCs w:val="24"/>
        </w:rPr>
        <w:t>s</w:t>
      </w:r>
      <w:r w:rsidR="00EE0690" w:rsidRPr="00251BFA">
        <w:rPr>
          <w:rFonts w:ascii="Century Gothic" w:hAnsi="Century Gothic" w:cs="Arial"/>
          <w:bCs/>
          <w:sz w:val="24"/>
          <w:szCs w:val="24"/>
        </w:rPr>
        <w:t xml:space="preserve"> valer se encuentra</w:t>
      </w:r>
      <w:r w:rsidR="00E34263" w:rsidRPr="00251BFA">
        <w:rPr>
          <w:rFonts w:ascii="Century Gothic" w:hAnsi="Century Gothic" w:cs="Arial"/>
          <w:bCs/>
          <w:sz w:val="24"/>
          <w:szCs w:val="24"/>
        </w:rPr>
        <w:t>n</w:t>
      </w:r>
      <w:r w:rsidR="00287983" w:rsidRPr="00251BFA">
        <w:rPr>
          <w:rFonts w:ascii="Century Gothic" w:hAnsi="Century Gothic" w:cs="Arial"/>
          <w:bCs/>
          <w:sz w:val="24"/>
          <w:szCs w:val="24"/>
        </w:rPr>
        <w:t xml:space="preserve"> expuesto</w:t>
      </w:r>
      <w:r w:rsidR="00E34263" w:rsidRPr="00251BFA">
        <w:rPr>
          <w:rFonts w:ascii="Century Gothic" w:hAnsi="Century Gothic" w:cs="Arial"/>
          <w:bCs/>
          <w:sz w:val="24"/>
          <w:szCs w:val="24"/>
        </w:rPr>
        <w:t>s</w:t>
      </w:r>
      <w:r w:rsidR="00287983" w:rsidRPr="00251BFA">
        <w:rPr>
          <w:rFonts w:ascii="Century Gothic" w:hAnsi="Century Gothic" w:cs="Arial"/>
          <w:bCs/>
          <w:sz w:val="24"/>
          <w:szCs w:val="24"/>
        </w:rPr>
        <w:t xml:space="preserve"> en el escrito respectivo del recurrente, por lo que no existe necesidad de transcribirlo</w:t>
      </w:r>
      <w:r w:rsidR="00C95675" w:rsidRPr="00251BFA">
        <w:rPr>
          <w:rFonts w:ascii="Century Gothic" w:hAnsi="Century Gothic" w:cs="Arial"/>
          <w:bCs/>
          <w:sz w:val="24"/>
          <w:szCs w:val="24"/>
        </w:rPr>
        <w:t>s</w:t>
      </w:r>
      <w:r w:rsidR="00287983" w:rsidRPr="00251BFA">
        <w:rPr>
          <w:rFonts w:ascii="Century Gothic" w:hAnsi="Century Gothic" w:cs="Arial"/>
          <w:bCs/>
          <w:sz w:val="24"/>
          <w:szCs w:val="24"/>
        </w:rPr>
        <w:t>, al no transgredírsele derecho alguno, como tampoco se vulnera disposición expresa que imponga tal obligación</w:t>
      </w:r>
      <w:r w:rsidR="00287983" w:rsidRPr="00251BFA">
        <w:rPr>
          <w:rFonts w:ascii="Century Gothic" w:hAnsi="Century Gothic" w:cs="Arial"/>
          <w:sz w:val="24"/>
          <w:szCs w:val="24"/>
        </w:rPr>
        <w:t>.</w:t>
      </w:r>
    </w:p>
    <w:p w14:paraId="4C923F7F" w14:textId="3B69C7FD" w:rsidR="001C7636" w:rsidRPr="00251BFA" w:rsidRDefault="000364B0" w:rsidP="000364B0">
      <w:pPr>
        <w:widowControl w:val="0"/>
        <w:tabs>
          <w:tab w:val="left" w:pos="7938"/>
          <w:tab w:val="left" w:pos="8222"/>
        </w:tabs>
        <w:spacing w:before="240" w:line="240" w:lineRule="auto"/>
        <w:ind w:right="49" w:firstLine="709"/>
        <w:jc w:val="both"/>
        <w:rPr>
          <w:rFonts w:ascii="Century Gothic" w:hAnsi="Century Gothic" w:cs="Arial"/>
          <w:bCs/>
          <w:sz w:val="24"/>
          <w:szCs w:val="24"/>
        </w:rPr>
      </w:pPr>
      <w:r>
        <w:rPr>
          <w:rFonts w:ascii="Century Gothic" w:hAnsi="Century Gothic" w:cs="Arial"/>
          <w:bCs/>
          <w:sz w:val="24"/>
          <w:szCs w:val="24"/>
        </w:rPr>
        <w:t xml:space="preserve">7. </w:t>
      </w:r>
      <w:r w:rsidR="001C7636" w:rsidRPr="00251BFA">
        <w:rPr>
          <w:rFonts w:ascii="Century Gothic" w:hAnsi="Century Gothic" w:cs="Arial"/>
          <w:bCs/>
          <w:sz w:val="24"/>
          <w:szCs w:val="24"/>
        </w:rPr>
        <w:t xml:space="preserve">Se invoca en apoyo, la </w:t>
      </w:r>
      <w:r w:rsidR="00C75E60" w:rsidRPr="00251BFA">
        <w:rPr>
          <w:rFonts w:ascii="Century Gothic" w:hAnsi="Century Gothic" w:cs="Arial"/>
          <w:bCs/>
          <w:sz w:val="24"/>
          <w:szCs w:val="24"/>
        </w:rPr>
        <w:t>J</w:t>
      </w:r>
      <w:r w:rsidR="001C7636" w:rsidRPr="00251BFA">
        <w:rPr>
          <w:rFonts w:ascii="Century Gothic" w:hAnsi="Century Gothic" w:cs="Arial"/>
          <w:bCs/>
          <w:sz w:val="24"/>
          <w:szCs w:val="24"/>
        </w:rPr>
        <w:t xml:space="preserve">urisprudencia en materia común, número </w:t>
      </w:r>
      <w:r w:rsidR="001C7636" w:rsidRPr="00251BFA">
        <w:rPr>
          <w:rFonts w:ascii="Century Gothic" w:eastAsia="Times New Roman" w:hAnsi="Century Gothic" w:cs="Arial"/>
          <w:sz w:val="24"/>
          <w:szCs w:val="24"/>
        </w:rPr>
        <w:t xml:space="preserve">2a./J. 58/2010, de la Novena Época, emitida por la Segunda Sala de la Suprema Corte de Justicia de la Nación, </w:t>
      </w:r>
      <w:r w:rsidR="001C7636" w:rsidRPr="00251BFA">
        <w:rPr>
          <w:rFonts w:ascii="Century Gothic" w:hAnsi="Century Gothic" w:cs="Arial"/>
          <w:bCs/>
          <w:sz w:val="24"/>
          <w:szCs w:val="24"/>
        </w:rPr>
        <w:t xml:space="preserve">con número de registro digital </w:t>
      </w:r>
      <w:r w:rsidR="001C7636" w:rsidRPr="00251BFA">
        <w:rPr>
          <w:rFonts w:ascii="Century Gothic" w:eastAsia="Times New Roman" w:hAnsi="Century Gothic" w:cs="Arial"/>
          <w:sz w:val="24"/>
          <w:szCs w:val="24"/>
        </w:rPr>
        <w:t xml:space="preserve">164618, publicada en el Semanario Judicial de la Federación y su Gaceta. En el Tomo XXXI, </w:t>
      </w:r>
      <w:proofErr w:type="gramStart"/>
      <w:r w:rsidR="001C7636" w:rsidRPr="00251BFA">
        <w:rPr>
          <w:rFonts w:ascii="Century Gothic" w:eastAsia="Times New Roman" w:hAnsi="Century Gothic" w:cs="Arial"/>
          <w:sz w:val="24"/>
          <w:szCs w:val="24"/>
        </w:rPr>
        <w:t>Mayo</w:t>
      </w:r>
      <w:proofErr w:type="gramEnd"/>
      <w:r w:rsidR="001C7636" w:rsidRPr="00251BFA">
        <w:rPr>
          <w:rFonts w:ascii="Century Gothic" w:eastAsia="Times New Roman" w:hAnsi="Century Gothic" w:cs="Arial"/>
          <w:sz w:val="24"/>
          <w:szCs w:val="24"/>
        </w:rPr>
        <w:t xml:space="preserve"> de 2010, visible a página 830, </w:t>
      </w:r>
      <w:r w:rsidR="001C7636" w:rsidRPr="00251BFA">
        <w:rPr>
          <w:rFonts w:ascii="Century Gothic" w:hAnsi="Century Gothic" w:cs="Arial"/>
          <w:bCs/>
          <w:sz w:val="24"/>
          <w:szCs w:val="24"/>
        </w:rPr>
        <w:t xml:space="preserve">bajo el rubro y texto siguiente: </w:t>
      </w:r>
    </w:p>
    <w:p w14:paraId="219AD011" w14:textId="1088AB35" w:rsidR="001C7636" w:rsidRPr="00251BFA" w:rsidRDefault="001C7636" w:rsidP="00251BFA">
      <w:pPr>
        <w:spacing w:before="240" w:line="240" w:lineRule="auto"/>
        <w:ind w:left="567" w:right="616"/>
        <w:jc w:val="both"/>
        <w:rPr>
          <w:rFonts w:ascii="Century Gothic" w:eastAsia="Times New Roman" w:hAnsi="Century Gothic" w:cs="Arial"/>
          <w:i/>
          <w:iCs/>
          <w:sz w:val="24"/>
          <w:szCs w:val="24"/>
        </w:rPr>
      </w:pPr>
      <w:r w:rsidRPr="00251BFA">
        <w:rPr>
          <w:rFonts w:ascii="Century Gothic" w:eastAsia="Times New Roman" w:hAnsi="Century Gothic" w:cs="Arial"/>
          <w:b/>
          <w:bCs/>
          <w:i/>
          <w:iCs/>
          <w:sz w:val="24"/>
          <w:szCs w:val="24"/>
        </w:rPr>
        <w:t>“CONCEPTOS DE VIOLACIÓN O AGRAVIOS. PARA CUMPLIR CON LOS PRINCIPIOS DE CONGRUENCIA Y EXHAUSTIVIDAD EN LAS SENTENCIAS DE AMPARO ES INNECESARIA SU TRANSCRIPCIÓN</w:t>
      </w:r>
      <w:r w:rsidR="00E13363" w:rsidRPr="00251BFA">
        <w:rPr>
          <w:rFonts w:ascii="Century Gothic" w:eastAsia="Times New Roman" w:hAnsi="Century Gothic" w:cs="Arial"/>
          <w:b/>
          <w:bCs/>
          <w:i/>
          <w:iCs/>
          <w:sz w:val="24"/>
          <w:szCs w:val="24"/>
        </w:rPr>
        <w:t>”</w:t>
      </w:r>
      <w:r w:rsidR="00E13363" w:rsidRPr="00251BFA">
        <w:rPr>
          <w:rStyle w:val="Refdenotaalpie"/>
          <w:rFonts w:ascii="Century Gothic" w:eastAsia="Times New Roman" w:hAnsi="Century Gothic" w:cs="Arial"/>
          <w:b/>
          <w:bCs/>
          <w:i/>
          <w:iCs/>
          <w:sz w:val="24"/>
          <w:szCs w:val="24"/>
        </w:rPr>
        <w:footnoteReference w:id="3"/>
      </w:r>
      <w:r w:rsidRPr="00251BFA">
        <w:rPr>
          <w:rFonts w:ascii="Century Gothic" w:eastAsia="Times New Roman" w:hAnsi="Century Gothic" w:cs="Arial"/>
          <w:b/>
          <w:bCs/>
          <w:i/>
          <w:iCs/>
          <w:sz w:val="24"/>
          <w:szCs w:val="24"/>
        </w:rPr>
        <w:t>.</w:t>
      </w:r>
    </w:p>
    <w:p w14:paraId="056E78B0" w14:textId="77777777" w:rsidR="009E7198" w:rsidRDefault="00C27A33" w:rsidP="00251BFA">
      <w:pPr>
        <w:widowControl w:val="0"/>
        <w:tabs>
          <w:tab w:val="left" w:pos="7938"/>
        </w:tabs>
        <w:spacing w:before="240" w:line="240" w:lineRule="auto"/>
        <w:ind w:right="49" w:firstLine="709"/>
        <w:jc w:val="both"/>
        <w:rPr>
          <w:rFonts w:ascii="Century Gothic" w:eastAsia="Calibri" w:hAnsi="Century Gothic" w:cs="Arial"/>
          <w:b/>
          <w:bCs/>
          <w:sz w:val="24"/>
          <w:szCs w:val="24"/>
        </w:rPr>
      </w:pPr>
      <w:r w:rsidRPr="00251BFA">
        <w:rPr>
          <w:rFonts w:ascii="Century Gothic" w:hAnsi="Century Gothic" w:cs="Arial"/>
          <w:b/>
          <w:bCs/>
          <w:sz w:val="24"/>
          <w:szCs w:val="24"/>
        </w:rPr>
        <w:lastRenderedPageBreak/>
        <w:t>CUARTO</w:t>
      </w:r>
      <w:r w:rsidR="00287983" w:rsidRPr="00251BFA">
        <w:rPr>
          <w:rFonts w:ascii="Century Gothic" w:hAnsi="Century Gothic" w:cs="Arial"/>
          <w:b/>
          <w:bCs/>
          <w:sz w:val="24"/>
          <w:szCs w:val="24"/>
        </w:rPr>
        <w:t>.</w:t>
      </w:r>
      <w:r w:rsidR="00287983" w:rsidRPr="00251BFA">
        <w:rPr>
          <w:rFonts w:ascii="Century Gothic" w:eastAsia="Calibri" w:hAnsi="Century Gothic" w:cs="Arial"/>
          <w:b/>
          <w:bCs/>
          <w:sz w:val="24"/>
          <w:szCs w:val="24"/>
        </w:rPr>
        <w:t xml:space="preserve"> </w:t>
      </w:r>
      <w:r w:rsidRPr="00251BFA">
        <w:rPr>
          <w:rFonts w:ascii="Century Gothic" w:eastAsia="Calibri" w:hAnsi="Century Gothic" w:cs="Arial"/>
          <w:b/>
          <w:bCs/>
          <w:sz w:val="24"/>
          <w:szCs w:val="24"/>
        </w:rPr>
        <w:t>Estudio y análisis de los agravios.</w:t>
      </w:r>
    </w:p>
    <w:p w14:paraId="3E67CF29" w14:textId="4119E2E4" w:rsidR="00D740FC" w:rsidRPr="00251BFA" w:rsidRDefault="009E7198" w:rsidP="00251BFA">
      <w:pPr>
        <w:widowControl w:val="0"/>
        <w:tabs>
          <w:tab w:val="left" w:pos="7938"/>
        </w:tabs>
        <w:spacing w:before="240" w:line="240" w:lineRule="auto"/>
        <w:ind w:right="49" w:firstLine="709"/>
        <w:jc w:val="both"/>
        <w:rPr>
          <w:rFonts w:ascii="Century Gothic" w:eastAsia="Times New Roman" w:hAnsi="Century Gothic" w:cs="Arial"/>
          <w:bCs/>
          <w:sz w:val="24"/>
          <w:szCs w:val="24"/>
          <w:lang w:val="es-ES" w:eastAsia="es-ES"/>
        </w:rPr>
      </w:pPr>
      <w:r w:rsidRPr="009E7198">
        <w:rPr>
          <w:rFonts w:ascii="Century Gothic" w:eastAsia="Calibri" w:hAnsi="Century Gothic" w:cs="Arial"/>
          <w:sz w:val="24"/>
          <w:szCs w:val="24"/>
        </w:rPr>
        <w:t xml:space="preserve">8. </w:t>
      </w:r>
      <w:r w:rsidR="0042380D" w:rsidRPr="00251BFA">
        <w:rPr>
          <w:rFonts w:ascii="Century Gothic" w:eastAsia="Times New Roman" w:hAnsi="Century Gothic" w:cs="Arial"/>
          <w:sz w:val="24"/>
          <w:szCs w:val="24"/>
        </w:rPr>
        <w:t xml:space="preserve">Alega el recurrente en su único agravio, que </w:t>
      </w:r>
      <w:r w:rsidR="00C468D2" w:rsidRPr="00251BFA">
        <w:rPr>
          <w:rFonts w:ascii="Century Gothic" w:eastAsia="Times New Roman" w:hAnsi="Century Gothic" w:cs="Arial"/>
          <w:bCs/>
          <w:sz w:val="24"/>
          <w:szCs w:val="24"/>
          <w:lang w:val="es-ES" w:eastAsia="es-ES"/>
        </w:rPr>
        <w:t xml:space="preserve">la sentencia emitida por la Segunda Sala Unitaria de Primera Instancia, </w:t>
      </w:r>
      <w:proofErr w:type="gramStart"/>
      <w:r w:rsidR="00E06103" w:rsidRPr="00251BFA">
        <w:rPr>
          <w:rFonts w:ascii="Century Gothic" w:eastAsia="Times New Roman" w:hAnsi="Century Gothic" w:cs="Arial"/>
          <w:bCs/>
          <w:sz w:val="24"/>
          <w:szCs w:val="24"/>
          <w:lang w:val="es-ES" w:eastAsia="es-ES"/>
        </w:rPr>
        <w:t>le</w:t>
      </w:r>
      <w:proofErr w:type="gramEnd"/>
      <w:r w:rsidR="00E06103" w:rsidRPr="00251BFA">
        <w:rPr>
          <w:rFonts w:ascii="Century Gothic" w:eastAsia="Times New Roman" w:hAnsi="Century Gothic" w:cs="Arial"/>
          <w:bCs/>
          <w:sz w:val="24"/>
          <w:szCs w:val="24"/>
          <w:lang w:val="es-ES" w:eastAsia="es-ES"/>
        </w:rPr>
        <w:t xml:space="preserve"> </w:t>
      </w:r>
      <w:r w:rsidR="00E06103" w:rsidRPr="005B02EB">
        <w:rPr>
          <w:rFonts w:ascii="Century Gothic" w:eastAsia="Times New Roman" w:hAnsi="Century Gothic" w:cs="Arial"/>
          <w:bCs/>
          <w:sz w:val="24"/>
          <w:szCs w:val="24"/>
          <w:lang w:val="es-ES" w:eastAsia="es-ES"/>
        </w:rPr>
        <w:t>causa agravio</w:t>
      </w:r>
      <w:r w:rsidR="00E06103" w:rsidRPr="00251BFA">
        <w:rPr>
          <w:rFonts w:ascii="Century Gothic" w:eastAsia="Times New Roman" w:hAnsi="Century Gothic" w:cs="Arial"/>
          <w:bCs/>
          <w:sz w:val="24"/>
          <w:szCs w:val="24"/>
          <w:lang w:val="es-ES" w:eastAsia="es-ES"/>
        </w:rPr>
        <w:t xml:space="preserve"> a</w:t>
      </w:r>
      <w:r w:rsidR="00C468D2" w:rsidRPr="00251BFA">
        <w:rPr>
          <w:rFonts w:ascii="Century Gothic" w:eastAsia="Times New Roman" w:hAnsi="Century Gothic" w:cs="Arial"/>
          <w:bCs/>
          <w:sz w:val="24"/>
          <w:szCs w:val="24"/>
          <w:lang w:val="es-ES" w:eastAsia="es-ES"/>
        </w:rPr>
        <w:t xml:space="preserve">l </w:t>
      </w:r>
      <w:r w:rsidR="00C468D2" w:rsidRPr="00251BFA">
        <w:rPr>
          <w:rFonts w:ascii="Century Gothic" w:eastAsia="Times New Roman" w:hAnsi="Century Gothic" w:cs="Arial"/>
          <w:bCs/>
          <w:i/>
          <w:sz w:val="24"/>
          <w:szCs w:val="24"/>
          <w:lang w:val="es-ES" w:eastAsia="es-ES"/>
        </w:rPr>
        <w:t>no analizar las manifestaciones realizadas por esta Autoridad Administrativa, durante la contestación y la contestación a la ampliación de la demanda interpuesta por la parte actora, en consecuencia no cumplió con los principios de congruencia y exhaustividad en todas las cuestiones inherentes al procedimiento en el juicio administrativo</w:t>
      </w:r>
      <w:r w:rsidR="00E06103" w:rsidRPr="00251BFA">
        <w:rPr>
          <w:rFonts w:ascii="Century Gothic" w:eastAsia="Times New Roman" w:hAnsi="Century Gothic" w:cs="Arial"/>
          <w:bCs/>
          <w:i/>
          <w:sz w:val="24"/>
          <w:szCs w:val="24"/>
          <w:lang w:val="es-ES" w:eastAsia="es-ES"/>
        </w:rPr>
        <w:t xml:space="preserve">. Toda vez que </w:t>
      </w:r>
      <w:r w:rsidR="00C468D2" w:rsidRPr="00251BFA">
        <w:rPr>
          <w:rFonts w:ascii="Century Gothic" w:eastAsia="Times New Roman" w:hAnsi="Century Gothic" w:cs="Arial"/>
          <w:bCs/>
          <w:i/>
          <w:sz w:val="24"/>
          <w:szCs w:val="24"/>
          <w:lang w:val="es-ES" w:eastAsia="es-ES"/>
        </w:rPr>
        <w:t xml:space="preserve">dicha autoridad no valoró plenamente y de forma objetiva lo manifestado por </w:t>
      </w:r>
      <w:r w:rsidR="00E06103" w:rsidRPr="00251BFA">
        <w:rPr>
          <w:rFonts w:ascii="Century Gothic" w:eastAsia="Times New Roman" w:hAnsi="Century Gothic" w:cs="Arial"/>
          <w:bCs/>
          <w:i/>
          <w:sz w:val="24"/>
          <w:szCs w:val="24"/>
          <w:lang w:val="es-ES" w:eastAsia="es-ES"/>
        </w:rPr>
        <w:t xml:space="preserve">la citada autoridad, y continua alegando que para el caso que nos ocupa no configuraba la </w:t>
      </w:r>
      <w:r w:rsidR="00C468D2" w:rsidRPr="00251BFA">
        <w:rPr>
          <w:rFonts w:ascii="Century Gothic" w:eastAsia="Times New Roman" w:hAnsi="Century Gothic" w:cs="Arial"/>
          <w:bCs/>
          <w:i/>
          <w:sz w:val="24"/>
          <w:szCs w:val="24"/>
          <w:lang w:val="es-ES" w:eastAsia="es-ES"/>
        </w:rPr>
        <w:t xml:space="preserve">negativa ficta como lo pretende hacer valer el actor, lo anterior tomando en consideración que a la solicitud realizada por el actor </w:t>
      </w:r>
      <w:r w:rsidR="000F09DA">
        <w:rPr>
          <w:rFonts w:ascii="Century Gothic" w:hAnsi="Century Gothic" w:cs="Tahoma"/>
          <w:sz w:val="24"/>
          <w:szCs w:val="24"/>
        </w:rPr>
        <w:t>***********</w:t>
      </w:r>
      <w:r w:rsidR="000F09DA">
        <w:rPr>
          <w:rFonts w:ascii="Century Gothic" w:hAnsi="Century Gothic" w:cs="Tahoma"/>
          <w:sz w:val="24"/>
          <w:szCs w:val="24"/>
        </w:rPr>
        <w:t xml:space="preserve"> </w:t>
      </w:r>
      <w:r w:rsidR="00C468D2" w:rsidRPr="00251BFA">
        <w:rPr>
          <w:rFonts w:ascii="Century Gothic" w:eastAsia="Times New Roman" w:hAnsi="Century Gothic" w:cs="Arial"/>
          <w:bCs/>
          <w:i/>
          <w:sz w:val="24"/>
          <w:szCs w:val="24"/>
          <w:lang w:val="es-ES" w:eastAsia="es-ES"/>
        </w:rPr>
        <w:t xml:space="preserve">con fecha </w:t>
      </w:r>
      <w:r w:rsidR="00323D7E">
        <w:rPr>
          <w:rFonts w:ascii="Century Gothic" w:eastAsia="Times New Roman" w:hAnsi="Century Gothic" w:cs="Arial"/>
          <w:bCs/>
          <w:i/>
          <w:sz w:val="24"/>
          <w:szCs w:val="24"/>
          <w:lang w:val="es-ES" w:eastAsia="es-ES"/>
        </w:rPr>
        <w:t xml:space="preserve">tres de </w:t>
      </w:r>
      <w:r w:rsidR="00C468D2" w:rsidRPr="00251BFA">
        <w:rPr>
          <w:rFonts w:ascii="Century Gothic" w:eastAsia="Times New Roman" w:hAnsi="Century Gothic" w:cs="Arial"/>
          <w:b/>
          <w:bCs/>
          <w:i/>
          <w:sz w:val="24"/>
          <w:szCs w:val="24"/>
          <w:lang w:val="es-ES" w:eastAsia="es-ES"/>
        </w:rPr>
        <w:t xml:space="preserve">junio del año </w:t>
      </w:r>
      <w:r w:rsidR="00323D7E">
        <w:rPr>
          <w:rFonts w:ascii="Century Gothic" w:eastAsia="Times New Roman" w:hAnsi="Century Gothic" w:cs="Arial"/>
          <w:b/>
          <w:bCs/>
          <w:i/>
          <w:sz w:val="24"/>
          <w:szCs w:val="24"/>
          <w:lang w:val="es-ES" w:eastAsia="es-ES"/>
        </w:rPr>
        <w:t>dos mil veintiuno</w:t>
      </w:r>
      <w:r w:rsidR="00C468D2" w:rsidRPr="00251BFA">
        <w:rPr>
          <w:rFonts w:ascii="Century Gothic" w:eastAsia="Times New Roman" w:hAnsi="Century Gothic" w:cs="Arial"/>
          <w:bCs/>
          <w:i/>
          <w:sz w:val="24"/>
          <w:szCs w:val="24"/>
          <w:lang w:val="es-ES" w:eastAsia="es-ES"/>
        </w:rPr>
        <w:t xml:space="preserve">, recayó la constancia de continuidad de servicios solicitada, misma que le fue entregada en su momento, y la cual, </w:t>
      </w:r>
      <w:r w:rsidR="00C468D2" w:rsidRPr="00251BFA">
        <w:rPr>
          <w:rFonts w:ascii="Century Gothic" w:eastAsia="Times New Roman" w:hAnsi="Century Gothic" w:cs="Arial"/>
          <w:b/>
          <w:bCs/>
          <w:i/>
          <w:sz w:val="24"/>
          <w:szCs w:val="24"/>
          <w:lang w:val="es-ES" w:eastAsia="es-ES"/>
        </w:rPr>
        <w:t>al leerla no quiso firmar de recibido</w:t>
      </w:r>
      <w:r w:rsidR="00C468D2" w:rsidRPr="00251BFA">
        <w:rPr>
          <w:rFonts w:ascii="Century Gothic" w:eastAsia="Times New Roman" w:hAnsi="Century Gothic" w:cs="Arial"/>
          <w:bCs/>
          <w:i/>
          <w:sz w:val="24"/>
          <w:szCs w:val="24"/>
          <w:lang w:val="es-ES" w:eastAsia="es-ES"/>
        </w:rPr>
        <w:t xml:space="preserve">, argumentando que no convenía a sus intereses, dejando el original de la constancia de continuidad de servicios de fecha </w:t>
      </w:r>
      <w:r w:rsidR="00323D7E">
        <w:rPr>
          <w:rFonts w:ascii="Century Gothic" w:eastAsia="Times New Roman" w:hAnsi="Century Gothic" w:cs="Arial"/>
          <w:b/>
          <w:bCs/>
          <w:i/>
          <w:sz w:val="24"/>
          <w:szCs w:val="24"/>
          <w:lang w:val="es-ES" w:eastAsia="es-ES"/>
        </w:rPr>
        <w:t>siete de junio de dos mil veintiuno</w:t>
      </w:r>
      <w:r w:rsidR="00C468D2" w:rsidRPr="00251BFA">
        <w:rPr>
          <w:rFonts w:ascii="Century Gothic" w:eastAsia="Times New Roman" w:hAnsi="Century Gothic" w:cs="Arial"/>
          <w:bCs/>
          <w:i/>
          <w:sz w:val="24"/>
          <w:szCs w:val="24"/>
          <w:lang w:val="es-ES" w:eastAsia="es-ES"/>
        </w:rPr>
        <w:t xml:space="preserve"> en el escrito del s</w:t>
      </w:r>
      <w:r w:rsidR="00E06103" w:rsidRPr="00251BFA">
        <w:rPr>
          <w:rFonts w:ascii="Century Gothic" w:eastAsia="Times New Roman" w:hAnsi="Century Gothic" w:cs="Arial"/>
          <w:bCs/>
          <w:i/>
          <w:sz w:val="24"/>
          <w:szCs w:val="24"/>
          <w:lang w:val="es-ES" w:eastAsia="es-ES"/>
        </w:rPr>
        <w:t>ervidor público que lo atendió</w:t>
      </w:r>
      <w:r w:rsidR="00E06103" w:rsidRPr="00251BFA">
        <w:rPr>
          <w:rFonts w:ascii="Century Gothic" w:eastAsia="Times New Roman" w:hAnsi="Century Gothic" w:cs="Arial"/>
          <w:bCs/>
          <w:sz w:val="24"/>
          <w:szCs w:val="24"/>
          <w:lang w:val="es-ES" w:eastAsia="es-ES"/>
        </w:rPr>
        <w:t xml:space="preserve">. </w:t>
      </w:r>
    </w:p>
    <w:p w14:paraId="61262683" w14:textId="0C3BD30E" w:rsidR="00D740FC" w:rsidRPr="00251BFA" w:rsidRDefault="000364B0" w:rsidP="00251BFA">
      <w:pPr>
        <w:spacing w:line="240" w:lineRule="auto"/>
        <w:ind w:firstLine="708"/>
        <w:jc w:val="both"/>
        <w:rPr>
          <w:rFonts w:ascii="Century Gothic" w:eastAsia="Calibri" w:hAnsi="Century Gothic" w:cs="Arial"/>
          <w:bCs/>
          <w:sz w:val="24"/>
          <w:szCs w:val="24"/>
        </w:rPr>
      </w:pPr>
      <w:r>
        <w:rPr>
          <w:rFonts w:ascii="Century Gothic" w:hAnsi="Century Gothic" w:cs="Arial"/>
          <w:sz w:val="24"/>
          <w:szCs w:val="24"/>
        </w:rPr>
        <w:t xml:space="preserve">9. </w:t>
      </w:r>
      <w:r w:rsidR="00D740FC" w:rsidRPr="00251BFA">
        <w:rPr>
          <w:rFonts w:ascii="Century Gothic" w:hAnsi="Century Gothic" w:cs="Arial"/>
          <w:sz w:val="24"/>
          <w:szCs w:val="24"/>
        </w:rPr>
        <w:t>Al caso,</w:t>
      </w:r>
      <w:r w:rsidR="00D740FC" w:rsidRPr="00251BFA">
        <w:rPr>
          <w:rFonts w:ascii="Century Gothic" w:hAnsi="Century Gothic" w:cs="Arial"/>
          <w:b/>
          <w:color w:val="000000"/>
          <w:sz w:val="24"/>
          <w:szCs w:val="24"/>
        </w:rPr>
        <w:t xml:space="preserve"> </w:t>
      </w:r>
      <w:r w:rsidR="00D740FC" w:rsidRPr="00251BFA">
        <w:rPr>
          <w:rFonts w:ascii="Century Gothic" w:hAnsi="Century Gothic" w:cs="Arial"/>
          <w:color w:val="000000"/>
          <w:sz w:val="24"/>
          <w:szCs w:val="24"/>
        </w:rPr>
        <w:t xml:space="preserve"> el agravio</w:t>
      </w:r>
      <w:r w:rsidR="00D740FC" w:rsidRPr="00251BFA">
        <w:rPr>
          <w:rFonts w:ascii="Century Gothic" w:hAnsi="Century Gothic" w:cs="Arial"/>
          <w:bCs/>
          <w:color w:val="000000"/>
          <w:sz w:val="24"/>
          <w:szCs w:val="24"/>
        </w:rPr>
        <w:t xml:space="preserve"> expuesto por el recurrente resulta </w:t>
      </w:r>
      <w:r w:rsidR="00D740FC" w:rsidRPr="00251BFA">
        <w:rPr>
          <w:rFonts w:ascii="Century Gothic" w:hAnsi="Century Gothic" w:cs="Arial"/>
          <w:b/>
          <w:color w:val="000000"/>
          <w:sz w:val="24"/>
          <w:szCs w:val="24"/>
        </w:rPr>
        <w:t xml:space="preserve">INOPERANTE, </w:t>
      </w:r>
      <w:r w:rsidR="00D740FC" w:rsidRPr="00251BFA">
        <w:rPr>
          <w:rFonts w:ascii="Century Gothic" w:hAnsi="Century Gothic" w:cs="Arial"/>
          <w:bCs/>
          <w:color w:val="000000"/>
          <w:sz w:val="24"/>
          <w:szCs w:val="24"/>
        </w:rPr>
        <w:t xml:space="preserve">ya que </w:t>
      </w:r>
      <w:r w:rsidR="00D740FC" w:rsidRPr="00251BFA">
        <w:rPr>
          <w:rFonts w:ascii="Century Gothic" w:eastAsia="Calibri" w:hAnsi="Century Gothic" w:cs="Arial"/>
          <w:bCs/>
          <w:sz w:val="24"/>
          <w:szCs w:val="24"/>
        </w:rPr>
        <w:t xml:space="preserve">no basta que exprese de forma genérica y abstracta que en la sentencia en estudio se incurrió en indebida fundamentación y motivación, sino que debe </w:t>
      </w:r>
      <w:r w:rsidR="00D740FC" w:rsidRPr="00251BFA">
        <w:rPr>
          <w:rFonts w:ascii="Century Gothic" w:hAnsi="Century Gothic" w:cs="Arial"/>
          <w:sz w:val="24"/>
          <w:szCs w:val="24"/>
        </w:rPr>
        <w:t xml:space="preserve">exponer en forma precisa y razonada, los motivos concretos en los que explique el porqué de sus aseveraciones; es decir, debe </w:t>
      </w:r>
      <w:r w:rsidR="00D740FC" w:rsidRPr="00251BFA">
        <w:rPr>
          <w:rFonts w:ascii="Century Gothic" w:eastAsia="Calibri" w:hAnsi="Century Gothic" w:cs="Arial"/>
          <w:bCs/>
          <w:sz w:val="24"/>
          <w:szCs w:val="24"/>
        </w:rPr>
        <w:t xml:space="preserve">señalar cual es el pronunciamiento específico de la sentencia en la que se incurrió en indebida fundamentación y motivación y relacionar sus razones de disenso con el perjuicio que se le cause, </w:t>
      </w:r>
      <w:r w:rsidR="00D740FC" w:rsidRPr="00251BFA">
        <w:rPr>
          <w:rFonts w:ascii="Century Gothic" w:hAnsi="Century Gothic" w:cs="Arial"/>
          <w:sz w:val="24"/>
          <w:szCs w:val="24"/>
          <w:shd w:val="clear" w:color="auto" w:fill="FFFFFF"/>
        </w:rPr>
        <w:t xml:space="preserve">pues es obvio que el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recurrida con base en tales manifestaciones; consecuentemente, al no controvertir </w:t>
      </w:r>
      <w:r w:rsidR="00D740FC" w:rsidRPr="00251BFA">
        <w:rPr>
          <w:rFonts w:ascii="Century Gothic" w:eastAsia="Calibri" w:hAnsi="Century Gothic" w:cs="Arial"/>
          <w:bCs/>
          <w:sz w:val="24"/>
          <w:szCs w:val="24"/>
        </w:rPr>
        <w:t xml:space="preserve">de forma adecuada los fundamentos legales y las consideraciones de la primera instancia plasmadas en la sentencia impugnada, es que resulta </w:t>
      </w:r>
      <w:r w:rsidR="00D740FC" w:rsidRPr="00251BFA">
        <w:rPr>
          <w:rFonts w:ascii="Century Gothic" w:eastAsia="Calibri" w:hAnsi="Century Gothic" w:cs="Arial"/>
          <w:b/>
          <w:sz w:val="24"/>
          <w:szCs w:val="24"/>
        </w:rPr>
        <w:t>inoperante</w:t>
      </w:r>
      <w:r w:rsidR="00D740FC" w:rsidRPr="00251BFA">
        <w:rPr>
          <w:rFonts w:ascii="Century Gothic" w:eastAsia="Calibri" w:hAnsi="Century Gothic" w:cs="Arial"/>
          <w:bCs/>
          <w:sz w:val="24"/>
          <w:szCs w:val="24"/>
        </w:rPr>
        <w:t xml:space="preserve"> lo alegado por el recurrente en el agravio analizado. </w:t>
      </w:r>
    </w:p>
    <w:p w14:paraId="0FA069BA" w14:textId="62090F4B" w:rsidR="00D740FC" w:rsidRPr="00251BFA" w:rsidRDefault="000364B0" w:rsidP="00251BFA">
      <w:pPr>
        <w:spacing w:line="240" w:lineRule="auto"/>
        <w:ind w:firstLine="708"/>
        <w:jc w:val="both"/>
        <w:rPr>
          <w:rFonts w:ascii="Century Gothic" w:hAnsi="Century Gothic" w:cs="Calibri"/>
          <w:color w:val="212529"/>
          <w:sz w:val="24"/>
          <w:szCs w:val="24"/>
        </w:rPr>
      </w:pPr>
      <w:r>
        <w:rPr>
          <w:rFonts w:ascii="Century Gothic" w:eastAsia="Calibri" w:hAnsi="Century Gothic" w:cs="Arial"/>
          <w:bCs/>
          <w:sz w:val="24"/>
          <w:szCs w:val="24"/>
        </w:rPr>
        <w:t xml:space="preserve">10. </w:t>
      </w:r>
      <w:r w:rsidR="00D740FC" w:rsidRPr="00251BFA">
        <w:rPr>
          <w:rFonts w:ascii="Century Gothic" w:eastAsia="Calibri" w:hAnsi="Century Gothic" w:cs="Arial"/>
          <w:bCs/>
          <w:sz w:val="24"/>
          <w:szCs w:val="24"/>
        </w:rPr>
        <w:t xml:space="preserve">Es aplicable por analogía la Jurisprudencia en materia común, de la novena época, número I.11o. </w:t>
      </w:r>
      <w:proofErr w:type="gramStart"/>
      <w:r w:rsidR="00D740FC" w:rsidRPr="00251BFA">
        <w:rPr>
          <w:rFonts w:ascii="Century Gothic" w:eastAsia="Calibri" w:hAnsi="Century Gothic" w:cs="Arial"/>
          <w:bCs/>
          <w:sz w:val="24"/>
          <w:szCs w:val="24"/>
        </w:rPr>
        <w:t>C.J</w:t>
      </w:r>
      <w:proofErr w:type="gramEnd"/>
      <w:r w:rsidR="00D740FC" w:rsidRPr="00251BFA">
        <w:rPr>
          <w:rFonts w:ascii="Century Gothic" w:eastAsia="Calibri" w:hAnsi="Century Gothic" w:cs="Arial"/>
          <w:bCs/>
          <w:sz w:val="24"/>
          <w:szCs w:val="24"/>
        </w:rPr>
        <w:t xml:space="preserve">/5, con número de registro 176045, de los Tribunales Colegiados de Circuito, publicado en el Semanario Judicial de la Federación y su Gaceta, en el Tomo XXIII, febrero de 2006, visible a página 1600, de rubro y texto siguiente: </w:t>
      </w:r>
    </w:p>
    <w:p w14:paraId="1804BAE5" w14:textId="77777777" w:rsidR="00D740FC" w:rsidRPr="00251BFA" w:rsidRDefault="00D740FC" w:rsidP="00251BFA">
      <w:pPr>
        <w:pStyle w:val="NormalWeb"/>
        <w:shd w:val="clear" w:color="auto" w:fill="FFFFFF"/>
        <w:spacing w:beforeAutospacing="0" w:after="240" w:afterAutospacing="0"/>
        <w:ind w:left="567" w:right="616"/>
        <w:jc w:val="both"/>
        <w:rPr>
          <w:rFonts w:ascii="Century Gothic" w:hAnsi="Century Gothic" w:cs="Calibri"/>
          <w:b/>
          <w:bCs/>
        </w:rPr>
      </w:pPr>
      <w:r w:rsidRPr="00251BFA">
        <w:rPr>
          <w:rFonts w:ascii="Century Gothic" w:hAnsi="Century Gothic" w:cs="Calibri"/>
          <w:b/>
          <w:bCs/>
        </w:rPr>
        <w:lastRenderedPageBreak/>
        <w:t xml:space="preserve">“AGRAVIOS INOPERANTES EN LA REVISIÓN. LO SON LAS SIMPLES EXPRESIONES GENÉRICAS Y ABSTRACTAS CUANDO NO PROCEDE LA SUPLENCIA DE LA QUEJA DEFICIENTE. </w:t>
      </w:r>
      <w:r w:rsidRPr="00251BFA">
        <w:rPr>
          <w:rFonts w:ascii="Century Gothic" w:hAnsi="Century Gothic" w:cs="Calibri"/>
        </w:rPr>
        <w:t>Si no se está en el caso de suplir la deficiencia de los agravios en términos del artículo </w:t>
      </w:r>
      <w:hyperlink r:id="rId8" w:history="1">
        <w:r w:rsidRPr="00251BFA">
          <w:rPr>
            <w:rStyle w:val="Hipervnculo"/>
            <w:rFonts w:ascii="Century Gothic" w:hAnsi="Century Gothic" w:cs="Calibri"/>
            <w:color w:val="auto"/>
            <w:u w:val="none"/>
          </w:rPr>
          <w:t>76 Bis, fracción VI, de la Ley de Amparo</w:t>
        </w:r>
      </w:hyperlink>
      <w:r w:rsidRPr="00251BFA">
        <w:rPr>
          <w:rFonts w:ascii="Century Gothic" w:hAnsi="Century Gothic" w:cs="Calibri"/>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251BFA">
        <w:rPr>
          <w:rFonts w:ascii="Century Gothic" w:hAnsi="Century Gothic" w:cs="Calibri"/>
          <w:b/>
          <w:bCs/>
        </w:rPr>
        <w:t>”</w:t>
      </w:r>
    </w:p>
    <w:p w14:paraId="18D1A225" w14:textId="22FF434E" w:rsidR="00D740FC" w:rsidRPr="00251BFA" w:rsidRDefault="000364B0" w:rsidP="00251BFA">
      <w:pPr>
        <w:spacing w:before="240" w:line="240" w:lineRule="auto"/>
        <w:ind w:firstLine="708"/>
        <w:jc w:val="both"/>
        <w:rPr>
          <w:rFonts w:ascii="Century Gothic" w:hAnsi="Century Gothic" w:cs="Arial"/>
          <w:sz w:val="24"/>
          <w:szCs w:val="24"/>
        </w:rPr>
      </w:pPr>
      <w:r>
        <w:rPr>
          <w:rFonts w:ascii="Century Gothic" w:eastAsia="Calibri" w:hAnsi="Century Gothic" w:cs="Arial"/>
          <w:sz w:val="24"/>
          <w:szCs w:val="24"/>
        </w:rPr>
        <w:t xml:space="preserve">11. </w:t>
      </w:r>
      <w:r w:rsidR="005F5FDD">
        <w:rPr>
          <w:rFonts w:ascii="Century Gothic" w:eastAsia="Calibri" w:hAnsi="Century Gothic" w:cs="Arial"/>
          <w:sz w:val="24"/>
          <w:szCs w:val="24"/>
        </w:rPr>
        <w:t xml:space="preserve">De igual forma, </w:t>
      </w:r>
      <w:r w:rsidR="005F5FDD" w:rsidRPr="00843D37">
        <w:rPr>
          <w:rFonts w:ascii="Century Gothic" w:eastAsia="Calibri" w:hAnsi="Century Gothic" w:cs="Arial"/>
          <w:sz w:val="24"/>
          <w:szCs w:val="24"/>
          <w:shd w:val="clear" w:color="auto" w:fill="FFFFFF" w:themeFill="background1"/>
        </w:rPr>
        <w:t xml:space="preserve">resulta </w:t>
      </w:r>
      <w:r w:rsidR="00D740FC" w:rsidRPr="00843D37">
        <w:rPr>
          <w:rFonts w:ascii="Century Gothic" w:hAnsi="Century Gothic" w:cs="Arial"/>
          <w:b/>
          <w:bCs/>
          <w:sz w:val="24"/>
          <w:szCs w:val="24"/>
          <w:shd w:val="clear" w:color="auto" w:fill="FFFFFF" w:themeFill="background1"/>
        </w:rPr>
        <w:t>INFUNDADO</w:t>
      </w:r>
      <w:r w:rsidR="00D740FC" w:rsidRPr="00843D37">
        <w:rPr>
          <w:rFonts w:ascii="Century Gothic" w:hAnsi="Century Gothic" w:cs="Arial"/>
          <w:sz w:val="24"/>
          <w:szCs w:val="24"/>
          <w:shd w:val="clear" w:color="auto" w:fill="FFFFFF" w:themeFill="background1"/>
        </w:rPr>
        <w:t xml:space="preserve"> el agravio anterior, </w:t>
      </w:r>
      <w:r w:rsidR="00D740FC" w:rsidRPr="00843D37">
        <w:rPr>
          <w:rFonts w:ascii="Century Gothic" w:eastAsia="Calibri" w:hAnsi="Century Gothic" w:cs="Arial"/>
          <w:bCs/>
          <w:sz w:val="24"/>
          <w:szCs w:val="24"/>
          <w:shd w:val="clear" w:color="auto" w:fill="FFFFFF" w:themeFill="background1"/>
        </w:rPr>
        <w:t xml:space="preserve">en razón del análisis de </w:t>
      </w:r>
      <w:r w:rsidR="00D740FC" w:rsidRPr="00843D37">
        <w:rPr>
          <w:rFonts w:ascii="Century Gothic" w:hAnsi="Century Gothic" w:cs="Arial"/>
          <w:sz w:val="24"/>
          <w:szCs w:val="24"/>
          <w:shd w:val="clear" w:color="auto" w:fill="FFFFFF" w:themeFill="background1"/>
        </w:rPr>
        <w:t xml:space="preserve">las constancias de autos que fueron remitidas para la substanciación del presente asunto, con valor probatorio pleno conforme lo dispuesto por el artículo 203, fracción I, de la Ley de Procedimiento, por tratarse de actuaciones judiciales; que de las fojas </w:t>
      </w:r>
      <w:r w:rsidR="009F2380" w:rsidRPr="00843D37">
        <w:rPr>
          <w:rFonts w:ascii="Century Gothic" w:hAnsi="Century Gothic" w:cs="Arial"/>
          <w:sz w:val="24"/>
          <w:szCs w:val="24"/>
          <w:shd w:val="clear" w:color="auto" w:fill="FFFFFF" w:themeFill="background1"/>
        </w:rPr>
        <w:t xml:space="preserve">noventa y cinco a </w:t>
      </w:r>
      <w:r w:rsidR="00D740FC" w:rsidRPr="00843D37">
        <w:rPr>
          <w:rFonts w:ascii="Century Gothic" w:hAnsi="Century Gothic" w:cs="Arial"/>
          <w:sz w:val="24"/>
          <w:szCs w:val="24"/>
          <w:shd w:val="clear" w:color="auto" w:fill="FFFFFF" w:themeFill="background1"/>
        </w:rPr>
        <w:t xml:space="preserve">la foja </w:t>
      </w:r>
      <w:r w:rsidR="009F2380" w:rsidRPr="00843D37">
        <w:rPr>
          <w:rFonts w:ascii="Century Gothic" w:hAnsi="Century Gothic" w:cs="Arial"/>
          <w:sz w:val="24"/>
          <w:szCs w:val="24"/>
          <w:shd w:val="clear" w:color="auto" w:fill="FFFFFF" w:themeFill="background1"/>
        </w:rPr>
        <w:t>noventa y nueve</w:t>
      </w:r>
      <w:r w:rsidR="00D740FC" w:rsidRPr="00843D37">
        <w:rPr>
          <w:rFonts w:ascii="Century Gothic" w:hAnsi="Century Gothic" w:cs="Arial"/>
          <w:sz w:val="24"/>
          <w:szCs w:val="24"/>
          <w:shd w:val="clear" w:color="auto" w:fill="FFFFFF" w:themeFill="background1"/>
        </w:rPr>
        <w:t xml:space="preserve">, se advierte la sentencia impugnada en cuya parte que interesa del considerando cuarto, </w:t>
      </w:r>
      <w:r w:rsidR="00503A6E" w:rsidRPr="00843D37">
        <w:rPr>
          <w:rFonts w:ascii="Century Gothic" w:hAnsi="Century Gothic" w:cs="Arial"/>
          <w:sz w:val="24"/>
          <w:szCs w:val="24"/>
          <w:shd w:val="clear" w:color="auto" w:fill="FFFFFF" w:themeFill="background1"/>
        </w:rPr>
        <w:t xml:space="preserve">el Magistrado </w:t>
      </w:r>
      <w:r w:rsidR="00D740FC" w:rsidRPr="00843D37">
        <w:rPr>
          <w:rFonts w:ascii="Century Gothic" w:hAnsi="Century Gothic" w:cs="Arial"/>
          <w:sz w:val="24"/>
          <w:szCs w:val="24"/>
          <w:shd w:val="clear" w:color="auto" w:fill="FFFFFF" w:themeFill="background1"/>
        </w:rPr>
        <w:t xml:space="preserve">de la </w:t>
      </w:r>
      <w:r w:rsidR="009F2380" w:rsidRPr="00843D37">
        <w:rPr>
          <w:rFonts w:ascii="Century Gothic" w:hAnsi="Century Gothic" w:cs="Arial"/>
          <w:sz w:val="24"/>
          <w:szCs w:val="24"/>
          <w:shd w:val="clear" w:color="auto" w:fill="FFFFFF" w:themeFill="background1"/>
        </w:rPr>
        <w:t>Segunda</w:t>
      </w:r>
      <w:r w:rsidR="00D740FC" w:rsidRPr="00843D37">
        <w:rPr>
          <w:rFonts w:ascii="Century Gothic" w:hAnsi="Century Gothic" w:cs="Arial"/>
          <w:sz w:val="24"/>
          <w:szCs w:val="24"/>
          <w:shd w:val="clear" w:color="auto" w:fill="FFFFFF" w:themeFill="background1"/>
        </w:rPr>
        <w:t xml:space="preserve"> Sala Unitaria de Primera Instancia determinó lo siguiente:</w:t>
      </w:r>
      <w:r w:rsidR="00D740FC" w:rsidRPr="00251BFA">
        <w:rPr>
          <w:rFonts w:ascii="Century Gothic" w:hAnsi="Century Gothic" w:cs="Arial"/>
          <w:sz w:val="24"/>
          <w:szCs w:val="24"/>
        </w:rPr>
        <w:t xml:space="preserve"> </w:t>
      </w:r>
    </w:p>
    <w:p w14:paraId="6F15E222" w14:textId="7126637A"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
          <w:i/>
          <w:lang w:val="es-ES" w:eastAsia="es-ES"/>
        </w:rPr>
        <w:t xml:space="preserve">“CUARTO. ESTUDIO DE FONDO. </w:t>
      </w:r>
      <w:r w:rsidRPr="005F5FDD">
        <w:rPr>
          <w:rFonts w:ascii="Century Gothic" w:eastAsia="Times New Roman" w:hAnsi="Century Gothic" w:cs="Arial"/>
          <w:bCs/>
          <w:i/>
          <w:lang w:val="es-ES" w:eastAsia="es-ES"/>
        </w:rPr>
        <w:t xml:space="preserve">Al analizar si en la especie, se actualiza la figura de la negativa ficta, respecto de la solicitud realizada por el accionante, a través de su escrito sin fecha, recibido el tres de junio de dos mil veintiuno (foja 11), documental que adquiere valor probatorio indiciario en términos del artículo 203 fracción II de la Ley de Procedimiento y Justicia Administrativa para el Estado de Oaxaca, mediante el cual el actor solicitó que a su constancia de continuidad de servicios, se le contabilizaran los diversos nombramientos expuestos en su escrito de petición. </w:t>
      </w:r>
    </w:p>
    <w:p w14:paraId="35912BE3" w14:textId="77777777"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Para ello, es menester clarificar que para que se configure una negativa ficta, se debe de reunir los siguientes requisitos:</w:t>
      </w:r>
    </w:p>
    <w:p w14:paraId="1D4D6EEC"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La existencia de una petición de un particular a la autoridad demandada. </w:t>
      </w:r>
    </w:p>
    <w:p w14:paraId="3EA503D7"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La inactividad de la autoridad ante quien se presentó la solicitud.</w:t>
      </w:r>
    </w:p>
    <w:p w14:paraId="5B911A1B"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El transcurso del plazo previsto en la ley de la materia, o en su caso, noventa días naturales que alude el artículo 133 fracción V de la Ley de Procedimiento y Justicia Administrativa para el Estado de Oaxaca.</w:t>
      </w:r>
    </w:p>
    <w:p w14:paraId="68A37731"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La presunción de una resolución denegatoria. </w:t>
      </w:r>
    </w:p>
    <w:p w14:paraId="62207687"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La posibilidad de deducir el recurso o la pretensión procesal frente a la denegación presunta o negativa ficta. </w:t>
      </w:r>
    </w:p>
    <w:p w14:paraId="1270102F" w14:textId="77777777" w:rsidR="009F2380" w:rsidRPr="005F5FDD" w:rsidRDefault="009F2380" w:rsidP="003C2164">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La no exclusión del deber de resolver por parte de la autoridad a quien se dirigió la petición.</w:t>
      </w:r>
    </w:p>
    <w:p w14:paraId="0434D593" w14:textId="615112F3" w:rsidR="009F2380" w:rsidRPr="009E7198" w:rsidRDefault="009F2380" w:rsidP="009E7198">
      <w:pPr>
        <w:pStyle w:val="Prrafodelista"/>
        <w:widowControl w:val="0"/>
        <w:numPr>
          <w:ilvl w:val="0"/>
          <w:numId w:val="19"/>
        </w:numPr>
        <w:spacing w:line="240" w:lineRule="auto"/>
        <w:ind w:left="426" w:right="425"/>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El derecho del peticionario de impugnar la resolución negativa ficta en cualquier tiempo posterior al vencimiento del plazo dispuesto en la ley para su configuración, mientras no se dicte el acto expreso.</w:t>
      </w:r>
    </w:p>
    <w:p w14:paraId="79F2094B" w14:textId="22EE9D3B"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Sirve de apoyo a lo anterior, la jurisprudencia bajo el rubro siguiente: </w:t>
      </w:r>
    </w:p>
    <w:p w14:paraId="555B787B" w14:textId="77777777" w:rsidR="009F2380" w:rsidRPr="005F5FDD" w:rsidRDefault="009F2380" w:rsidP="003C2164">
      <w:pPr>
        <w:widowControl w:val="0"/>
        <w:spacing w:line="240" w:lineRule="auto"/>
        <w:ind w:left="426" w:right="425" w:firstLine="567"/>
        <w:jc w:val="both"/>
        <w:rPr>
          <w:rFonts w:ascii="Century Gothic" w:eastAsia="Times New Roman" w:hAnsi="Century Gothic" w:cs="Arial"/>
          <w:b/>
          <w:i/>
          <w:iCs/>
          <w:lang w:val="es-ES" w:eastAsia="es-ES"/>
        </w:rPr>
      </w:pPr>
      <w:r w:rsidRPr="005F5FDD">
        <w:rPr>
          <w:rFonts w:ascii="Century Gothic" w:eastAsia="Times New Roman" w:hAnsi="Century Gothic" w:cs="Arial"/>
          <w:b/>
          <w:i/>
          <w:iCs/>
          <w:lang w:val="es-ES" w:eastAsia="es-ES"/>
        </w:rPr>
        <w:t xml:space="preserve">“NEGATIVA FICTA. LA DEMANDA DE NULIDAD EN SU CONTRA PUEDE PRESENTARSE EN CUALQUIER TIEMPO POSTERIOR A SU CONFIGURACIÓN, MIENTRAS NO SE NOTIFIQUE AL ADMINISTRADO LA RESOLUCIÓN EXPRESA </w:t>
      </w:r>
      <w:r w:rsidRPr="005F5FDD">
        <w:rPr>
          <w:rFonts w:ascii="Century Gothic" w:eastAsia="Times New Roman" w:hAnsi="Century Gothic" w:cs="Arial"/>
          <w:b/>
          <w:i/>
          <w:iCs/>
          <w:lang w:val="es-ES" w:eastAsia="es-ES"/>
        </w:rPr>
        <w:lastRenderedPageBreak/>
        <w:t xml:space="preserve">(LEY DE JUSTICIA ADMINISTRATIVA PARA EL ESTADO DE NUEVO LEÓN).” </w:t>
      </w:r>
      <w:r w:rsidRPr="005F5FDD">
        <w:rPr>
          <w:rFonts w:ascii="Century Gothic" w:eastAsia="Times New Roman" w:hAnsi="Century Gothic" w:cs="Arial"/>
          <w:bCs/>
          <w:i/>
          <w:iCs/>
          <w:lang w:val="es-ES" w:eastAsia="es-ES"/>
        </w:rPr>
        <w:t>(…)</w:t>
      </w:r>
    </w:p>
    <w:p w14:paraId="3129F8CD" w14:textId="77777777" w:rsidR="009F2380" w:rsidRPr="005F5FDD" w:rsidRDefault="009F2380" w:rsidP="003C2164">
      <w:pPr>
        <w:widowControl w:val="0"/>
        <w:spacing w:after="0" w:line="240" w:lineRule="auto"/>
        <w:ind w:left="426" w:right="425" w:firstLine="567"/>
        <w:jc w:val="both"/>
        <w:rPr>
          <w:rFonts w:ascii="Century Gothic" w:eastAsia="Times New Roman" w:hAnsi="Century Gothic" w:cs="Arial"/>
          <w:bCs/>
          <w:i/>
          <w:lang w:val="es-ES" w:eastAsia="es-ES"/>
        </w:rPr>
      </w:pPr>
    </w:p>
    <w:p w14:paraId="323A9C73" w14:textId="52C0E21C" w:rsidR="009F2380" w:rsidRPr="005F5FDD" w:rsidRDefault="000364B0" w:rsidP="003C2164">
      <w:pPr>
        <w:widowControl w:val="0"/>
        <w:spacing w:line="240" w:lineRule="auto"/>
        <w:ind w:left="426" w:right="425" w:firstLine="567"/>
        <w:jc w:val="both"/>
        <w:rPr>
          <w:rFonts w:ascii="Century Gothic" w:eastAsia="Times New Roman" w:hAnsi="Century Gothic" w:cs="Arial"/>
          <w:bCs/>
          <w:i/>
          <w:lang w:val="es-ES" w:eastAsia="es-ES"/>
        </w:rPr>
      </w:pPr>
      <w:r>
        <w:rPr>
          <w:rFonts w:ascii="Century Gothic" w:eastAsia="Times New Roman" w:hAnsi="Century Gothic" w:cs="Arial"/>
          <w:bCs/>
          <w:i/>
          <w:lang w:val="es-ES" w:eastAsia="es-ES"/>
        </w:rPr>
        <w:t xml:space="preserve"> </w:t>
      </w:r>
      <w:r w:rsidR="009F2380" w:rsidRPr="005F5FDD">
        <w:rPr>
          <w:rFonts w:ascii="Century Gothic" w:eastAsia="Times New Roman" w:hAnsi="Century Gothic" w:cs="Arial"/>
          <w:bCs/>
          <w:i/>
          <w:lang w:val="es-ES" w:eastAsia="es-ES"/>
        </w:rPr>
        <w:t>La autoridad demandada Director de Recursos Humanos de la Secretaría de Administración del Gobierno del Estado de Oaxaca, en su escrito de contestación de demanda (fojas 44 a 50), manifiesta que le dio contestación al escrito sin fecha, recibido el tres de junio de dos mil veintiuno, toda vez que se volvió a expedirle su constancia de continuidad, de fecha siete de junio de dos mil veintiuno; sin embargo, al momento de que el actor recogió su constancia, se negó a firmar de recibido, por no convenir a sus intereses y dejando la constancia en manos de quién lo atendió.</w:t>
      </w:r>
    </w:p>
    <w:p w14:paraId="0D90C8AA" w14:textId="5305EBB9"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Posteriormente, manifiesta que el actor acudió de forma personal y espontanea a las oficinas que ocupa la autoridad demandada, donde nuevamente presentó un escrito, anexando diversas documentales, a las cuales la autoridad demandada le expresó que únicamente se agregarían a su solicitud, dado que el trámite solicitado por el actor ya había concluido, por lo que esa autoridad demandada estima que sí se le dio respuesta a su escrito de petición. </w:t>
      </w:r>
    </w:p>
    <w:p w14:paraId="066ECFEB" w14:textId="12F9903C"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Atento a lo anterior, y al realizar un análisis a las constancias que obran en el presente expediente, no se advierte que la autoridad demandada haya anexado por escrito oficio alguno en el que se le dijera si procedía o no la expedición de su constancia de continuidad, añadiendo los nombramientos que el actor refirió en su escrito de petición, por lo que no se puede corroborar la veracidad de la afirmación aducida por la autoridad demandada. </w:t>
      </w:r>
    </w:p>
    <w:p w14:paraId="642B19A6" w14:textId="6548463E"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Por tanto, si la autoridad demandada argumentó que dio respuesta al escrito presentado por el actor, le correspondía a la autoridad demandada probar la existencia de la respuesta a la solicitud del accionante, debiendo ofrecer prueba idónea con la que acreditara su afirmación, atento a los principios lógicos y ontológicos que rigen los principios probatorios, específicamente el principio ontológico que reza: </w:t>
      </w:r>
      <w:r w:rsidRPr="005F5FDD">
        <w:rPr>
          <w:rFonts w:ascii="Century Gothic" w:eastAsia="Times New Roman" w:hAnsi="Century Gothic" w:cs="Arial"/>
          <w:bCs/>
          <w:i/>
          <w:iCs/>
          <w:lang w:val="es-ES" w:eastAsia="es-ES"/>
        </w:rPr>
        <w:t>“lo ordinario se presume, lo extraordinario se prueba”</w:t>
      </w:r>
      <w:r w:rsidRPr="005F5FDD">
        <w:rPr>
          <w:rFonts w:ascii="Century Gothic" w:eastAsia="Times New Roman" w:hAnsi="Century Gothic" w:cs="Arial"/>
          <w:bCs/>
          <w:i/>
          <w:lang w:val="es-ES" w:eastAsia="es-ES"/>
        </w:rPr>
        <w:t xml:space="preserve">, y aplicándolo al caso concreto, que dio respuesta por escrito, haciéndole de su conocimiento de los motivos por los cuales procedía o no, dependiendo del caso, la expedición de la constancia de continuidad solicitada añadiendo los nombramientos que el actor hace referencia en su escrito de petición. </w:t>
      </w:r>
    </w:p>
    <w:p w14:paraId="6483E6BF" w14:textId="7FFF6E74"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Sirve de sustento a lo anterior la tesis bajo el rubro y texto siguiente:</w:t>
      </w:r>
    </w:p>
    <w:p w14:paraId="33380760" w14:textId="77777777" w:rsidR="009F2380" w:rsidRPr="005F5FDD" w:rsidRDefault="009F2380" w:rsidP="003C2164">
      <w:pPr>
        <w:widowControl w:val="0"/>
        <w:spacing w:line="240" w:lineRule="auto"/>
        <w:ind w:left="426" w:right="425" w:firstLine="567"/>
        <w:jc w:val="both"/>
        <w:rPr>
          <w:rFonts w:ascii="Century Gothic" w:eastAsia="Times New Roman" w:hAnsi="Century Gothic" w:cs="Arial"/>
          <w:b/>
          <w:i/>
          <w:iCs/>
          <w:lang w:val="es-ES" w:eastAsia="es-ES"/>
        </w:rPr>
      </w:pPr>
      <w:r w:rsidRPr="005F5FDD">
        <w:rPr>
          <w:rFonts w:ascii="Century Gothic" w:eastAsia="Times New Roman" w:hAnsi="Century Gothic" w:cs="Arial"/>
          <w:b/>
          <w:i/>
          <w:iCs/>
          <w:lang w:val="es-ES" w:eastAsia="es-ES"/>
        </w:rPr>
        <w:t>“CARGA DE LA PRUEBA. SU DISTRIBUCIÓN A PARTIR DE LOS PRINCIPIOS LÓGICO Y ONTOLÓGICO.”</w:t>
      </w:r>
    </w:p>
    <w:p w14:paraId="4CFADF32" w14:textId="73790215"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De igual forma sirve de sustento la tesis del rubro y texto siguiente:</w:t>
      </w:r>
    </w:p>
    <w:p w14:paraId="4F515023" w14:textId="77777777"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
          <w:i/>
          <w:lang w:val="es-ES" w:eastAsia="es-ES"/>
        </w:rPr>
        <w:t>“</w:t>
      </w:r>
      <w:r w:rsidRPr="005F5FDD">
        <w:rPr>
          <w:rFonts w:ascii="Century Gothic" w:eastAsia="Times New Roman" w:hAnsi="Century Gothic" w:cs="Arial"/>
          <w:b/>
          <w:i/>
          <w:iCs/>
          <w:lang w:val="es-ES" w:eastAsia="es-ES"/>
        </w:rPr>
        <w:t>PRUEBA CARGA DE LA.”</w:t>
      </w:r>
    </w:p>
    <w:p w14:paraId="7D7C39C9" w14:textId="556B3DA5"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Con base en los anteriores criterios aplicados al caso que nos ocupa, obligan a la autoridad demandada a haber ofrecido la prueba idónea para que se llegara a la verdad objetiva, en su caso de que la autoridad demandada sí dio respuesta al escrito de petición del actor en el presente juicio, por lo que al no haber anexado prueba alguna con la cual se corroborara el dicho de la autoridad demandada, su aseveración resulta carente de sustento y de veracidad, Maxime que con la exhibición de la constancia de continuidad, de fecha siete de junio de dos mil veintidós (foja 53), documental que adquiere valor probatorio pleno en términos del artículo 203 fracción I de la Ley de </w:t>
      </w:r>
      <w:r w:rsidRPr="005F5FDD">
        <w:rPr>
          <w:rFonts w:ascii="Century Gothic" w:eastAsia="Times New Roman" w:hAnsi="Century Gothic" w:cs="Arial"/>
          <w:bCs/>
          <w:i/>
          <w:lang w:val="es-ES" w:eastAsia="es-ES"/>
        </w:rPr>
        <w:lastRenderedPageBreak/>
        <w:t xml:space="preserve">Procedimiento y Justicia Administrativa para el Estado de Oaxaca, resulta insuficiente para probar que con esa constancia de continuidad se le dio respuesta exhaustiva al escrito de petición del actor. </w:t>
      </w:r>
    </w:p>
    <w:p w14:paraId="00D47E8A" w14:textId="77777777" w:rsidR="009E7198" w:rsidRDefault="009F2380" w:rsidP="009E7198">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En consecuencia, es dable concluir que la autoridad demandada no dio respuesta al escrito de petición sin fecha y recibido el tres de junio de dos mil veintiuno, signado por el actor.</w:t>
      </w:r>
    </w:p>
    <w:p w14:paraId="21765D39" w14:textId="2F30DE7F" w:rsidR="009F2380" w:rsidRPr="005F5FDD" w:rsidRDefault="009F2380" w:rsidP="009E7198">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En ese sentido, al no existir respuesta al escrito de petición, se advierte la existencia del acto impugnado, por lo que el haber transcurrido más de noventa días sin que se diera respuesta al escrito de solicitud del actor dirigida al Director de Recursos Humanos de la Secretaría de Administración del Gobierno del Estado de Oaxaca, se presume una resolución en sentido negativo, la cual puede ser impugnada, toda vez que no hay acto expreso de la autoridad dentro del lapso de la solicitud y la presentación de la demanda ante este Tribunal en la que dé a conocer la determinación o postura emitida por la autoridad de referencia; por tanto, dicha circunstancia es advertida por esta Sala Unitaria, máxime que la autoridad demandada en su escrito de contestación a la demanda no probó que le haya dado respuesta al accionante; de ahí que es incuestionable que se </w:t>
      </w:r>
      <w:r w:rsidRPr="005F5FDD">
        <w:rPr>
          <w:rFonts w:ascii="Century Gothic" w:eastAsia="Times New Roman" w:hAnsi="Century Gothic" w:cs="Arial"/>
          <w:b/>
          <w:i/>
          <w:lang w:val="es-ES" w:eastAsia="es-ES"/>
        </w:rPr>
        <w:t>CONFIGURA LA NEGATIVA FICTA</w:t>
      </w:r>
      <w:r w:rsidRPr="005F5FDD">
        <w:rPr>
          <w:rFonts w:ascii="Century Gothic" w:eastAsia="Times New Roman" w:hAnsi="Century Gothic" w:cs="Arial"/>
          <w:bCs/>
          <w:i/>
          <w:lang w:val="es-ES" w:eastAsia="es-ES"/>
        </w:rPr>
        <w:t xml:space="preserve"> conforme a lo dispuesto por el artículo 133 fracción V de la Ley de Procedimiento y Justicia Administrativa para el Estado de Oaxaca.</w:t>
      </w:r>
    </w:p>
    <w:p w14:paraId="54E30502" w14:textId="7B607355"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Por ello, dada la naturaleza de la negativa ficta, acto en el cual no se comunicó de forma expresa o escrita donde se pudiera apreciar la fundamentación y motivación de las razones por las cuales la autoridad demandada negó la petición planteada, es jurídicamente válido referirse a esa negativa ficta como un acto que carece completamente de fundamentación y motivación.</w:t>
      </w:r>
    </w:p>
    <w:p w14:paraId="24440B80" w14:textId="312B77FE"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 xml:space="preserve">Por tanto, el concepto de impugnación </w:t>
      </w:r>
      <w:r w:rsidRPr="005F5FDD">
        <w:rPr>
          <w:rFonts w:ascii="Century Gothic" w:eastAsia="Times New Roman" w:hAnsi="Century Gothic" w:cs="Arial"/>
          <w:b/>
          <w:i/>
          <w:lang w:val="es-ES" w:eastAsia="es-ES"/>
        </w:rPr>
        <w:t>PRIMERO</w:t>
      </w:r>
      <w:r w:rsidRPr="005F5FDD">
        <w:rPr>
          <w:rFonts w:ascii="Century Gothic" w:eastAsia="Times New Roman" w:hAnsi="Century Gothic" w:cs="Arial"/>
          <w:bCs/>
          <w:i/>
          <w:lang w:val="es-ES" w:eastAsia="es-ES"/>
        </w:rPr>
        <w:t xml:space="preserve"> hecho valer por el actor en su escrito de demanda resulta </w:t>
      </w:r>
      <w:r w:rsidRPr="005F5FDD">
        <w:rPr>
          <w:rFonts w:ascii="Century Gothic" w:eastAsia="Times New Roman" w:hAnsi="Century Gothic" w:cs="Arial"/>
          <w:b/>
          <w:i/>
          <w:lang w:val="es-ES" w:eastAsia="es-ES"/>
        </w:rPr>
        <w:t>FUNDADO</w:t>
      </w:r>
      <w:r w:rsidRPr="005F5FDD">
        <w:rPr>
          <w:rFonts w:ascii="Century Gothic" w:eastAsia="Times New Roman" w:hAnsi="Century Gothic" w:cs="Arial"/>
          <w:bCs/>
          <w:i/>
          <w:lang w:val="es-ES" w:eastAsia="es-ES"/>
        </w:rPr>
        <w:t xml:space="preserve">, en el sentido de que la negativa ficta emitida por la autoridad demandada, no contiene fundamentación y motivación; en consecuencia, se declara la </w:t>
      </w:r>
      <w:r w:rsidRPr="005F5FDD">
        <w:rPr>
          <w:rFonts w:ascii="Century Gothic" w:eastAsia="Times New Roman" w:hAnsi="Century Gothic" w:cs="Arial"/>
          <w:b/>
          <w:i/>
          <w:lang w:val="es-ES" w:eastAsia="es-ES"/>
        </w:rPr>
        <w:t>nulidad</w:t>
      </w:r>
      <w:r w:rsidRPr="005F5FDD">
        <w:rPr>
          <w:rFonts w:ascii="Century Gothic" w:eastAsia="Times New Roman" w:hAnsi="Century Gothic" w:cs="Arial"/>
          <w:bCs/>
          <w:i/>
          <w:lang w:val="es-ES" w:eastAsia="es-ES"/>
        </w:rPr>
        <w:t xml:space="preserve"> de la </w:t>
      </w:r>
      <w:r w:rsidRPr="005F5FDD">
        <w:rPr>
          <w:rFonts w:ascii="Century Gothic" w:eastAsia="Times New Roman" w:hAnsi="Century Gothic" w:cs="Arial"/>
          <w:b/>
          <w:i/>
          <w:lang w:val="es-ES" w:eastAsia="es-ES"/>
        </w:rPr>
        <w:t>negativa ficta</w:t>
      </w:r>
      <w:r w:rsidRPr="005F5FDD">
        <w:rPr>
          <w:rFonts w:ascii="Century Gothic" w:eastAsia="Times New Roman" w:hAnsi="Century Gothic" w:cs="Arial"/>
          <w:bCs/>
          <w:i/>
          <w:lang w:val="es-ES" w:eastAsia="es-ES"/>
        </w:rPr>
        <w:t xml:space="preserve"> </w:t>
      </w:r>
      <w:r w:rsidR="00E214A1" w:rsidRPr="005F5FDD">
        <w:rPr>
          <w:rFonts w:ascii="Century Gothic" w:eastAsia="Times New Roman" w:hAnsi="Century Gothic" w:cs="Arial"/>
          <w:bCs/>
          <w:i/>
          <w:lang w:val="es-ES" w:eastAsia="es-ES"/>
        </w:rPr>
        <w:t>recaída</w:t>
      </w:r>
      <w:r w:rsidRPr="005F5FDD">
        <w:rPr>
          <w:rFonts w:ascii="Century Gothic" w:eastAsia="Times New Roman" w:hAnsi="Century Gothic" w:cs="Arial"/>
          <w:bCs/>
          <w:i/>
          <w:lang w:val="es-ES" w:eastAsia="es-ES"/>
        </w:rPr>
        <w:t xml:space="preserve"> al escrito de petición sin fecha y recibido el tres de junio de dos mil veintiuno, para el </w:t>
      </w:r>
      <w:r w:rsidRPr="005F5FDD">
        <w:rPr>
          <w:rFonts w:ascii="Century Gothic" w:eastAsia="Times New Roman" w:hAnsi="Century Gothic" w:cs="Arial"/>
          <w:b/>
          <w:i/>
          <w:lang w:val="es-ES" w:eastAsia="es-ES"/>
        </w:rPr>
        <w:t>efecto</w:t>
      </w:r>
      <w:r w:rsidRPr="005F5FDD">
        <w:rPr>
          <w:rFonts w:ascii="Century Gothic" w:eastAsia="Times New Roman" w:hAnsi="Century Gothic" w:cs="Arial"/>
          <w:bCs/>
          <w:i/>
          <w:lang w:val="es-ES" w:eastAsia="es-ES"/>
        </w:rPr>
        <w:t xml:space="preserve"> de que la autoridad demandada emita por escrito, la respuesta en forma exhaustiva y congruente a la petición contenida en el escrito sin fecha y recibido el tres de junio de dos mil veintiuno; por lo que en el pleno uso de sus facultades y atribuciones, fundando y motivando las causas de hecho y derecho por las cuales sea procedente o no, en su caso, la expedición de la constancia de continuidad, agregándole los nombramientos que refiere el actor en su escrito de petición, además, deberá anexar a su respuesta el documento que sea necesario para sustentar su contestación, dado que el escrito del actor tiene su origen en el derecho de petición consagrado en el artículo 8º de la Constitución Política de los Estados Unidos Mexicanos. </w:t>
      </w:r>
    </w:p>
    <w:p w14:paraId="6179E4F2" w14:textId="672B38C8"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Sirve de apoyo a lo anterior la tesis bajo el texto y rubro siguiente:</w:t>
      </w:r>
    </w:p>
    <w:p w14:paraId="1C5101A4" w14:textId="360BAB68" w:rsidR="009F2380" w:rsidRPr="005F5FDD" w:rsidRDefault="009F2380" w:rsidP="003C2164">
      <w:pPr>
        <w:widowControl w:val="0"/>
        <w:spacing w:line="240" w:lineRule="auto"/>
        <w:ind w:left="426" w:right="425" w:firstLine="567"/>
        <w:jc w:val="both"/>
        <w:rPr>
          <w:rFonts w:ascii="Century Gothic" w:eastAsia="Times New Roman" w:hAnsi="Century Gothic" w:cs="Arial"/>
          <w:b/>
          <w:i/>
          <w:lang w:val="es-ES" w:eastAsia="es-ES"/>
        </w:rPr>
      </w:pPr>
      <w:r w:rsidRPr="005F5FDD">
        <w:rPr>
          <w:rFonts w:ascii="Century Gothic" w:eastAsia="Times New Roman" w:hAnsi="Century Gothic" w:cs="Arial"/>
          <w:b/>
          <w:i/>
          <w:lang w:val="es-ES" w:eastAsia="es-ES"/>
        </w:rPr>
        <w:t>“FUNDAMENTACIÓN Y MOTIVACIÓN, FALTA O INDEBIDA. EN CUANTO SON DISTINTAS, UNAS GENERAN NULIDAD LISA Y LLANA Y OTRAS PARA EFECTOS.”</w:t>
      </w:r>
      <w:r w:rsidRPr="005F5FDD">
        <w:rPr>
          <w:rFonts w:ascii="Century Gothic" w:eastAsia="Times New Roman" w:hAnsi="Century Gothic" w:cs="Arial"/>
          <w:bCs/>
          <w:i/>
          <w:lang w:val="es-ES" w:eastAsia="es-ES"/>
        </w:rPr>
        <w:t xml:space="preserve"> (…)</w:t>
      </w:r>
    </w:p>
    <w:p w14:paraId="6AB8AF5E" w14:textId="77777777" w:rsidR="009F2380" w:rsidRPr="005F5FDD" w:rsidRDefault="009F2380" w:rsidP="003C2164">
      <w:pPr>
        <w:widowControl w:val="0"/>
        <w:spacing w:after="0" w:line="240" w:lineRule="auto"/>
        <w:ind w:left="426" w:right="425" w:firstLine="567"/>
        <w:jc w:val="both"/>
        <w:rPr>
          <w:rFonts w:ascii="Century Gothic" w:eastAsia="Times New Roman" w:hAnsi="Century Gothic" w:cs="Arial"/>
          <w:bCs/>
          <w:i/>
          <w:lang w:val="es-ES" w:eastAsia="es-ES"/>
        </w:rPr>
      </w:pPr>
    </w:p>
    <w:p w14:paraId="4A2C8B3B" w14:textId="4247C714" w:rsidR="009F2380" w:rsidRPr="005F5FDD" w:rsidRDefault="000364B0" w:rsidP="003C2164">
      <w:pPr>
        <w:widowControl w:val="0"/>
        <w:spacing w:line="240" w:lineRule="auto"/>
        <w:ind w:left="426" w:right="425" w:firstLine="567"/>
        <w:jc w:val="both"/>
        <w:rPr>
          <w:rFonts w:ascii="Century Gothic" w:eastAsia="Times New Roman" w:hAnsi="Century Gothic" w:cs="Arial"/>
          <w:bCs/>
          <w:i/>
          <w:lang w:val="es-ES" w:eastAsia="es-ES"/>
        </w:rPr>
      </w:pPr>
      <w:r>
        <w:rPr>
          <w:rFonts w:ascii="Century Gothic" w:eastAsia="Times New Roman" w:hAnsi="Century Gothic" w:cs="Arial"/>
          <w:bCs/>
          <w:i/>
          <w:lang w:val="es-ES" w:eastAsia="es-ES"/>
        </w:rPr>
        <w:t xml:space="preserve"> </w:t>
      </w:r>
      <w:r w:rsidR="009F2380" w:rsidRPr="005F5FDD">
        <w:rPr>
          <w:rFonts w:ascii="Century Gothic" w:eastAsia="Times New Roman" w:hAnsi="Century Gothic" w:cs="Arial"/>
          <w:bCs/>
          <w:i/>
          <w:lang w:val="es-ES" w:eastAsia="es-ES"/>
        </w:rPr>
        <w:t xml:space="preserve">Finalmente, este órgano jurisdiccional no entra al estudio del concepto de impugnación expuesto en su escrito de ampliación de demanda, en razón que su estudio resulta innecesario al observar que el concepto de impugnación expuesto en su escrito de demanda </w:t>
      </w:r>
      <w:r w:rsidR="009F2380" w:rsidRPr="005F5FDD">
        <w:rPr>
          <w:rFonts w:ascii="Century Gothic" w:eastAsia="Times New Roman" w:hAnsi="Century Gothic" w:cs="Arial"/>
          <w:bCs/>
          <w:i/>
          <w:lang w:val="es-ES" w:eastAsia="es-ES"/>
        </w:rPr>
        <w:lastRenderedPageBreak/>
        <w:t xml:space="preserve">primigenia fue fundado, además que de dejar de estudiar el concepto de impugnación en su ampliación de demanda no irroga agravios al actor ni tampoco le concede un mayor beneficio. </w:t>
      </w:r>
    </w:p>
    <w:p w14:paraId="29E6275C" w14:textId="19C25B35"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Sirve de sustento por analogía jurídica sustancial la jurisprudencia bajo el rubro y texto siguientes:</w:t>
      </w:r>
    </w:p>
    <w:p w14:paraId="7D80AE7D" w14:textId="77777777"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hAnsi="Century Gothic" w:cs="Arial"/>
          <w:b/>
          <w:bCs/>
          <w:i/>
          <w:iCs/>
          <w:color w:val="212529"/>
          <w:shd w:val="clear" w:color="auto" w:fill="FFFFFF"/>
        </w:rPr>
        <w:t>“CONCEPTOS DE VIOLACION. CUANDO SU ESTUDIO ES INNECESARIO.”</w:t>
      </w:r>
    </w:p>
    <w:p w14:paraId="069B94FE" w14:textId="12442C0C" w:rsidR="009F2380" w:rsidRPr="005F5FDD" w:rsidRDefault="009F2380" w:rsidP="003C2164">
      <w:pPr>
        <w:widowControl w:val="0"/>
        <w:spacing w:line="240" w:lineRule="auto"/>
        <w:ind w:left="426" w:right="425" w:firstLine="567"/>
        <w:jc w:val="both"/>
        <w:rPr>
          <w:rFonts w:ascii="Century Gothic" w:eastAsia="Times New Roman" w:hAnsi="Century Gothic" w:cs="Arial"/>
          <w:bCs/>
          <w:i/>
          <w:lang w:val="es-ES" w:eastAsia="es-ES"/>
        </w:rPr>
      </w:pPr>
      <w:r w:rsidRPr="005F5FDD">
        <w:rPr>
          <w:rFonts w:ascii="Century Gothic" w:eastAsia="Times New Roman" w:hAnsi="Century Gothic" w:cs="Arial"/>
          <w:bCs/>
          <w:i/>
          <w:lang w:val="es-ES" w:eastAsia="es-ES"/>
        </w:rPr>
        <w:t>(…)”</w:t>
      </w:r>
    </w:p>
    <w:p w14:paraId="5C5A77B6" w14:textId="75D67815" w:rsidR="00503A6E" w:rsidRPr="00251BFA" w:rsidRDefault="00503A6E" w:rsidP="00251BFA">
      <w:pPr>
        <w:widowControl w:val="0"/>
        <w:spacing w:line="240" w:lineRule="auto"/>
        <w:ind w:right="51" w:firstLine="567"/>
        <w:jc w:val="both"/>
        <w:rPr>
          <w:rFonts w:ascii="Century Gothic" w:eastAsia="Times New Roman" w:hAnsi="Century Gothic" w:cs="Arial"/>
          <w:bCs/>
          <w:i/>
          <w:sz w:val="24"/>
          <w:szCs w:val="24"/>
          <w:lang w:val="es-ES" w:eastAsia="es-ES"/>
        </w:rPr>
      </w:pPr>
    </w:p>
    <w:p w14:paraId="462E7F08" w14:textId="28036430" w:rsidR="00503A6E" w:rsidRPr="00251BFA" w:rsidRDefault="00297E37" w:rsidP="00251BFA">
      <w:pPr>
        <w:widowControl w:val="0"/>
        <w:spacing w:line="240" w:lineRule="auto"/>
        <w:ind w:right="51" w:firstLine="567"/>
        <w:jc w:val="both"/>
        <w:rPr>
          <w:rFonts w:ascii="Century Gothic" w:hAnsi="Century Gothic" w:cs="Tahoma"/>
          <w:b/>
          <w:bCs/>
          <w:sz w:val="24"/>
          <w:szCs w:val="24"/>
        </w:rPr>
      </w:pPr>
      <w:r>
        <w:rPr>
          <w:rFonts w:ascii="Century Gothic" w:eastAsia="Times New Roman" w:hAnsi="Century Gothic" w:cs="Arial"/>
          <w:bCs/>
          <w:sz w:val="24"/>
          <w:szCs w:val="24"/>
          <w:lang w:val="es-ES" w:eastAsia="es-ES"/>
        </w:rPr>
        <w:t>12</w:t>
      </w:r>
      <w:r w:rsidR="000364B0">
        <w:rPr>
          <w:rFonts w:ascii="Century Gothic" w:eastAsia="Times New Roman" w:hAnsi="Century Gothic" w:cs="Arial"/>
          <w:bCs/>
          <w:sz w:val="24"/>
          <w:szCs w:val="24"/>
          <w:lang w:val="es-ES" w:eastAsia="es-ES"/>
        </w:rPr>
        <w:t xml:space="preserve">. </w:t>
      </w:r>
      <w:r w:rsidR="007363E1" w:rsidRPr="00251BFA">
        <w:rPr>
          <w:rFonts w:ascii="Century Gothic" w:eastAsia="Times New Roman" w:hAnsi="Century Gothic" w:cs="Arial"/>
          <w:bCs/>
          <w:sz w:val="24"/>
          <w:szCs w:val="24"/>
          <w:lang w:val="es-ES" w:eastAsia="es-ES"/>
        </w:rPr>
        <w:t xml:space="preserve">Del </w:t>
      </w:r>
      <w:r w:rsidR="00503A6E" w:rsidRPr="00251BFA">
        <w:rPr>
          <w:rFonts w:ascii="Century Gothic" w:eastAsia="Times New Roman" w:hAnsi="Century Gothic" w:cs="Arial"/>
          <w:bCs/>
          <w:sz w:val="24"/>
          <w:szCs w:val="24"/>
          <w:lang w:val="es-ES" w:eastAsia="es-ES"/>
        </w:rPr>
        <w:t xml:space="preserve"> estudio del agravio expuesto por el recurrente y del análisis del contenido del considerando Cuarto de la Sentencia que no</w:t>
      </w:r>
      <w:r w:rsidR="007363E1" w:rsidRPr="00251BFA">
        <w:rPr>
          <w:rFonts w:ascii="Century Gothic" w:eastAsia="Times New Roman" w:hAnsi="Century Gothic" w:cs="Arial"/>
          <w:bCs/>
          <w:sz w:val="24"/>
          <w:szCs w:val="24"/>
          <w:lang w:val="es-ES" w:eastAsia="es-ES"/>
        </w:rPr>
        <w:t>s</w:t>
      </w:r>
      <w:r w:rsidR="00503A6E" w:rsidRPr="00251BFA">
        <w:rPr>
          <w:rFonts w:ascii="Century Gothic" w:eastAsia="Times New Roman" w:hAnsi="Century Gothic" w:cs="Arial"/>
          <w:bCs/>
          <w:sz w:val="24"/>
          <w:szCs w:val="24"/>
          <w:lang w:val="es-ES" w:eastAsia="es-ES"/>
        </w:rPr>
        <w:t xml:space="preserve"> ocupa tenemos que </w:t>
      </w:r>
      <w:r w:rsidR="007363E1" w:rsidRPr="00251BFA">
        <w:rPr>
          <w:rFonts w:ascii="Century Gothic" w:eastAsia="Times New Roman" w:hAnsi="Century Gothic" w:cs="Arial"/>
          <w:bCs/>
          <w:sz w:val="24"/>
          <w:szCs w:val="24"/>
          <w:lang w:val="es-ES" w:eastAsia="es-ES"/>
        </w:rPr>
        <w:t>l</w:t>
      </w:r>
      <w:r w:rsidR="00503A6E" w:rsidRPr="00251BFA">
        <w:rPr>
          <w:rFonts w:ascii="Century Gothic" w:eastAsia="Times New Roman" w:hAnsi="Century Gothic" w:cs="Arial"/>
          <w:bCs/>
          <w:sz w:val="24"/>
          <w:szCs w:val="24"/>
          <w:lang w:val="es-ES" w:eastAsia="es-ES"/>
        </w:rPr>
        <w:t xml:space="preserve">a autoridad demandada Director de Recursos Humanos de la Secretaría de Administración del Gobierno del Estado de Oaxaca, </w:t>
      </w:r>
      <w:r w:rsidR="007363E1" w:rsidRPr="00251BFA">
        <w:rPr>
          <w:rFonts w:ascii="Century Gothic" w:eastAsia="Times New Roman" w:hAnsi="Century Gothic" w:cs="Arial"/>
          <w:bCs/>
          <w:sz w:val="24"/>
          <w:szCs w:val="24"/>
          <w:lang w:val="es-ES" w:eastAsia="es-ES"/>
        </w:rPr>
        <w:t xml:space="preserve">manifestó </w:t>
      </w:r>
      <w:r w:rsidR="00503A6E" w:rsidRPr="00251BFA">
        <w:rPr>
          <w:rFonts w:ascii="Century Gothic" w:eastAsia="Times New Roman" w:hAnsi="Century Gothic" w:cs="Arial"/>
          <w:bCs/>
          <w:sz w:val="24"/>
          <w:szCs w:val="24"/>
          <w:lang w:val="es-ES" w:eastAsia="es-ES"/>
        </w:rPr>
        <w:t>que le dio contestación al escrito sin fecha, recibido el tres de junio de dos mil veintiuno, toda vez que se volvió a expedirle su constancia de continuidad</w:t>
      </w:r>
      <w:r w:rsidR="007363E1" w:rsidRPr="00251BFA">
        <w:rPr>
          <w:rFonts w:ascii="Century Gothic" w:eastAsia="Times New Roman" w:hAnsi="Century Gothic" w:cs="Arial"/>
          <w:bCs/>
          <w:sz w:val="24"/>
          <w:szCs w:val="24"/>
          <w:lang w:val="es-ES" w:eastAsia="es-ES"/>
        </w:rPr>
        <w:t xml:space="preserve"> al C.</w:t>
      </w:r>
      <w:r w:rsidR="000F09DA" w:rsidRPr="000F09DA">
        <w:rPr>
          <w:rFonts w:ascii="Century Gothic" w:hAnsi="Century Gothic" w:cs="Tahoma"/>
          <w:sz w:val="24"/>
          <w:szCs w:val="24"/>
        </w:rPr>
        <w:t xml:space="preserve"> </w:t>
      </w:r>
      <w:r w:rsidR="000F09DA">
        <w:rPr>
          <w:rFonts w:ascii="Century Gothic" w:hAnsi="Century Gothic" w:cs="Tahoma"/>
          <w:sz w:val="24"/>
          <w:szCs w:val="24"/>
        </w:rPr>
        <w:t>***********</w:t>
      </w:r>
      <w:r w:rsidR="00503A6E" w:rsidRPr="00251BFA">
        <w:rPr>
          <w:rFonts w:ascii="Century Gothic" w:eastAsia="Times New Roman" w:hAnsi="Century Gothic" w:cs="Arial"/>
          <w:bCs/>
          <w:sz w:val="24"/>
          <w:szCs w:val="24"/>
          <w:lang w:val="es-ES" w:eastAsia="es-ES"/>
        </w:rPr>
        <w:t xml:space="preserve">, </w:t>
      </w:r>
      <w:r w:rsidR="007363E1" w:rsidRPr="00251BFA">
        <w:rPr>
          <w:rFonts w:ascii="Century Gothic" w:eastAsia="Times New Roman" w:hAnsi="Century Gothic" w:cs="Arial"/>
          <w:bCs/>
          <w:sz w:val="24"/>
          <w:szCs w:val="24"/>
          <w:lang w:val="es-ES" w:eastAsia="es-ES"/>
        </w:rPr>
        <w:t>con fecha</w:t>
      </w:r>
      <w:r w:rsidR="00503A6E" w:rsidRPr="00251BFA">
        <w:rPr>
          <w:rFonts w:ascii="Century Gothic" w:eastAsia="Times New Roman" w:hAnsi="Century Gothic" w:cs="Arial"/>
          <w:bCs/>
          <w:sz w:val="24"/>
          <w:szCs w:val="24"/>
          <w:lang w:val="es-ES" w:eastAsia="es-ES"/>
        </w:rPr>
        <w:t xml:space="preserve"> siete de junio de dos mil veintiuno; sin embargo, al momento de que el actor recogió su constancia, se negó a firmar de recibido, por no convenir a sus intereses y dejando la constancia en manos de quién lo atendió</w:t>
      </w:r>
      <w:r w:rsidR="007363E1" w:rsidRPr="00251BFA">
        <w:rPr>
          <w:rFonts w:ascii="Century Gothic" w:eastAsia="Times New Roman" w:hAnsi="Century Gothic" w:cs="Arial"/>
          <w:bCs/>
          <w:sz w:val="24"/>
          <w:szCs w:val="24"/>
          <w:lang w:val="es-ES" w:eastAsia="es-ES"/>
        </w:rPr>
        <w:t>, y que po</w:t>
      </w:r>
      <w:r w:rsidR="00503A6E" w:rsidRPr="00251BFA">
        <w:rPr>
          <w:rFonts w:ascii="Century Gothic" w:eastAsia="Times New Roman" w:hAnsi="Century Gothic" w:cs="Arial"/>
          <w:bCs/>
          <w:sz w:val="24"/>
          <w:szCs w:val="24"/>
          <w:lang w:val="es-ES" w:eastAsia="es-ES"/>
        </w:rPr>
        <w:t>steriormente, el actor acudió de forma personal y espontanea a las oficinas que ocupa la autoridad demandada, donde nuevamente presentó un escrito, anexando diversas documentales, a las cuales la autoridad demandada le expresó que únicamente se agregarían a su solicitud, dado que el trámite solicitado por el actor ya había concluido, por lo que esa autoridad demandada estima que sí se le dio resp</w:t>
      </w:r>
      <w:r w:rsidR="007363E1" w:rsidRPr="00251BFA">
        <w:rPr>
          <w:rFonts w:ascii="Century Gothic" w:eastAsia="Times New Roman" w:hAnsi="Century Gothic" w:cs="Arial"/>
          <w:bCs/>
          <w:sz w:val="24"/>
          <w:szCs w:val="24"/>
          <w:lang w:val="es-ES" w:eastAsia="es-ES"/>
        </w:rPr>
        <w:t xml:space="preserve">uesta a su escrito de petición. Ahora bien, es conveniente precisar que el Magistrado de Primera Instancia después de analizar las </w:t>
      </w:r>
      <w:r w:rsidR="00AB1043" w:rsidRPr="00251BFA">
        <w:rPr>
          <w:rFonts w:ascii="Century Gothic" w:eastAsia="Times New Roman" w:hAnsi="Century Gothic" w:cs="Arial"/>
          <w:bCs/>
          <w:sz w:val="24"/>
          <w:szCs w:val="24"/>
          <w:lang w:val="es-ES" w:eastAsia="es-ES"/>
        </w:rPr>
        <w:t>constancias que</w:t>
      </w:r>
      <w:r w:rsidR="007363E1" w:rsidRPr="00251BFA">
        <w:rPr>
          <w:rFonts w:ascii="Century Gothic" w:eastAsia="Times New Roman" w:hAnsi="Century Gothic" w:cs="Arial"/>
          <w:bCs/>
          <w:sz w:val="24"/>
          <w:szCs w:val="24"/>
          <w:lang w:val="es-ES" w:eastAsia="es-ES"/>
        </w:rPr>
        <w:t xml:space="preserve"> obran dentro del expediente que nos ocupa, </w:t>
      </w:r>
      <w:r w:rsidR="00BB2650">
        <w:rPr>
          <w:rFonts w:ascii="Century Gothic" w:eastAsia="Times New Roman" w:hAnsi="Century Gothic" w:cs="Arial"/>
          <w:bCs/>
          <w:sz w:val="24"/>
          <w:szCs w:val="24"/>
          <w:lang w:val="es-ES" w:eastAsia="es-ES"/>
        </w:rPr>
        <w:t xml:space="preserve">señalo que </w:t>
      </w:r>
      <w:r w:rsidR="004D1025" w:rsidRPr="004D1025">
        <w:rPr>
          <w:rFonts w:ascii="Century Gothic" w:eastAsia="Times New Roman" w:hAnsi="Century Gothic" w:cs="Arial"/>
          <w:bCs/>
          <w:sz w:val="24"/>
          <w:szCs w:val="24"/>
          <w:lang w:val="es-ES" w:eastAsia="es-ES"/>
        </w:rPr>
        <w:t xml:space="preserve">no se advierte que la autoridad demandada haya anexado </w:t>
      </w:r>
      <w:r w:rsidR="00503A6E" w:rsidRPr="00251BFA">
        <w:rPr>
          <w:rFonts w:ascii="Century Gothic" w:eastAsia="Times New Roman" w:hAnsi="Century Gothic" w:cs="Arial"/>
          <w:bCs/>
          <w:sz w:val="24"/>
          <w:szCs w:val="24"/>
          <w:lang w:val="es-ES" w:eastAsia="es-ES"/>
        </w:rPr>
        <w:t>por escrito oficio alguno en el que se le dijera si procedía o no la expedición de su constancia de continuidad, añadiendo los nombramientos que el actor refirió en su escrito de petición, por lo que no se puede corroborar la veracidad de la afirmación aduc</w:t>
      </w:r>
      <w:r w:rsidR="00AB1043" w:rsidRPr="00251BFA">
        <w:rPr>
          <w:rFonts w:ascii="Century Gothic" w:eastAsia="Times New Roman" w:hAnsi="Century Gothic" w:cs="Arial"/>
          <w:bCs/>
          <w:sz w:val="24"/>
          <w:szCs w:val="24"/>
          <w:lang w:val="es-ES" w:eastAsia="es-ES"/>
        </w:rPr>
        <w:t>ida por la autoridad recurrente, siendo que a dicha autoridad le corresponde probar la existencia de la respuesta a la solicitud del C.</w:t>
      </w:r>
      <w:r w:rsidR="000F09DA" w:rsidRPr="000F09DA">
        <w:rPr>
          <w:rFonts w:ascii="Century Gothic" w:hAnsi="Century Gothic" w:cs="Tahoma"/>
          <w:sz w:val="24"/>
          <w:szCs w:val="24"/>
        </w:rPr>
        <w:t xml:space="preserve"> </w:t>
      </w:r>
      <w:r w:rsidR="000F09DA">
        <w:rPr>
          <w:rFonts w:ascii="Century Gothic" w:hAnsi="Century Gothic" w:cs="Tahoma"/>
          <w:sz w:val="24"/>
          <w:szCs w:val="24"/>
        </w:rPr>
        <w:t>***********</w:t>
      </w:r>
      <w:r w:rsidR="00AB1043" w:rsidRPr="00251BFA">
        <w:rPr>
          <w:rFonts w:ascii="Century Gothic" w:eastAsia="Times New Roman" w:hAnsi="Century Gothic" w:cs="Arial"/>
          <w:bCs/>
          <w:sz w:val="24"/>
          <w:szCs w:val="24"/>
          <w:lang w:val="es-ES" w:eastAsia="es-ES"/>
        </w:rPr>
        <w:t xml:space="preserve">, </w:t>
      </w:r>
      <w:r w:rsidR="00503A6E" w:rsidRPr="00251BFA">
        <w:rPr>
          <w:rFonts w:ascii="Century Gothic" w:eastAsia="Times New Roman" w:hAnsi="Century Gothic" w:cs="Arial"/>
          <w:bCs/>
          <w:sz w:val="24"/>
          <w:szCs w:val="24"/>
          <w:lang w:val="es-ES" w:eastAsia="es-ES"/>
        </w:rPr>
        <w:t xml:space="preserve">debiendo ofrecer prueba idónea con la que acreditara su afirmación, </w:t>
      </w:r>
      <w:r w:rsidR="00AB1043" w:rsidRPr="00251BFA">
        <w:rPr>
          <w:rFonts w:ascii="Century Gothic" w:eastAsia="Times New Roman" w:hAnsi="Century Gothic" w:cs="Arial"/>
          <w:bCs/>
          <w:sz w:val="24"/>
          <w:szCs w:val="24"/>
          <w:lang w:val="es-ES" w:eastAsia="es-ES"/>
        </w:rPr>
        <w:t>de manera coherente y congruente con lo solicitado por dicho peticionario es decir explicar y fundamentar</w:t>
      </w:r>
      <w:r w:rsidR="00503A6E" w:rsidRPr="00251BFA">
        <w:rPr>
          <w:rFonts w:ascii="Century Gothic" w:eastAsia="Times New Roman" w:hAnsi="Century Gothic" w:cs="Arial"/>
          <w:bCs/>
          <w:sz w:val="24"/>
          <w:szCs w:val="24"/>
          <w:lang w:val="es-ES" w:eastAsia="es-ES"/>
        </w:rPr>
        <w:t xml:space="preserve"> de los motivos por los cuales procedía o no, dependiendo del caso, la expedición de la constancia de continuidad solicitada añadiendo los nombramientos que el actor hace referencia en su escrito de petición.</w:t>
      </w:r>
      <w:r w:rsidR="00AB1043" w:rsidRPr="00251BFA">
        <w:rPr>
          <w:rFonts w:ascii="Century Gothic" w:eastAsia="Times New Roman" w:hAnsi="Century Gothic" w:cs="Arial"/>
          <w:bCs/>
          <w:sz w:val="24"/>
          <w:szCs w:val="24"/>
          <w:lang w:val="es-ES" w:eastAsia="es-ES"/>
        </w:rPr>
        <w:t xml:space="preserve"> Lo anterior en virtud de que todas </w:t>
      </w:r>
      <w:r w:rsidR="00011C6A" w:rsidRPr="00251BFA">
        <w:rPr>
          <w:rFonts w:ascii="Century Gothic" w:hAnsi="Century Gothic" w:cs="Tahoma"/>
          <w:bCs/>
          <w:sz w:val="24"/>
          <w:szCs w:val="24"/>
        </w:rPr>
        <w:t>las</w:t>
      </w:r>
      <w:r w:rsidR="00503A6E" w:rsidRPr="00251BFA">
        <w:rPr>
          <w:rFonts w:ascii="Century Gothic" w:hAnsi="Century Gothic" w:cs="Tahoma"/>
          <w:bCs/>
          <w:sz w:val="24"/>
          <w:szCs w:val="24"/>
        </w:rPr>
        <w:t xml:space="preserve"> respuestas a las solicitudes por parte de una autoridad administrativa al actor deben estar fundada</w:t>
      </w:r>
      <w:r w:rsidR="00AB1043" w:rsidRPr="00251BFA">
        <w:rPr>
          <w:rFonts w:ascii="Century Gothic" w:hAnsi="Century Gothic" w:cs="Tahoma"/>
          <w:bCs/>
          <w:sz w:val="24"/>
          <w:szCs w:val="24"/>
        </w:rPr>
        <w:t>s</w:t>
      </w:r>
      <w:r w:rsidR="00503A6E" w:rsidRPr="00251BFA">
        <w:rPr>
          <w:rFonts w:ascii="Century Gothic" w:hAnsi="Century Gothic" w:cs="Tahoma"/>
          <w:bCs/>
          <w:sz w:val="24"/>
          <w:szCs w:val="24"/>
        </w:rPr>
        <w:t xml:space="preserve"> y motiva</w:t>
      </w:r>
      <w:r w:rsidR="00AB1043" w:rsidRPr="00251BFA">
        <w:rPr>
          <w:rFonts w:ascii="Century Gothic" w:hAnsi="Century Gothic" w:cs="Tahoma"/>
          <w:bCs/>
          <w:sz w:val="24"/>
          <w:szCs w:val="24"/>
        </w:rPr>
        <w:t>s</w:t>
      </w:r>
      <w:r w:rsidR="00503A6E" w:rsidRPr="00251BFA">
        <w:rPr>
          <w:rFonts w:ascii="Century Gothic" w:hAnsi="Century Gothic" w:cs="Tahoma"/>
          <w:bCs/>
          <w:sz w:val="24"/>
          <w:szCs w:val="24"/>
        </w:rPr>
        <w:t xml:space="preserve"> para negar o conceder, no basta con el simple pronunciamiento verbal o respuesta de si es o no procedente.</w:t>
      </w:r>
      <w:r w:rsidR="00AB1043" w:rsidRPr="00251BFA">
        <w:rPr>
          <w:rFonts w:ascii="Century Gothic" w:hAnsi="Century Gothic" w:cs="Tahoma"/>
          <w:bCs/>
          <w:sz w:val="24"/>
          <w:szCs w:val="24"/>
        </w:rPr>
        <w:t xml:space="preserve"> Al caso resulta aplicable el siguiente criterio jurisprudencial:</w:t>
      </w:r>
      <w:r w:rsidR="00AB1043" w:rsidRPr="00251BFA">
        <w:rPr>
          <w:rFonts w:ascii="Century Gothic" w:hAnsi="Century Gothic" w:cs="Tahoma"/>
          <w:b/>
          <w:bCs/>
          <w:sz w:val="24"/>
          <w:szCs w:val="24"/>
        </w:rPr>
        <w:t xml:space="preserve"> </w:t>
      </w:r>
    </w:p>
    <w:p w14:paraId="27F675B2" w14:textId="2264B794" w:rsidR="00503A6E" w:rsidRPr="00A05CC3" w:rsidRDefault="00503A6E" w:rsidP="003C2164">
      <w:pPr>
        <w:spacing w:line="240" w:lineRule="auto"/>
        <w:ind w:left="709" w:right="567"/>
        <w:jc w:val="both"/>
        <w:rPr>
          <w:rFonts w:ascii="Century Gothic" w:hAnsi="Century Gothic"/>
          <w:i/>
        </w:rPr>
      </w:pPr>
      <w:r w:rsidRPr="00A05CC3">
        <w:rPr>
          <w:rFonts w:ascii="Century Gothic" w:hAnsi="Century Gothic" w:cs="Tahoma"/>
          <w:b/>
          <w:bCs/>
          <w:i/>
        </w:rPr>
        <w:t xml:space="preserve">  </w:t>
      </w:r>
      <w:r w:rsidRPr="00A05CC3">
        <w:rPr>
          <w:rFonts w:ascii="Century Gothic" w:hAnsi="Century Gothic"/>
          <w:b/>
          <w:bCs/>
          <w:i/>
        </w:rPr>
        <w:t xml:space="preserve">Época: Décima Época Registro: 2015181 Instancia: Tribunales Colegiados de Circuito Tipo de Tesis: Jurisprudencia Fuente: Gaceta del Semanario Judicial de la Federación Libro 46, septiembre de 2017, Tomo III Materia(s): Común Tesis: XVI.1o.A. J/38 (10a.) Página: 1738 DERECHO DE PETICIÓN. EL EFECTO DE LA CONCESIÓN DEL AMPARO EN UN JUICIO EN EL QUE SE EXAMINÓ SU VIOLACIÓN, NO PUEDE QUEDAR EN LA SIMPLE EXIGENCIA DE UNA RESPUESTA, SINO </w:t>
      </w:r>
      <w:r w:rsidRPr="00A05CC3">
        <w:rPr>
          <w:rFonts w:ascii="Century Gothic" w:hAnsi="Century Gothic"/>
          <w:b/>
          <w:bCs/>
          <w:i/>
        </w:rPr>
        <w:lastRenderedPageBreak/>
        <w:t>QUE REQUIERE QUE ESTA SEA CONGRUENTE, COMPLETA, RÁPIDA Y, SOBRE TODO, FUNDADA Y MOTIVADA (LEGISLACIÓN VIGENTE A PARTIR DEL 3 DE ABRIL DE 2013).</w:t>
      </w:r>
      <w:r w:rsidRPr="00A05CC3">
        <w:rPr>
          <w:rFonts w:ascii="Century Gothic" w:hAnsi="Century Gothic"/>
          <w:i/>
        </w:rPr>
        <w:t xml:space="preserve"> </w:t>
      </w:r>
    </w:p>
    <w:p w14:paraId="350DE423" w14:textId="77777777" w:rsidR="00503A6E" w:rsidRPr="00A05CC3" w:rsidRDefault="00503A6E" w:rsidP="003C2164">
      <w:pPr>
        <w:spacing w:line="240" w:lineRule="auto"/>
        <w:ind w:left="709" w:right="567"/>
        <w:jc w:val="both"/>
        <w:rPr>
          <w:rFonts w:ascii="Century Gothic" w:hAnsi="Century Gothic"/>
          <w:i/>
        </w:rPr>
      </w:pPr>
    </w:p>
    <w:p w14:paraId="70F5EE93" w14:textId="69CB1117" w:rsidR="00503A6E" w:rsidRPr="00A05CC3" w:rsidRDefault="00503A6E" w:rsidP="003C2164">
      <w:pPr>
        <w:spacing w:line="240" w:lineRule="auto"/>
        <w:ind w:left="709" w:right="567"/>
        <w:jc w:val="both"/>
        <w:rPr>
          <w:rFonts w:ascii="Century Gothic" w:hAnsi="Century Gothic"/>
          <w:i/>
        </w:rPr>
      </w:pPr>
      <w:r w:rsidRPr="00A05CC3">
        <w:rPr>
          <w:rFonts w:ascii="Century Gothic" w:hAnsi="Century Gothic"/>
          <w:i/>
        </w:rPr>
        <w:t xml:space="preserve">El derecho de petición, que es una prerrogativa gestada y promovida en el seno del Estado democrático - en el cual es concebible la posibilidad de </w:t>
      </w:r>
      <w:r w:rsidR="00386214" w:rsidRPr="00A05CC3">
        <w:rPr>
          <w:rFonts w:ascii="Century Gothic" w:hAnsi="Century Gothic"/>
          <w:i/>
        </w:rPr>
        <w:t>participación</w:t>
      </w:r>
      <w:r w:rsidRPr="00A05CC3">
        <w:rPr>
          <w:rFonts w:ascii="Century Gothic" w:hAnsi="Century Gothic"/>
          <w:i/>
        </w:rPr>
        <w:t xml:space="preserve"> </w:t>
      </w:r>
      <w:r w:rsidR="00386214" w:rsidRPr="00A05CC3">
        <w:rPr>
          <w:rFonts w:ascii="Century Gothic" w:hAnsi="Century Gothic"/>
          <w:i/>
        </w:rPr>
        <w:t xml:space="preserve">activa </w:t>
      </w:r>
      <w:r w:rsidRPr="00A05CC3">
        <w:rPr>
          <w:rFonts w:ascii="Century Gothic" w:hAnsi="Century Gothic"/>
          <w:i/>
        </w:rPr>
        <w:t>de las personas en la vida pública-, se respeta solo si la autoridad proporciona en su respuesta a la solicitud del particular la suficiente información para que este pueda conocer plenamente su sentido y alcance, así como para manifestar su conformidad o inconformidad con ella y, en su caso, impugnarla. Por ende, si la información no existe o es insuficiente, el derecho de petición se quebranta, porque de nada sirve al particular que su planteamiento sea contestado, aun con pulcritud lógica, es decir, respondiendo con la debida congruencia formal a lo solicitado, pero sin proporcionarle la información que le permita conocer cabalmente el acto, decisión o resolución de la autoridad. Lo anterior, en virtud de que la congruencia formal de la respuesta a una petición no es suficiente para ser acorde con el actual sistema jurídico mexicano, porque no satisface las exigencias previstas en el Artículo 8o., en relación con el numeral 1o., en sus primeros tres párrafos, ambos de la Constitución Política de los Estados Unidos Mexicanos, que manda el respeto del ejercicio del derecho de petición, siempre que esta se formule por escrito, de manera pacífica, respetuosa y conforme al principio de progresividad, que evoca la necesidad de avance en la defensa de los derechos humanos en general. Por otra parte, la entrada en vigor de la Ley de Amparo, el 3 de abril de 2013, en aras de una Horizontes de la Contaduría en las Ciencias Sociales, Año 5, Número 9, Julio-</w:t>
      </w:r>
      <w:proofErr w:type="gramStart"/>
      <w:r w:rsidRPr="00A05CC3">
        <w:rPr>
          <w:rFonts w:ascii="Century Gothic" w:hAnsi="Century Gothic"/>
          <w:i/>
        </w:rPr>
        <w:t>Diciembre</w:t>
      </w:r>
      <w:proofErr w:type="gramEnd"/>
      <w:r w:rsidRPr="00A05CC3">
        <w:rPr>
          <w:rFonts w:ascii="Century Gothic" w:hAnsi="Century Gothic"/>
          <w:i/>
        </w:rPr>
        <w:t xml:space="preserve"> 2018. 196 justicia pronta y completa, tratándose de este derecho, pretende evitar prácticas dilatorias, como son la omisión de respuesta, lo incongruente, falso, equívoco o carente de fundamentos y motivos de esta o su incorrección en cuanto al fondo, para lo cual proporciona herramientas que efectivizan el respeto a los derechos humanos a la seguridad jurídica y a la tutela judicial efectiva, para hacer posible que esos vicios se reparen en un mismo juicio; tal es el caso de la oportunidad de ampliar la demanda a que se refiere el numeral 111 del citado ordenamiento y de la exigencia para la responsable, tratándose de actos materialmente administrativos, de complementar en su informe justificado la falta o insuficiencia de fundamentación y motivación del acto reclamado cuando se aduzca en la demanda, contenida en el Artículo 117, último párrafo, de la propia ley. Por tanto, el efecto de la concesión del amparo en un juicio en el que se examinó la transgresión al Artículo 8o. constitucional no puede quedar en la simple exigencia de respuesta, sino que debe buscar que esta sea congruente, completa, rápida y, sobre todo, fundada y motivada; de otro modo, no obstante el nuevo sistema jurídico, el juzgador obligaría al gobernado a una nueva instancia para obtener una solución de fondo, con el consiguiente retraso en la satisfacción de la reparación del derecho violado.</w:t>
      </w:r>
    </w:p>
    <w:p w14:paraId="39FAD15C" w14:textId="24F4ED0A" w:rsidR="00011C6A" w:rsidRPr="00A05CC3" w:rsidRDefault="00297E37" w:rsidP="00F538C4">
      <w:pPr>
        <w:widowControl w:val="0"/>
        <w:shd w:val="clear" w:color="auto" w:fill="FFFFFF" w:themeFill="background1"/>
        <w:tabs>
          <w:tab w:val="left" w:pos="7938"/>
        </w:tabs>
        <w:spacing w:before="240" w:line="240" w:lineRule="auto"/>
        <w:ind w:left="-284" w:right="567" w:firstLine="425"/>
        <w:jc w:val="both"/>
        <w:rPr>
          <w:rFonts w:ascii="Century Gothic" w:eastAsia="Times New Roman" w:hAnsi="Century Gothic" w:cs="Arial"/>
        </w:rPr>
      </w:pPr>
      <w:r>
        <w:rPr>
          <w:rFonts w:ascii="Century Gothic" w:eastAsia="Times New Roman" w:hAnsi="Century Gothic" w:cs="Arial"/>
          <w:sz w:val="24"/>
          <w:szCs w:val="24"/>
        </w:rPr>
        <w:t>13</w:t>
      </w:r>
      <w:r w:rsidR="000364B0">
        <w:rPr>
          <w:rFonts w:ascii="Century Gothic" w:eastAsia="Times New Roman" w:hAnsi="Century Gothic" w:cs="Arial"/>
          <w:sz w:val="24"/>
          <w:szCs w:val="24"/>
        </w:rPr>
        <w:t xml:space="preserve">. </w:t>
      </w:r>
      <w:r w:rsidR="00011C6A" w:rsidRPr="00323D7E">
        <w:rPr>
          <w:rFonts w:ascii="Century Gothic" w:eastAsia="Times New Roman" w:hAnsi="Century Gothic" w:cs="Arial"/>
          <w:sz w:val="24"/>
          <w:szCs w:val="24"/>
        </w:rPr>
        <w:t xml:space="preserve">Ahora bien respecto al agravio plasmado por la </w:t>
      </w:r>
      <w:r w:rsidR="00251BFA" w:rsidRPr="00323D7E">
        <w:rPr>
          <w:rFonts w:ascii="Century Gothic" w:eastAsia="Times New Roman" w:hAnsi="Century Gothic" w:cs="Arial"/>
          <w:sz w:val="24"/>
          <w:szCs w:val="24"/>
        </w:rPr>
        <w:t>recurrente</w:t>
      </w:r>
      <w:r w:rsidR="00011C6A" w:rsidRPr="00323D7E">
        <w:rPr>
          <w:rFonts w:ascii="Century Gothic" w:eastAsia="Times New Roman" w:hAnsi="Century Gothic" w:cs="Arial"/>
          <w:sz w:val="24"/>
          <w:szCs w:val="24"/>
        </w:rPr>
        <w:t>, respecto a que “</w:t>
      </w:r>
      <w:r w:rsidR="00011C6A" w:rsidRPr="00323D7E">
        <w:rPr>
          <w:rFonts w:ascii="Century Gothic" w:eastAsia="Times New Roman" w:hAnsi="Century Gothic" w:cs="Arial"/>
          <w:bCs/>
          <w:i/>
          <w:sz w:val="24"/>
          <w:szCs w:val="24"/>
          <w:lang w:val="es-ES" w:eastAsia="es-ES"/>
        </w:rPr>
        <w:t xml:space="preserve">en el presente caso no se le dio el “silencio administrativo” por parte de esta Autoridad, tan es así, que esta Dirección de Recursos Humanos generó la constancia de continuidad de servicios que solicitó mediante escrito de fecha </w:t>
      </w:r>
      <w:r w:rsidR="00323D7E">
        <w:rPr>
          <w:rFonts w:ascii="Century Gothic" w:eastAsia="Times New Roman" w:hAnsi="Century Gothic" w:cs="Arial"/>
          <w:bCs/>
          <w:i/>
          <w:sz w:val="24"/>
          <w:szCs w:val="24"/>
          <w:lang w:val="es-ES" w:eastAsia="es-ES"/>
        </w:rPr>
        <w:t>tres</w:t>
      </w:r>
      <w:r w:rsidR="00011C6A" w:rsidRPr="00323D7E">
        <w:rPr>
          <w:rFonts w:ascii="Century Gothic" w:eastAsia="Times New Roman" w:hAnsi="Century Gothic" w:cs="Arial"/>
          <w:bCs/>
          <w:i/>
          <w:sz w:val="24"/>
          <w:szCs w:val="24"/>
          <w:lang w:val="es-ES" w:eastAsia="es-ES"/>
        </w:rPr>
        <w:t xml:space="preserve"> de junio </w:t>
      </w:r>
      <w:r w:rsidR="00323D7E">
        <w:rPr>
          <w:rFonts w:ascii="Century Gothic" w:eastAsia="Times New Roman" w:hAnsi="Century Gothic" w:cs="Arial"/>
          <w:bCs/>
          <w:i/>
          <w:sz w:val="24"/>
          <w:szCs w:val="24"/>
          <w:lang w:val="es-ES" w:eastAsia="es-ES"/>
        </w:rPr>
        <w:t xml:space="preserve">de dos </w:t>
      </w:r>
      <w:r w:rsidR="00323D7E">
        <w:rPr>
          <w:rFonts w:ascii="Century Gothic" w:eastAsia="Times New Roman" w:hAnsi="Century Gothic" w:cs="Arial"/>
          <w:bCs/>
          <w:i/>
          <w:sz w:val="24"/>
          <w:szCs w:val="24"/>
          <w:lang w:val="es-ES" w:eastAsia="es-ES"/>
        </w:rPr>
        <w:lastRenderedPageBreak/>
        <w:t>mil veintiuno,</w:t>
      </w:r>
      <w:r w:rsidR="00011C6A" w:rsidRPr="00323D7E">
        <w:rPr>
          <w:rFonts w:ascii="Century Gothic" w:eastAsia="Times New Roman" w:hAnsi="Century Gothic" w:cs="Arial"/>
          <w:bCs/>
          <w:i/>
          <w:sz w:val="24"/>
          <w:szCs w:val="24"/>
          <w:lang w:val="es-ES" w:eastAsia="es-ES"/>
        </w:rPr>
        <w:t xml:space="preserve"> mediante la cual se dio respuesta a su oficio en cita, la cual contenía la información solicitada, de la cual oportunamente se hizo sabedor de la misma, sin embargo, situación muy distinta, fue que el actor no estaba conforme con la respuesta generada, intentando sorprender la buena fe de esta Autoridad al hacerse desconocedor de la misma y promover en los términos que lo hizo en el presente expediente</w:t>
      </w:r>
      <w:r w:rsidR="00011C6A" w:rsidRPr="00A05CC3">
        <w:rPr>
          <w:rFonts w:ascii="Century Gothic" w:eastAsia="Times New Roman" w:hAnsi="Century Gothic" w:cs="Arial"/>
          <w:bCs/>
          <w:i/>
          <w:lang w:val="es-ES" w:eastAsia="es-ES"/>
        </w:rPr>
        <w:t>”</w:t>
      </w:r>
    </w:p>
    <w:p w14:paraId="131125CA" w14:textId="31E54B55" w:rsidR="0073080C" w:rsidRPr="00E06633" w:rsidRDefault="00297E37" w:rsidP="00E06633">
      <w:pPr>
        <w:widowControl w:val="0"/>
        <w:tabs>
          <w:tab w:val="left" w:pos="7938"/>
        </w:tabs>
        <w:spacing w:before="240" w:line="240" w:lineRule="auto"/>
        <w:ind w:right="49" w:firstLine="709"/>
        <w:jc w:val="both"/>
        <w:rPr>
          <w:rFonts w:ascii="Century Gothic" w:eastAsia="Times New Roman" w:hAnsi="Century Gothic" w:cs="Arial"/>
          <w:sz w:val="24"/>
          <w:szCs w:val="24"/>
        </w:rPr>
      </w:pPr>
      <w:r>
        <w:rPr>
          <w:rFonts w:ascii="Century Gothic" w:eastAsia="Times New Roman" w:hAnsi="Century Gothic" w:cs="Arial"/>
          <w:sz w:val="24"/>
          <w:szCs w:val="24"/>
        </w:rPr>
        <w:t>14</w:t>
      </w:r>
      <w:r w:rsidR="000364B0">
        <w:rPr>
          <w:rFonts w:ascii="Century Gothic" w:eastAsia="Times New Roman" w:hAnsi="Century Gothic" w:cs="Arial"/>
          <w:sz w:val="24"/>
          <w:szCs w:val="24"/>
        </w:rPr>
        <w:t xml:space="preserve">. </w:t>
      </w:r>
      <w:r w:rsidR="0073080C" w:rsidRPr="00251BFA">
        <w:rPr>
          <w:rFonts w:ascii="Century Gothic" w:eastAsia="Times New Roman" w:hAnsi="Century Gothic" w:cs="Arial"/>
          <w:sz w:val="24"/>
          <w:szCs w:val="24"/>
        </w:rPr>
        <w:t xml:space="preserve">Dicho agravio, resulta </w:t>
      </w:r>
      <w:r w:rsidR="0073080C" w:rsidRPr="00251BFA">
        <w:rPr>
          <w:rFonts w:ascii="Century Gothic" w:eastAsia="Times New Roman" w:hAnsi="Century Gothic" w:cs="Arial"/>
          <w:b/>
          <w:sz w:val="24"/>
          <w:szCs w:val="24"/>
        </w:rPr>
        <w:t>infundado</w:t>
      </w:r>
      <w:r w:rsidR="00011C6A" w:rsidRPr="00251BFA">
        <w:rPr>
          <w:rFonts w:ascii="Century Gothic" w:eastAsia="Times New Roman" w:hAnsi="Century Gothic" w:cs="Arial"/>
          <w:sz w:val="24"/>
          <w:szCs w:val="24"/>
        </w:rPr>
        <w:t>; toda vez que contrario a lo señalado por el recurrente,</w:t>
      </w:r>
      <w:r w:rsidR="0073080C" w:rsidRPr="00251BFA">
        <w:rPr>
          <w:rFonts w:ascii="Century Gothic" w:eastAsia="Times New Roman" w:hAnsi="Century Gothic" w:cs="Arial"/>
          <w:sz w:val="24"/>
          <w:szCs w:val="24"/>
        </w:rPr>
        <w:t xml:space="preserve"> en este caso que nos ocupa</w:t>
      </w:r>
      <w:r w:rsidR="003C2164">
        <w:rPr>
          <w:rFonts w:ascii="Century Gothic" w:eastAsia="Times New Roman" w:hAnsi="Century Gothic" w:cs="Arial"/>
          <w:sz w:val="24"/>
          <w:szCs w:val="24"/>
        </w:rPr>
        <w:t xml:space="preserve">, si se configuró </w:t>
      </w:r>
      <w:r w:rsidR="0073080C" w:rsidRPr="00251BFA">
        <w:rPr>
          <w:rFonts w:ascii="Century Gothic" w:eastAsia="Times New Roman" w:hAnsi="Century Gothic" w:cs="Arial"/>
          <w:sz w:val="24"/>
          <w:szCs w:val="24"/>
        </w:rPr>
        <w:t>el silencio</w:t>
      </w:r>
      <w:r w:rsidR="00011C6A" w:rsidRPr="00251BFA">
        <w:rPr>
          <w:rFonts w:ascii="Century Gothic" w:eastAsia="Times New Roman" w:hAnsi="Century Gothic" w:cs="Arial"/>
          <w:sz w:val="24"/>
          <w:szCs w:val="24"/>
        </w:rPr>
        <w:t xml:space="preserve"> administrativo, </w:t>
      </w:r>
      <w:r w:rsidR="0073080C" w:rsidRPr="00251BFA">
        <w:rPr>
          <w:rFonts w:ascii="Century Gothic" w:eastAsia="Times New Roman" w:hAnsi="Century Gothic" w:cs="Arial"/>
          <w:sz w:val="24"/>
          <w:szCs w:val="24"/>
        </w:rPr>
        <w:t xml:space="preserve">al no dar una contestación por escrito, en breve termino, coherente y congruente con lo solicitado, </w:t>
      </w:r>
      <w:r w:rsidR="003C2164">
        <w:rPr>
          <w:rFonts w:ascii="Century Gothic" w:eastAsia="Times New Roman" w:hAnsi="Century Gothic" w:cs="Arial"/>
          <w:sz w:val="24"/>
          <w:szCs w:val="24"/>
        </w:rPr>
        <w:t>aunado a que si bien el solicitante</w:t>
      </w:r>
      <w:r w:rsidR="000F09DA">
        <w:rPr>
          <w:rFonts w:ascii="Century Gothic" w:eastAsia="Times New Roman" w:hAnsi="Century Gothic" w:cs="Arial"/>
          <w:sz w:val="24"/>
          <w:szCs w:val="24"/>
        </w:rPr>
        <w:t xml:space="preserve"> </w:t>
      </w:r>
      <w:r w:rsidR="000F09DA">
        <w:rPr>
          <w:rFonts w:ascii="Century Gothic" w:hAnsi="Century Gothic" w:cs="Tahoma"/>
          <w:sz w:val="24"/>
          <w:szCs w:val="24"/>
        </w:rPr>
        <w:t>***********</w:t>
      </w:r>
      <w:r w:rsidR="00E06633">
        <w:rPr>
          <w:rFonts w:ascii="Century Gothic" w:eastAsia="Times New Roman" w:hAnsi="Century Gothic" w:cs="Arial"/>
          <w:sz w:val="24"/>
          <w:szCs w:val="24"/>
        </w:rPr>
        <w:t>, en su escrito de tres de junio del dos mil veintiuno, señaló domicilio</w:t>
      </w:r>
      <w:r w:rsidR="006E6360" w:rsidRPr="00251BFA">
        <w:rPr>
          <w:rFonts w:ascii="Century Gothic" w:eastAsia="Times New Roman" w:hAnsi="Century Gothic" w:cs="Arial"/>
          <w:sz w:val="24"/>
          <w:szCs w:val="24"/>
        </w:rPr>
        <w:t xml:space="preserve"> para recibir notificaciones y acuerdos, </w:t>
      </w:r>
      <w:r w:rsidR="00E06633">
        <w:rPr>
          <w:rFonts w:ascii="Century Gothic" w:eastAsia="Times New Roman" w:hAnsi="Century Gothic" w:cs="Arial"/>
          <w:sz w:val="24"/>
          <w:szCs w:val="24"/>
        </w:rPr>
        <w:t xml:space="preserve">y no obstante la autoridad no le notificó personalmente, </w:t>
      </w:r>
      <w:r w:rsidR="00251BFA" w:rsidRPr="00251BFA">
        <w:rPr>
          <w:rFonts w:ascii="Century Gothic" w:eastAsia="Times New Roman" w:hAnsi="Century Gothic" w:cs="Arial"/>
          <w:sz w:val="24"/>
          <w:szCs w:val="24"/>
        </w:rPr>
        <w:t>viola</w:t>
      </w:r>
      <w:r w:rsidR="00E06633">
        <w:rPr>
          <w:rFonts w:ascii="Century Gothic" w:eastAsia="Times New Roman" w:hAnsi="Century Gothic" w:cs="Arial"/>
          <w:sz w:val="24"/>
          <w:szCs w:val="24"/>
        </w:rPr>
        <w:t>ndo así</w:t>
      </w:r>
      <w:r w:rsidR="00251BFA" w:rsidRPr="00251BFA">
        <w:rPr>
          <w:rFonts w:ascii="Century Gothic" w:eastAsia="Times New Roman" w:hAnsi="Century Gothic" w:cs="Arial"/>
          <w:sz w:val="24"/>
          <w:szCs w:val="24"/>
        </w:rPr>
        <w:t xml:space="preserve"> la garantía individual consagrada en el artículo 8° d</w:t>
      </w:r>
      <w:r w:rsidR="00F73CCB">
        <w:rPr>
          <w:rFonts w:ascii="Century Gothic" w:eastAsia="Times New Roman" w:hAnsi="Century Gothic" w:cs="Arial"/>
          <w:sz w:val="24"/>
          <w:szCs w:val="24"/>
        </w:rPr>
        <w:t>e la Constitución Federal y artí</w:t>
      </w:r>
      <w:r w:rsidR="00251BFA" w:rsidRPr="00251BFA">
        <w:rPr>
          <w:rFonts w:ascii="Century Gothic" w:eastAsia="Times New Roman" w:hAnsi="Century Gothic" w:cs="Arial"/>
          <w:sz w:val="24"/>
          <w:szCs w:val="24"/>
        </w:rPr>
        <w:t xml:space="preserve">culo 13 de la Constitución Local, dejando en </w:t>
      </w:r>
      <w:r w:rsidR="00251BFA" w:rsidRPr="00251BFA">
        <w:rPr>
          <w:rFonts w:ascii="Century Gothic" w:hAnsi="Century Gothic"/>
          <w:sz w:val="24"/>
          <w:szCs w:val="24"/>
        </w:rPr>
        <w:t>la incertidumbre al solicitante  al no obtener respuesta a una petición puede tener consecuencias de riesgo y afectaciones en sus intereses, por la desestimación de la autoridad a su solicitud</w:t>
      </w:r>
      <w:r w:rsidR="003C2164">
        <w:rPr>
          <w:rFonts w:ascii="Century Gothic" w:hAnsi="Century Gothic"/>
          <w:sz w:val="24"/>
          <w:szCs w:val="24"/>
        </w:rPr>
        <w:t>.</w:t>
      </w:r>
    </w:p>
    <w:p w14:paraId="46D37669" w14:textId="464BA362" w:rsidR="003C2164" w:rsidRDefault="00297E37" w:rsidP="003C2164">
      <w:pPr>
        <w:spacing w:line="240" w:lineRule="auto"/>
        <w:ind w:firstLine="709"/>
        <w:jc w:val="both"/>
        <w:rPr>
          <w:rFonts w:ascii="Century Gothic" w:hAnsi="Century Gothic"/>
          <w:sz w:val="24"/>
          <w:szCs w:val="24"/>
        </w:rPr>
      </w:pPr>
      <w:r>
        <w:rPr>
          <w:rFonts w:ascii="Century Gothic" w:hAnsi="Century Gothic"/>
          <w:sz w:val="24"/>
          <w:szCs w:val="24"/>
        </w:rPr>
        <w:t>15</w:t>
      </w:r>
      <w:r w:rsidR="000364B0">
        <w:rPr>
          <w:rFonts w:ascii="Century Gothic" w:hAnsi="Century Gothic"/>
          <w:sz w:val="24"/>
          <w:szCs w:val="24"/>
        </w:rPr>
        <w:t xml:space="preserve">. </w:t>
      </w:r>
      <w:r w:rsidR="003C2164">
        <w:rPr>
          <w:rFonts w:ascii="Century Gothic" w:hAnsi="Century Gothic"/>
          <w:sz w:val="24"/>
          <w:szCs w:val="24"/>
        </w:rPr>
        <w:t xml:space="preserve">Para mayor abundamiento, </w:t>
      </w:r>
      <w:r w:rsidR="003C2164" w:rsidRPr="008E32E7">
        <w:rPr>
          <w:rFonts w:ascii="Century Gothic" w:hAnsi="Century Gothic"/>
          <w:sz w:val="24"/>
          <w:szCs w:val="24"/>
        </w:rPr>
        <w:t xml:space="preserve">respecto al oficio de </w:t>
      </w:r>
      <w:r w:rsidR="003C2164">
        <w:rPr>
          <w:rFonts w:ascii="Century Gothic" w:hAnsi="Century Gothic"/>
          <w:sz w:val="24"/>
          <w:szCs w:val="24"/>
        </w:rPr>
        <w:t>siete de junio del</w:t>
      </w:r>
      <w:r w:rsidR="003C2164" w:rsidRPr="008E32E7">
        <w:rPr>
          <w:rFonts w:ascii="Century Gothic" w:hAnsi="Century Gothic"/>
          <w:sz w:val="24"/>
          <w:szCs w:val="24"/>
        </w:rPr>
        <w:t xml:space="preserve"> dos mil veintidós</w:t>
      </w:r>
      <w:r w:rsidR="003C2164">
        <w:rPr>
          <w:rFonts w:ascii="Century Gothic" w:hAnsi="Century Gothic"/>
          <w:sz w:val="24"/>
          <w:szCs w:val="24"/>
        </w:rPr>
        <w:t>,</w:t>
      </w:r>
      <w:r w:rsidR="003C2164" w:rsidRPr="008E32E7">
        <w:rPr>
          <w:rFonts w:ascii="Century Gothic" w:hAnsi="Century Gothic"/>
          <w:sz w:val="24"/>
          <w:szCs w:val="24"/>
        </w:rPr>
        <w:t xml:space="preserve"> </w:t>
      </w:r>
      <w:r w:rsidR="003C2164" w:rsidRPr="00843D37">
        <w:rPr>
          <w:rFonts w:ascii="Century Gothic" w:hAnsi="Century Gothic"/>
          <w:b/>
          <w:sz w:val="24"/>
          <w:szCs w:val="24"/>
        </w:rPr>
        <w:t>donde refiere la autoridad demandada que dio respuesta al solicitante</w:t>
      </w:r>
      <w:r w:rsidR="003C2164" w:rsidRPr="008E32E7">
        <w:rPr>
          <w:rFonts w:ascii="Century Gothic" w:hAnsi="Century Gothic"/>
          <w:sz w:val="24"/>
          <w:szCs w:val="24"/>
        </w:rPr>
        <w:t xml:space="preserve">, </w:t>
      </w:r>
      <w:r w:rsidR="00843D37">
        <w:rPr>
          <w:rFonts w:ascii="Century Gothic" w:hAnsi="Century Gothic"/>
          <w:sz w:val="24"/>
          <w:szCs w:val="24"/>
        </w:rPr>
        <w:t xml:space="preserve">debe aclararse que </w:t>
      </w:r>
      <w:r w:rsidR="003C2164">
        <w:rPr>
          <w:rFonts w:ascii="Century Gothic" w:hAnsi="Century Gothic"/>
          <w:sz w:val="24"/>
          <w:szCs w:val="24"/>
        </w:rPr>
        <w:t xml:space="preserve">al ser un </w:t>
      </w:r>
      <w:r w:rsidR="003C2164" w:rsidRPr="008E32E7">
        <w:rPr>
          <w:rFonts w:ascii="Century Gothic" w:hAnsi="Century Gothic"/>
          <w:sz w:val="24"/>
          <w:szCs w:val="24"/>
        </w:rPr>
        <w:t>acto administrativo de carácter individua</w:t>
      </w:r>
      <w:r w:rsidR="003C2164">
        <w:rPr>
          <w:rFonts w:ascii="Century Gothic" w:hAnsi="Century Gothic"/>
          <w:sz w:val="24"/>
          <w:szCs w:val="24"/>
        </w:rPr>
        <w:t xml:space="preserve">l, este para que </w:t>
      </w:r>
      <w:r w:rsidR="003C2164" w:rsidRPr="008E32E7">
        <w:rPr>
          <w:rFonts w:ascii="Century Gothic" w:hAnsi="Century Gothic"/>
          <w:sz w:val="24"/>
          <w:szCs w:val="24"/>
        </w:rPr>
        <w:t>produzcan efectos jurídicos</w:t>
      </w:r>
      <w:r w:rsidR="003C2164">
        <w:rPr>
          <w:rFonts w:ascii="Century Gothic" w:hAnsi="Century Gothic"/>
          <w:sz w:val="24"/>
          <w:szCs w:val="24"/>
        </w:rPr>
        <w:t xml:space="preserve"> </w:t>
      </w:r>
      <w:r w:rsidR="003C2164" w:rsidRPr="008E32E7">
        <w:rPr>
          <w:rFonts w:ascii="Century Gothic" w:hAnsi="Century Gothic"/>
          <w:sz w:val="24"/>
          <w:szCs w:val="24"/>
        </w:rPr>
        <w:t xml:space="preserve">deberán </w:t>
      </w:r>
      <w:r w:rsidR="003C2164" w:rsidRPr="00295109">
        <w:rPr>
          <w:rFonts w:ascii="Century Gothic" w:hAnsi="Century Gothic"/>
          <w:sz w:val="24"/>
          <w:szCs w:val="24"/>
          <w:u w:val="single"/>
        </w:rPr>
        <w:t>notificarse personalmente</w:t>
      </w:r>
      <w:r w:rsidR="003C2164">
        <w:rPr>
          <w:rFonts w:ascii="Century Gothic" w:hAnsi="Century Gothic"/>
          <w:sz w:val="24"/>
          <w:szCs w:val="24"/>
        </w:rPr>
        <w:t xml:space="preserve"> y/o </w:t>
      </w:r>
      <w:r w:rsidR="003C2164" w:rsidRPr="008E32E7">
        <w:rPr>
          <w:rFonts w:ascii="Century Gothic" w:hAnsi="Century Gothic"/>
          <w:sz w:val="24"/>
          <w:szCs w:val="24"/>
        </w:rPr>
        <w:t>publicarse en dicho órgano informativo cuando así lo establezcan las leyes</w:t>
      </w:r>
      <w:r w:rsidR="003C2164">
        <w:rPr>
          <w:rFonts w:ascii="Century Gothic" w:hAnsi="Century Gothic"/>
          <w:sz w:val="24"/>
          <w:szCs w:val="24"/>
        </w:rPr>
        <w:t>, lo anterior de conformidad con lo establecido en la última parte d</w:t>
      </w:r>
      <w:r w:rsidR="00F73CCB">
        <w:rPr>
          <w:rFonts w:ascii="Century Gothic" w:hAnsi="Century Gothic"/>
          <w:sz w:val="24"/>
          <w:szCs w:val="24"/>
        </w:rPr>
        <w:t xml:space="preserve">el primer párrafo del artículo </w:t>
      </w:r>
      <w:r w:rsidR="00347A89">
        <w:rPr>
          <w:rFonts w:ascii="Century Gothic" w:hAnsi="Century Gothic"/>
          <w:sz w:val="24"/>
          <w:szCs w:val="24"/>
        </w:rPr>
        <w:t>4</w:t>
      </w:r>
      <w:r w:rsidR="003C2164">
        <w:rPr>
          <w:rFonts w:ascii="Century Gothic" w:hAnsi="Century Gothic"/>
          <w:sz w:val="24"/>
          <w:szCs w:val="24"/>
        </w:rPr>
        <w:t xml:space="preserve"> de la </w:t>
      </w:r>
      <w:r w:rsidR="003C2164" w:rsidRPr="00295109">
        <w:rPr>
          <w:rFonts w:ascii="Century Gothic" w:hAnsi="Century Gothic"/>
          <w:sz w:val="24"/>
          <w:szCs w:val="24"/>
        </w:rPr>
        <w:t xml:space="preserve">Ley </w:t>
      </w:r>
      <w:r w:rsidR="003C2164">
        <w:rPr>
          <w:rFonts w:ascii="Century Gothic" w:hAnsi="Century Gothic"/>
          <w:sz w:val="24"/>
          <w:szCs w:val="24"/>
        </w:rPr>
        <w:t>d</w:t>
      </w:r>
      <w:r w:rsidR="003C2164" w:rsidRPr="00295109">
        <w:rPr>
          <w:rFonts w:ascii="Century Gothic" w:hAnsi="Century Gothic"/>
          <w:sz w:val="24"/>
          <w:szCs w:val="24"/>
        </w:rPr>
        <w:t>e Procedimiento</w:t>
      </w:r>
      <w:r w:rsidR="003C2164">
        <w:rPr>
          <w:rFonts w:ascii="Century Gothic" w:hAnsi="Century Gothic"/>
          <w:sz w:val="24"/>
          <w:szCs w:val="24"/>
        </w:rPr>
        <w:t xml:space="preserve">. </w:t>
      </w:r>
    </w:p>
    <w:p w14:paraId="3972654C" w14:textId="6B3C8CF2" w:rsidR="003C2164" w:rsidRDefault="00297E37" w:rsidP="003C2164">
      <w:pPr>
        <w:spacing w:line="240" w:lineRule="auto"/>
        <w:ind w:firstLine="709"/>
        <w:jc w:val="both"/>
        <w:rPr>
          <w:rFonts w:ascii="Century Gothic" w:hAnsi="Century Gothic"/>
          <w:sz w:val="24"/>
          <w:szCs w:val="24"/>
        </w:rPr>
      </w:pPr>
      <w:r>
        <w:rPr>
          <w:rFonts w:ascii="Century Gothic" w:hAnsi="Century Gothic"/>
          <w:sz w:val="24"/>
          <w:szCs w:val="24"/>
        </w:rPr>
        <w:t>16</w:t>
      </w:r>
      <w:r w:rsidR="000364B0">
        <w:rPr>
          <w:rFonts w:ascii="Century Gothic" w:hAnsi="Century Gothic"/>
          <w:sz w:val="24"/>
          <w:szCs w:val="24"/>
        </w:rPr>
        <w:t xml:space="preserve">. </w:t>
      </w:r>
      <w:r w:rsidR="003C2164">
        <w:rPr>
          <w:rFonts w:ascii="Century Gothic" w:hAnsi="Century Gothic"/>
          <w:sz w:val="24"/>
          <w:szCs w:val="24"/>
        </w:rPr>
        <w:t>Siendo que e</w:t>
      </w:r>
      <w:r w:rsidR="003C2164" w:rsidRPr="00295109">
        <w:rPr>
          <w:rFonts w:ascii="Century Gothic" w:hAnsi="Century Gothic"/>
          <w:sz w:val="24"/>
          <w:szCs w:val="24"/>
        </w:rPr>
        <w:t>l acto administrativo válido, será eficaz y exigible a partir de que surta efectos la notificación legalmente efectuada</w:t>
      </w:r>
      <w:r w:rsidR="003C2164" w:rsidRPr="00347A89">
        <w:rPr>
          <w:rStyle w:val="Refdenotaalpie"/>
          <w:rFonts w:ascii="Century Gothic" w:hAnsi="Century Gothic"/>
          <w:b/>
        </w:rPr>
        <w:footnoteReference w:id="4"/>
      </w:r>
      <w:r w:rsidR="003C2164">
        <w:rPr>
          <w:rFonts w:ascii="Century Gothic" w:hAnsi="Century Gothic"/>
          <w:sz w:val="24"/>
          <w:szCs w:val="24"/>
        </w:rPr>
        <w:t xml:space="preserve">, siendo que se considera la notificación </w:t>
      </w:r>
      <w:r w:rsidR="003C2164" w:rsidRPr="00295109">
        <w:rPr>
          <w:rFonts w:ascii="Century Gothic" w:hAnsi="Century Gothic"/>
          <w:sz w:val="24"/>
          <w:szCs w:val="24"/>
        </w:rPr>
        <w:t>personal con quien deba entenderse la diligencia, en el domicilio señalado por el interesado</w:t>
      </w:r>
      <w:r w:rsidR="003C2164">
        <w:rPr>
          <w:rFonts w:ascii="Century Gothic" w:hAnsi="Century Gothic"/>
          <w:sz w:val="24"/>
          <w:szCs w:val="24"/>
        </w:rPr>
        <w:t>,</w:t>
      </w:r>
      <w:r w:rsidR="003C2164" w:rsidRPr="00117B97">
        <w:rPr>
          <w:rFonts w:ascii="Century Gothic" w:hAnsi="Century Gothic"/>
          <w:sz w:val="24"/>
          <w:szCs w:val="24"/>
        </w:rPr>
        <w:t xml:space="preserve"> o su representante legal; a falta de ambos, el notificador dejará citatorio con cualquier persona que se encuentre en el domicilio, para que el interesado espere en hora fija del día hábil siguiente. Si el domicilio se encontrare cerrado, el citatorio se dejará con el vecino más inmediato.</w:t>
      </w:r>
    </w:p>
    <w:p w14:paraId="74A4F590" w14:textId="376052F5" w:rsidR="003C2164" w:rsidRDefault="00297E37" w:rsidP="003C2164">
      <w:pPr>
        <w:spacing w:line="240" w:lineRule="auto"/>
        <w:ind w:firstLine="709"/>
        <w:jc w:val="both"/>
        <w:rPr>
          <w:rFonts w:ascii="Century Gothic" w:hAnsi="Century Gothic"/>
          <w:sz w:val="24"/>
          <w:szCs w:val="24"/>
        </w:rPr>
      </w:pPr>
      <w:r>
        <w:rPr>
          <w:rFonts w:ascii="Century Gothic" w:hAnsi="Century Gothic"/>
          <w:sz w:val="24"/>
          <w:szCs w:val="24"/>
        </w:rPr>
        <w:t>17</w:t>
      </w:r>
      <w:r w:rsidR="000364B0">
        <w:rPr>
          <w:rFonts w:ascii="Century Gothic" w:hAnsi="Century Gothic"/>
          <w:sz w:val="24"/>
          <w:szCs w:val="24"/>
        </w:rPr>
        <w:t xml:space="preserve">. </w:t>
      </w:r>
      <w:r w:rsidR="003C2164" w:rsidRPr="00117B97">
        <w:rPr>
          <w:rFonts w:ascii="Century Gothic" w:hAnsi="Century Gothic"/>
          <w:sz w:val="24"/>
          <w:szCs w:val="24"/>
        </w:rPr>
        <w:t xml:space="preserve">Ahora bien, la ley establece que el notificador deberá cerciorarse del domicilio del interesado y deberá entregar copia del acto que se notifique y señalar la fecha y hora en que la notificación se efectúa, recabando el nombre y firma de la persona con quien se entienda la diligencia. </w:t>
      </w:r>
      <w:r w:rsidR="003C2164" w:rsidRPr="00117B97">
        <w:rPr>
          <w:rFonts w:ascii="Century Gothic" w:hAnsi="Century Gothic"/>
          <w:b/>
          <w:bCs/>
          <w:sz w:val="24"/>
          <w:szCs w:val="24"/>
        </w:rPr>
        <w:t>Si ésta se niega, se hará constar en el acta de notificación, sin que ello afecte su validez</w:t>
      </w:r>
      <w:r w:rsidR="003C2164">
        <w:rPr>
          <w:rStyle w:val="Refdenotaalpie"/>
          <w:rFonts w:ascii="Century Gothic" w:hAnsi="Century Gothic"/>
          <w:b/>
          <w:bCs/>
        </w:rPr>
        <w:footnoteReference w:id="5"/>
      </w:r>
      <w:r w:rsidR="003C2164" w:rsidRPr="00117B97">
        <w:rPr>
          <w:rFonts w:ascii="Century Gothic" w:hAnsi="Century Gothic"/>
          <w:b/>
          <w:bCs/>
          <w:sz w:val="24"/>
          <w:szCs w:val="24"/>
        </w:rPr>
        <w:t>.</w:t>
      </w:r>
    </w:p>
    <w:p w14:paraId="776D9729" w14:textId="4C6F5F70" w:rsidR="003C2164" w:rsidRPr="008E32E7" w:rsidRDefault="00297E37" w:rsidP="003C2164">
      <w:pPr>
        <w:spacing w:line="240" w:lineRule="auto"/>
        <w:ind w:firstLine="709"/>
        <w:jc w:val="both"/>
        <w:rPr>
          <w:rFonts w:ascii="Century Gothic" w:hAnsi="Century Gothic"/>
          <w:sz w:val="24"/>
          <w:szCs w:val="24"/>
        </w:rPr>
      </w:pPr>
      <w:r>
        <w:rPr>
          <w:rFonts w:ascii="Century Gothic" w:hAnsi="Century Gothic"/>
          <w:sz w:val="24"/>
          <w:szCs w:val="24"/>
        </w:rPr>
        <w:lastRenderedPageBreak/>
        <w:t>18</w:t>
      </w:r>
      <w:r w:rsidR="000364B0">
        <w:rPr>
          <w:rFonts w:ascii="Century Gothic" w:hAnsi="Century Gothic"/>
          <w:sz w:val="24"/>
          <w:szCs w:val="24"/>
        </w:rPr>
        <w:t xml:space="preserve">. </w:t>
      </w:r>
      <w:r w:rsidR="003C2164">
        <w:rPr>
          <w:rFonts w:ascii="Century Gothic" w:hAnsi="Century Gothic"/>
          <w:sz w:val="24"/>
          <w:szCs w:val="24"/>
        </w:rPr>
        <w:t>De lo antes descrito, se tiene que la normatividad obliga a la autoridad a cumplir con ciertos requisitos para que el acto administrativo tenga validez, sin embargo, aun y cuando sostenga que se le dio a conocer al gobernado la contestación a sus solicitud, no existe constancia o certificación que la ley requiere para que acredite que efectivamente se le haya puesto de su conocimiento al solicitante, por lo tanto, como se ha ido comentando en la presente su pretensión respecto a este señalamiento es infundado.</w:t>
      </w:r>
    </w:p>
    <w:p w14:paraId="41C21433" w14:textId="02D5B4AC" w:rsidR="00011C6A" w:rsidRPr="00251BFA" w:rsidRDefault="00297E37" w:rsidP="00251BFA">
      <w:pPr>
        <w:widowControl w:val="0"/>
        <w:tabs>
          <w:tab w:val="left" w:pos="7938"/>
        </w:tabs>
        <w:spacing w:before="240" w:line="240" w:lineRule="auto"/>
        <w:ind w:right="49" w:firstLine="709"/>
        <w:jc w:val="both"/>
        <w:rPr>
          <w:rFonts w:ascii="Century Gothic" w:eastAsia="Calibri" w:hAnsi="Century Gothic" w:cs="Arial"/>
          <w:bCs/>
          <w:sz w:val="24"/>
          <w:szCs w:val="24"/>
        </w:rPr>
      </w:pPr>
      <w:r>
        <w:rPr>
          <w:rFonts w:ascii="Century Gothic" w:eastAsia="Times New Roman" w:hAnsi="Century Gothic" w:cs="Arial"/>
          <w:sz w:val="24"/>
          <w:szCs w:val="24"/>
        </w:rPr>
        <w:t>19</w:t>
      </w:r>
      <w:r w:rsidR="000364B0">
        <w:rPr>
          <w:rFonts w:ascii="Century Gothic" w:eastAsia="Times New Roman" w:hAnsi="Century Gothic" w:cs="Arial"/>
          <w:sz w:val="24"/>
          <w:szCs w:val="24"/>
        </w:rPr>
        <w:t xml:space="preserve">. </w:t>
      </w:r>
      <w:r w:rsidR="00011C6A" w:rsidRPr="00251BFA">
        <w:rPr>
          <w:rFonts w:ascii="Century Gothic" w:eastAsia="Times New Roman" w:hAnsi="Century Gothic" w:cs="Arial"/>
          <w:sz w:val="24"/>
          <w:szCs w:val="24"/>
        </w:rPr>
        <w:t>Ahora bien, al respecto debe resaltarse que e</w:t>
      </w:r>
      <w:r w:rsidR="00011C6A" w:rsidRPr="00251BFA">
        <w:rPr>
          <w:rFonts w:ascii="Century Gothic" w:eastAsia="Calibri" w:hAnsi="Century Gothic" w:cs="Arial"/>
          <w:bCs/>
          <w:sz w:val="24"/>
          <w:szCs w:val="24"/>
        </w:rPr>
        <w:t xml:space="preserve">l </w:t>
      </w:r>
      <w:r w:rsidR="00011C6A" w:rsidRPr="00251BFA">
        <w:rPr>
          <w:rFonts w:ascii="Century Gothic" w:hAnsi="Century Gothic" w:cs="Arial"/>
          <w:sz w:val="24"/>
          <w:szCs w:val="24"/>
        </w:rPr>
        <w:t>propósito de la resolución negativa ficta, es resolver la situación de incertidumbre jurídica provocada por la falta de respuesta de la autoridad; esto es, ver el fondo de la cuestión planteada y ser resuelta en definitiva, con el objetivo de dar una pronta resolución a la situación de los particulares; por lo que, la autoridad jurisdiccional debe atender la petición realizada por la parte actora, para resolver si es procedente o no</w:t>
      </w:r>
      <w:r w:rsidR="005F5FDD">
        <w:rPr>
          <w:rFonts w:ascii="Century Gothic" w:hAnsi="Century Gothic" w:cs="Arial"/>
          <w:sz w:val="24"/>
          <w:szCs w:val="24"/>
        </w:rPr>
        <w:t xml:space="preserve"> de</w:t>
      </w:r>
      <w:r w:rsidR="00CB1B93">
        <w:rPr>
          <w:rFonts w:ascii="Century Gothic" w:hAnsi="Century Gothic" w:cs="Arial"/>
          <w:sz w:val="24"/>
          <w:szCs w:val="24"/>
        </w:rPr>
        <w:t xml:space="preserve"> la solicitud</w:t>
      </w:r>
      <w:r w:rsidR="00011C6A" w:rsidRPr="00251BFA">
        <w:rPr>
          <w:rFonts w:ascii="Century Gothic" w:hAnsi="Century Gothic" w:cs="Arial"/>
          <w:sz w:val="24"/>
          <w:szCs w:val="24"/>
        </w:rPr>
        <w:t>; al respecto;</w:t>
      </w:r>
      <w:r w:rsidR="00011C6A" w:rsidRPr="00251BFA">
        <w:rPr>
          <w:rFonts w:ascii="Century Gothic" w:eastAsia="Calibri" w:hAnsi="Century Gothic" w:cs="Arial"/>
          <w:bCs/>
          <w:sz w:val="24"/>
          <w:szCs w:val="24"/>
        </w:rPr>
        <w:t xml:space="preserve"> sirve de referencia el criterio</w:t>
      </w:r>
      <w:r w:rsidR="00011C6A" w:rsidRPr="00251BFA">
        <w:rPr>
          <w:rStyle w:val="Refdenotaalpie"/>
          <w:rFonts w:ascii="Century Gothic" w:hAnsi="Century Gothic" w:cs="Arial"/>
          <w:sz w:val="24"/>
          <w:szCs w:val="24"/>
        </w:rPr>
        <w:footnoteReference w:id="6"/>
      </w:r>
      <w:r w:rsidR="00011C6A" w:rsidRPr="00251BFA">
        <w:rPr>
          <w:rFonts w:ascii="Century Gothic" w:eastAsia="Calibri" w:hAnsi="Century Gothic" w:cs="Arial"/>
          <w:bCs/>
          <w:sz w:val="24"/>
          <w:szCs w:val="24"/>
        </w:rPr>
        <w:t xml:space="preserve"> de rubro y texto siguientes:- - - - - </w:t>
      </w:r>
    </w:p>
    <w:p w14:paraId="688CF9CB" w14:textId="2DE31AE4" w:rsidR="00011C6A" w:rsidRPr="005F5FDD" w:rsidRDefault="00011C6A" w:rsidP="00CB1B93">
      <w:pPr>
        <w:pStyle w:val="Sinespaciado"/>
        <w:spacing w:before="240"/>
        <w:ind w:left="1134" w:right="474"/>
        <w:jc w:val="both"/>
        <w:rPr>
          <w:rFonts w:ascii="Century Gothic" w:eastAsia="Calibri" w:hAnsi="Century Gothic" w:cs="Arial"/>
          <w:b/>
          <w:i/>
        </w:rPr>
      </w:pPr>
      <w:r w:rsidRPr="005F5FDD">
        <w:rPr>
          <w:rFonts w:ascii="Century Gothic" w:eastAsia="Calibri" w:hAnsi="Century Gothic" w:cs="Arial"/>
          <w:bCs/>
          <w:i/>
        </w:rPr>
        <w:t>“</w:t>
      </w:r>
      <w:r w:rsidRPr="005F5FDD">
        <w:rPr>
          <w:rFonts w:ascii="Century Gothic" w:eastAsia="Calibri" w:hAnsi="Century Gothic" w:cs="Arial"/>
          <w:b/>
          <w:bCs/>
          <w:i/>
        </w:rPr>
        <w:t>NEGATIVA FICTA. LA SENTENCIA QUE DECLARE SU NULIDAD DEBE RESOLVER EL FONDO DE LA PRETENSIÓN, AUN CUANDO SE TRATE DE FACULTADES DISCRECIONALES DE LA AUTORIDAD</w:t>
      </w:r>
      <w:r w:rsidRPr="005F5FDD">
        <w:rPr>
          <w:rFonts w:ascii="Century Gothic" w:eastAsia="Calibri" w:hAnsi="Century Gothic" w:cs="Arial"/>
          <w:bCs/>
          <w:i/>
        </w:rPr>
        <w:t>.</w:t>
      </w:r>
      <w:r w:rsidR="00CB1B93">
        <w:rPr>
          <w:rStyle w:val="Refdenotaalpie"/>
          <w:rFonts w:ascii="Century Gothic" w:eastAsia="Calibri" w:hAnsi="Century Gothic" w:cs="Arial"/>
          <w:bCs/>
          <w:i/>
        </w:rPr>
        <w:footnoteReference w:id="7"/>
      </w:r>
    </w:p>
    <w:p w14:paraId="34F58958" w14:textId="7A08A6C4" w:rsidR="00CB1B93" w:rsidRDefault="00297E37" w:rsidP="00251BFA">
      <w:pPr>
        <w:spacing w:before="120" w:after="0" w:line="240" w:lineRule="auto"/>
        <w:ind w:right="49" w:firstLine="708"/>
        <w:jc w:val="both"/>
        <w:rPr>
          <w:rFonts w:ascii="Century Gothic" w:eastAsia="Calibri" w:hAnsi="Century Gothic" w:cs="Arial"/>
          <w:bCs/>
          <w:sz w:val="24"/>
          <w:szCs w:val="24"/>
        </w:rPr>
      </w:pPr>
      <w:r>
        <w:rPr>
          <w:rFonts w:ascii="Century Gothic" w:eastAsia="Calibri" w:hAnsi="Century Gothic" w:cs="Arial"/>
          <w:sz w:val="24"/>
          <w:szCs w:val="24"/>
        </w:rPr>
        <w:t>20</w:t>
      </w:r>
      <w:r w:rsidR="000364B0">
        <w:rPr>
          <w:rFonts w:ascii="Century Gothic" w:eastAsia="Calibri" w:hAnsi="Century Gothic" w:cs="Arial"/>
          <w:sz w:val="24"/>
          <w:szCs w:val="24"/>
        </w:rPr>
        <w:t xml:space="preserve">. </w:t>
      </w:r>
      <w:r w:rsidR="00011C6A" w:rsidRPr="00251BFA">
        <w:rPr>
          <w:rFonts w:ascii="Century Gothic" w:eastAsia="Calibri" w:hAnsi="Century Gothic" w:cs="Arial"/>
          <w:sz w:val="24"/>
          <w:szCs w:val="24"/>
        </w:rPr>
        <w:t xml:space="preserve">Propósito que fue acatado por la resolutora de Primera Instancia, pues del </w:t>
      </w:r>
      <w:r w:rsidR="00011C6A" w:rsidRPr="00251BFA">
        <w:rPr>
          <w:rFonts w:ascii="Century Gothic" w:eastAsia="Calibri" w:hAnsi="Century Gothic" w:cs="Arial"/>
          <w:bCs/>
          <w:sz w:val="24"/>
          <w:szCs w:val="24"/>
        </w:rPr>
        <w:t xml:space="preserve">análisis a las constancias que integran el expediente </w:t>
      </w:r>
      <w:r w:rsidR="00CB1B93">
        <w:rPr>
          <w:rFonts w:ascii="Century Gothic" w:eastAsia="Calibri" w:hAnsi="Century Gothic" w:cs="Arial"/>
          <w:bCs/>
          <w:sz w:val="24"/>
          <w:szCs w:val="24"/>
        </w:rPr>
        <w:t>que nos ocupa,</w:t>
      </w:r>
      <w:r w:rsidR="00011C6A" w:rsidRPr="00251BFA">
        <w:rPr>
          <w:rFonts w:ascii="Century Gothic" w:eastAsia="Calibri" w:hAnsi="Century Gothic" w:cs="Arial"/>
          <w:bCs/>
          <w:sz w:val="24"/>
          <w:szCs w:val="24"/>
        </w:rPr>
        <w:t xml:space="preserve"> con </w:t>
      </w:r>
      <w:r w:rsidR="00011C6A" w:rsidRPr="00251BFA">
        <w:rPr>
          <w:rFonts w:ascii="Century Gothic" w:hAnsi="Century Gothic" w:cs="Arial"/>
          <w:color w:val="000000"/>
          <w:sz w:val="24"/>
          <w:szCs w:val="24"/>
        </w:rPr>
        <w:t>pleno valor probatorio conforme lo establece el artículo 203, fracción I</w:t>
      </w:r>
      <w:r w:rsidR="00011C6A" w:rsidRPr="00251BFA">
        <w:rPr>
          <w:rStyle w:val="Refdenotaalpie"/>
          <w:rFonts w:ascii="Century Gothic" w:hAnsi="Century Gothic" w:cs="Arial"/>
          <w:color w:val="000000"/>
          <w:sz w:val="24"/>
          <w:szCs w:val="24"/>
        </w:rPr>
        <w:footnoteReference w:id="8"/>
      </w:r>
      <w:r w:rsidR="00011C6A" w:rsidRPr="00251BFA">
        <w:rPr>
          <w:rFonts w:ascii="Century Gothic" w:hAnsi="Century Gothic" w:cs="Arial"/>
          <w:color w:val="000000"/>
          <w:sz w:val="24"/>
          <w:szCs w:val="24"/>
        </w:rPr>
        <w:t xml:space="preserve"> de la Ley de Procedimiento, en especial de la </w:t>
      </w:r>
      <w:r w:rsidR="00011C6A" w:rsidRPr="00251BFA">
        <w:rPr>
          <w:rFonts w:ascii="Century Gothic" w:eastAsia="Calibri" w:hAnsi="Century Gothic" w:cs="Arial"/>
          <w:bCs/>
          <w:sz w:val="24"/>
          <w:szCs w:val="24"/>
        </w:rPr>
        <w:t xml:space="preserve">sentencia de </w:t>
      </w:r>
      <w:r w:rsidR="00251BFA" w:rsidRPr="00251BFA">
        <w:rPr>
          <w:rFonts w:ascii="Century Gothic" w:eastAsia="Calibri" w:hAnsi="Century Gothic" w:cs="Arial"/>
          <w:bCs/>
          <w:sz w:val="24"/>
          <w:szCs w:val="24"/>
        </w:rPr>
        <w:t>diez de enero del año que transcurre, se obtiene,</w:t>
      </w:r>
      <w:r w:rsidR="00011C6A" w:rsidRPr="00251BFA">
        <w:rPr>
          <w:rFonts w:ascii="Century Gothic" w:eastAsia="Calibri" w:hAnsi="Century Gothic" w:cs="Arial"/>
          <w:bCs/>
          <w:sz w:val="24"/>
          <w:szCs w:val="24"/>
        </w:rPr>
        <w:t xml:space="preserve"> que </w:t>
      </w:r>
      <w:r w:rsidR="00CB1B93">
        <w:rPr>
          <w:rFonts w:ascii="Century Gothic" w:eastAsia="Calibri" w:hAnsi="Century Gothic" w:cs="Arial"/>
          <w:bCs/>
          <w:sz w:val="24"/>
          <w:szCs w:val="24"/>
        </w:rPr>
        <w:t>se acredito la falta de respuesta a la petición del C.</w:t>
      </w:r>
      <w:r w:rsidR="000F09DA" w:rsidRPr="000F09DA">
        <w:rPr>
          <w:rFonts w:ascii="Century Gothic" w:hAnsi="Century Gothic" w:cs="Tahoma"/>
          <w:sz w:val="24"/>
          <w:szCs w:val="24"/>
        </w:rPr>
        <w:t xml:space="preserve"> </w:t>
      </w:r>
      <w:r w:rsidR="000F09DA">
        <w:rPr>
          <w:rFonts w:ascii="Century Gothic" w:hAnsi="Century Gothic" w:cs="Tahoma"/>
          <w:sz w:val="24"/>
          <w:szCs w:val="24"/>
        </w:rPr>
        <w:t>***********</w:t>
      </w:r>
      <w:r w:rsidR="0025673D">
        <w:rPr>
          <w:rFonts w:ascii="Century Gothic" w:eastAsia="Calibri" w:hAnsi="Century Gothic" w:cs="Arial"/>
          <w:bCs/>
          <w:sz w:val="24"/>
          <w:szCs w:val="24"/>
        </w:rPr>
        <w:t>, y</w:t>
      </w:r>
      <w:r w:rsidR="00843D37">
        <w:rPr>
          <w:rFonts w:ascii="Century Gothic" w:eastAsia="Calibri" w:hAnsi="Century Gothic" w:cs="Arial"/>
          <w:bCs/>
          <w:sz w:val="24"/>
          <w:szCs w:val="24"/>
        </w:rPr>
        <w:t xml:space="preserve"> por ende la negativa ficta.</w:t>
      </w:r>
    </w:p>
    <w:p w14:paraId="3275A681" w14:textId="3646A749" w:rsidR="0042380D" w:rsidRPr="00251BFA" w:rsidRDefault="00297E37" w:rsidP="00251BFA">
      <w:pPr>
        <w:spacing w:before="100" w:beforeAutospacing="1" w:after="0" w:line="240" w:lineRule="auto"/>
        <w:ind w:right="49" w:firstLine="709"/>
        <w:jc w:val="both"/>
        <w:rPr>
          <w:rFonts w:ascii="Century Gothic" w:hAnsi="Century Gothic" w:cs="Arial"/>
          <w:sz w:val="24"/>
          <w:szCs w:val="24"/>
        </w:rPr>
      </w:pPr>
      <w:r>
        <w:rPr>
          <w:rFonts w:ascii="Century Gothic" w:hAnsi="Century Gothic" w:cs="Arial"/>
          <w:sz w:val="24"/>
          <w:szCs w:val="24"/>
        </w:rPr>
        <w:lastRenderedPageBreak/>
        <w:t>21</w:t>
      </w:r>
      <w:r w:rsidR="000364B0">
        <w:rPr>
          <w:rFonts w:ascii="Century Gothic" w:hAnsi="Century Gothic" w:cs="Arial"/>
          <w:sz w:val="24"/>
          <w:szCs w:val="24"/>
        </w:rPr>
        <w:t xml:space="preserve">. </w:t>
      </w:r>
      <w:r w:rsidR="0042380D" w:rsidRPr="00251BFA">
        <w:rPr>
          <w:rFonts w:ascii="Century Gothic" w:hAnsi="Century Gothic" w:cs="Arial"/>
          <w:sz w:val="24"/>
          <w:szCs w:val="24"/>
        </w:rPr>
        <w:t xml:space="preserve">Consecuentemente, ante lo </w:t>
      </w:r>
      <w:r w:rsidR="0042380D" w:rsidRPr="00251BFA">
        <w:rPr>
          <w:rFonts w:ascii="Century Gothic" w:hAnsi="Century Gothic" w:cs="Arial"/>
          <w:b/>
          <w:bCs/>
          <w:sz w:val="24"/>
          <w:szCs w:val="24"/>
        </w:rPr>
        <w:t>infundado</w:t>
      </w:r>
      <w:r w:rsidR="0042380D" w:rsidRPr="00251BFA">
        <w:rPr>
          <w:rFonts w:ascii="Century Gothic" w:hAnsi="Century Gothic" w:cs="Arial"/>
          <w:sz w:val="24"/>
          <w:szCs w:val="24"/>
        </w:rPr>
        <w:t xml:space="preserve"> de los agravios planteados, lo procedente es </w:t>
      </w:r>
      <w:r w:rsidR="0042380D" w:rsidRPr="00251BFA">
        <w:rPr>
          <w:rFonts w:ascii="Century Gothic" w:hAnsi="Century Gothic" w:cs="Arial"/>
          <w:b/>
          <w:bCs/>
          <w:sz w:val="24"/>
          <w:szCs w:val="24"/>
        </w:rPr>
        <w:t>confirmar</w:t>
      </w:r>
      <w:r w:rsidR="0042380D" w:rsidRPr="00251BFA">
        <w:rPr>
          <w:rFonts w:ascii="Century Gothic" w:hAnsi="Century Gothic" w:cs="Arial"/>
          <w:sz w:val="24"/>
          <w:szCs w:val="24"/>
        </w:rPr>
        <w:t xml:space="preserve"> la sentencia recurrida; por lo que, con fundamento en los artículos 236, fracción VII y 238 de la Ley de Procedimiento, </w:t>
      </w:r>
      <w:r w:rsidR="005F5FDD" w:rsidRPr="00251BFA">
        <w:rPr>
          <w:rFonts w:ascii="Century Gothic" w:hAnsi="Century Gothic" w:cs="Arial"/>
          <w:sz w:val="24"/>
          <w:szCs w:val="24"/>
        </w:rPr>
        <w:t>se: -</w:t>
      </w:r>
      <w:r w:rsidR="0042380D" w:rsidRPr="00251BFA">
        <w:rPr>
          <w:rFonts w:ascii="Century Gothic" w:hAnsi="Century Gothic" w:cs="Arial"/>
          <w:sz w:val="24"/>
          <w:szCs w:val="24"/>
        </w:rPr>
        <w:t xml:space="preserve"> - - - - - - </w:t>
      </w:r>
      <w:r w:rsidR="000364B0" w:rsidRPr="00CB1B93">
        <w:rPr>
          <w:rFonts w:ascii="Century Gothic" w:hAnsi="Century Gothic" w:cs="Arial"/>
          <w:color w:val="000000"/>
          <w:sz w:val="24"/>
          <w:szCs w:val="24"/>
        </w:rPr>
        <w:t>- - - - - - - - -</w:t>
      </w:r>
      <w:r w:rsidR="000364B0">
        <w:rPr>
          <w:rFonts w:ascii="Century Gothic" w:hAnsi="Century Gothic" w:cs="Arial"/>
          <w:color w:val="000000"/>
          <w:sz w:val="24"/>
          <w:szCs w:val="24"/>
        </w:rPr>
        <w:t xml:space="preserve"> </w:t>
      </w:r>
      <w:r w:rsidR="000364B0" w:rsidRPr="00CB1B93">
        <w:rPr>
          <w:rFonts w:ascii="Century Gothic" w:hAnsi="Century Gothic" w:cs="Arial"/>
          <w:color w:val="000000"/>
          <w:sz w:val="24"/>
          <w:szCs w:val="24"/>
        </w:rPr>
        <w:t>- - - - - - - - -</w:t>
      </w:r>
      <w:r w:rsidR="000364B0">
        <w:rPr>
          <w:rFonts w:ascii="Century Gothic" w:hAnsi="Century Gothic" w:cs="Arial"/>
          <w:color w:val="000000"/>
          <w:sz w:val="24"/>
          <w:szCs w:val="24"/>
        </w:rPr>
        <w:t xml:space="preserve"> </w:t>
      </w:r>
      <w:r w:rsidR="000364B0" w:rsidRPr="00CB1B93">
        <w:rPr>
          <w:rFonts w:ascii="Century Gothic" w:hAnsi="Century Gothic" w:cs="Arial"/>
          <w:color w:val="000000"/>
          <w:sz w:val="24"/>
          <w:szCs w:val="24"/>
        </w:rPr>
        <w:t>- - - - - - - - -</w:t>
      </w:r>
      <w:r w:rsidR="000364B0">
        <w:rPr>
          <w:rFonts w:ascii="Century Gothic" w:hAnsi="Century Gothic" w:cs="Arial"/>
          <w:color w:val="000000"/>
          <w:sz w:val="24"/>
          <w:szCs w:val="24"/>
        </w:rPr>
        <w:t xml:space="preserve"> </w:t>
      </w:r>
      <w:r w:rsidR="000364B0" w:rsidRPr="00CB1B93">
        <w:rPr>
          <w:rFonts w:ascii="Century Gothic" w:hAnsi="Century Gothic" w:cs="Arial"/>
          <w:color w:val="000000"/>
          <w:sz w:val="24"/>
          <w:szCs w:val="24"/>
        </w:rPr>
        <w:t>- - - - - - - - -</w:t>
      </w:r>
    </w:p>
    <w:p w14:paraId="6681743C" w14:textId="77777777" w:rsidR="0042380D" w:rsidRPr="00251BFA" w:rsidRDefault="0042380D" w:rsidP="00251BFA">
      <w:pPr>
        <w:spacing w:before="100" w:beforeAutospacing="1" w:after="0" w:line="240" w:lineRule="auto"/>
        <w:ind w:right="49"/>
        <w:jc w:val="center"/>
        <w:rPr>
          <w:rFonts w:ascii="Century Gothic" w:hAnsi="Century Gothic" w:cs="Arial"/>
          <w:color w:val="000000"/>
          <w:sz w:val="24"/>
          <w:szCs w:val="24"/>
        </w:rPr>
      </w:pPr>
      <w:r w:rsidRPr="00251BFA">
        <w:rPr>
          <w:rFonts w:ascii="Century Gothic" w:hAnsi="Century Gothic" w:cs="Arial"/>
          <w:b/>
          <w:color w:val="000000"/>
          <w:sz w:val="24"/>
          <w:szCs w:val="24"/>
        </w:rPr>
        <w:t>R E S U E L V E</w:t>
      </w:r>
    </w:p>
    <w:p w14:paraId="3196361C" w14:textId="4F8C676C" w:rsidR="00CB1B93" w:rsidRPr="00CB1B93" w:rsidRDefault="00CB1B93" w:rsidP="0017368E">
      <w:pPr>
        <w:spacing w:before="100" w:beforeAutospacing="1" w:after="0" w:line="240" w:lineRule="auto"/>
        <w:ind w:right="49" w:firstLine="709"/>
        <w:jc w:val="both"/>
        <w:rPr>
          <w:rFonts w:ascii="Century Gothic" w:hAnsi="Century Gothic" w:cs="Arial"/>
          <w:color w:val="000000"/>
          <w:sz w:val="24"/>
          <w:szCs w:val="24"/>
        </w:rPr>
      </w:pPr>
      <w:r w:rsidRPr="00CB1B93">
        <w:rPr>
          <w:rFonts w:ascii="Century Gothic" w:hAnsi="Century Gothic" w:cs="Arial"/>
          <w:b/>
          <w:color w:val="000000"/>
          <w:sz w:val="24"/>
          <w:szCs w:val="24"/>
        </w:rPr>
        <w:t>PRIMERO</w:t>
      </w:r>
      <w:r w:rsidRPr="00CB1B93">
        <w:rPr>
          <w:rFonts w:ascii="Century Gothic" w:hAnsi="Century Gothic" w:cs="Arial"/>
          <w:color w:val="000000"/>
          <w:sz w:val="24"/>
          <w:szCs w:val="24"/>
        </w:rPr>
        <w:t xml:space="preserve">. Se </w:t>
      </w:r>
      <w:r w:rsidRPr="00CB1B93">
        <w:rPr>
          <w:rFonts w:ascii="Century Gothic" w:hAnsi="Century Gothic" w:cs="Arial"/>
          <w:b/>
          <w:bCs/>
          <w:color w:val="000000"/>
          <w:sz w:val="24"/>
          <w:szCs w:val="24"/>
        </w:rPr>
        <w:t>confirma</w:t>
      </w:r>
      <w:r w:rsidRPr="00CB1B93">
        <w:rPr>
          <w:rFonts w:ascii="Century Gothic" w:hAnsi="Century Gothic" w:cs="Arial"/>
          <w:color w:val="000000"/>
          <w:sz w:val="24"/>
          <w:szCs w:val="24"/>
        </w:rPr>
        <w:t xml:space="preserve"> la sentencia de </w:t>
      </w:r>
      <w:r>
        <w:rPr>
          <w:rFonts w:ascii="Century Gothic" w:hAnsi="Century Gothic" w:cs="Arial"/>
          <w:color w:val="000000"/>
          <w:sz w:val="24"/>
          <w:szCs w:val="24"/>
        </w:rPr>
        <w:t xml:space="preserve">diez de enero de dos mil veintitrés emitida dentro del juicio de nulidad </w:t>
      </w:r>
      <w:r w:rsidR="00CE5FBE">
        <w:rPr>
          <w:rFonts w:ascii="Century Gothic" w:hAnsi="Century Gothic" w:cs="Arial"/>
          <w:color w:val="000000"/>
          <w:sz w:val="24"/>
          <w:szCs w:val="24"/>
        </w:rPr>
        <w:t>0</w:t>
      </w:r>
      <w:r w:rsidR="003C2164">
        <w:rPr>
          <w:rFonts w:ascii="Century Gothic" w:hAnsi="Century Gothic" w:cs="Arial"/>
          <w:color w:val="000000"/>
          <w:sz w:val="24"/>
          <w:szCs w:val="24"/>
        </w:rPr>
        <w:t>101/2021 del índice de la Segunda Sala Unitaria de Primera Instancia</w:t>
      </w:r>
      <w:r w:rsidRPr="00CB1B93">
        <w:rPr>
          <w:rFonts w:ascii="Century Gothic" w:hAnsi="Century Gothic" w:cs="Arial"/>
          <w:color w:val="000000"/>
          <w:sz w:val="24"/>
          <w:szCs w:val="24"/>
        </w:rPr>
        <w:t xml:space="preserve">, por las razones expuestas en el considerando </w:t>
      </w:r>
      <w:r w:rsidR="003C2164">
        <w:rPr>
          <w:rFonts w:ascii="Century Gothic" w:hAnsi="Century Gothic" w:cs="Arial"/>
          <w:b/>
          <w:color w:val="000000"/>
          <w:sz w:val="24"/>
          <w:szCs w:val="24"/>
        </w:rPr>
        <w:t xml:space="preserve">Cuarto </w:t>
      </w:r>
      <w:r w:rsidRPr="00CB1B93">
        <w:rPr>
          <w:rFonts w:ascii="Century Gothic" w:hAnsi="Century Gothic" w:cs="Arial"/>
          <w:color w:val="000000"/>
          <w:sz w:val="24"/>
          <w:szCs w:val="24"/>
        </w:rPr>
        <w:t xml:space="preserve">de la presente </w:t>
      </w:r>
      <w:r w:rsidR="003C2164" w:rsidRPr="00CB1B93">
        <w:rPr>
          <w:rFonts w:ascii="Century Gothic" w:hAnsi="Century Gothic" w:cs="Arial"/>
          <w:color w:val="000000"/>
          <w:sz w:val="24"/>
          <w:szCs w:val="24"/>
        </w:rPr>
        <w:t>resolución. -</w:t>
      </w:r>
      <w:r w:rsidRPr="00CB1B93">
        <w:rPr>
          <w:rFonts w:ascii="Century Gothic" w:hAnsi="Century Gothic" w:cs="Arial"/>
          <w:color w:val="000000"/>
          <w:sz w:val="24"/>
          <w:szCs w:val="24"/>
        </w:rPr>
        <w:t xml:space="preserve"> - - - - - - - - - - - - - - - - - </w:t>
      </w:r>
    </w:p>
    <w:p w14:paraId="6AA6999A" w14:textId="58687426" w:rsidR="00CB1B93" w:rsidRPr="00CB1B93" w:rsidRDefault="00CB1B93" w:rsidP="0017368E">
      <w:pPr>
        <w:widowControl w:val="0"/>
        <w:tabs>
          <w:tab w:val="left" w:pos="0"/>
        </w:tabs>
        <w:spacing w:before="240" w:line="240" w:lineRule="auto"/>
        <w:ind w:right="49"/>
        <w:jc w:val="both"/>
        <w:rPr>
          <w:rFonts w:ascii="Century Gothic" w:hAnsi="Century Gothic" w:cs="Arial"/>
          <w:sz w:val="24"/>
          <w:szCs w:val="24"/>
        </w:rPr>
      </w:pPr>
      <w:r w:rsidRPr="00CB1B93">
        <w:rPr>
          <w:rFonts w:ascii="Century Gothic" w:hAnsi="Century Gothic" w:cs="Arial"/>
          <w:b/>
          <w:sz w:val="24"/>
          <w:szCs w:val="24"/>
        </w:rPr>
        <w:tab/>
        <w:t>SEGUNDO. Notifíquese y cúmplase</w:t>
      </w:r>
      <w:r w:rsidRPr="00CB1B93">
        <w:rPr>
          <w:rFonts w:ascii="Century Gothic" w:hAnsi="Century Gothic" w:cs="Arial"/>
          <w:sz w:val="24"/>
          <w:szCs w:val="24"/>
        </w:rPr>
        <w:t xml:space="preserve">, remítase copia certificada de la presente resolución a la </w:t>
      </w:r>
      <w:r w:rsidR="003C2164">
        <w:rPr>
          <w:rFonts w:ascii="Century Gothic" w:hAnsi="Century Gothic" w:cs="Arial"/>
          <w:sz w:val="24"/>
          <w:szCs w:val="24"/>
        </w:rPr>
        <w:t>Segunda</w:t>
      </w:r>
      <w:r w:rsidRPr="00CB1B93">
        <w:rPr>
          <w:rFonts w:ascii="Century Gothic" w:hAnsi="Century Gothic" w:cs="Arial"/>
          <w:sz w:val="24"/>
          <w:szCs w:val="24"/>
        </w:rPr>
        <w:t xml:space="preserve"> Sala Unitaria de Primera Instancia y en su oportunidad archívese el cuaderno de revisión como asunto </w:t>
      </w:r>
      <w:r w:rsidR="003C2164" w:rsidRPr="00CB1B93">
        <w:rPr>
          <w:rFonts w:ascii="Century Gothic" w:hAnsi="Century Gothic" w:cs="Arial"/>
          <w:sz w:val="24"/>
          <w:szCs w:val="24"/>
        </w:rPr>
        <w:t>concluido. -</w:t>
      </w:r>
      <w:r w:rsidRPr="00CB1B93">
        <w:rPr>
          <w:rFonts w:ascii="Century Gothic" w:hAnsi="Century Gothic" w:cs="Arial"/>
          <w:sz w:val="24"/>
          <w:szCs w:val="24"/>
        </w:rPr>
        <w:t xml:space="preserve"> - - - - - - - - - - - - - - - - - - - - - - - - - - - - - - - - - - - - - - - - - - - </w:t>
      </w:r>
      <w:r w:rsidR="0017368E">
        <w:rPr>
          <w:rFonts w:ascii="Century Gothic" w:hAnsi="Century Gothic" w:cs="Arial"/>
          <w:sz w:val="24"/>
          <w:szCs w:val="24"/>
        </w:rPr>
        <w:t xml:space="preserve">- - - - - </w:t>
      </w:r>
    </w:p>
    <w:p w14:paraId="63E471DE" w14:textId="349B9343" w:rsidR="006C5036" w:rsidRPr="00251BFA" w:rsidRDefault="006C5036" w:rsidP="00251BFA">
      <w:pPr>
        <w:spacing w:before="240" w:line="240" w:lineRule="auto"/>
        <w:ind w:firstLine="708"/>
        <w:jc w:val="both"/>
        <w:rPr>
          <w:rFonts w:ascii="Century Gothic" w:hAnsi="Century Gothic" w:cs="Arial"/>
          <w:sz w:val="24"/>
          <w:szCs w:val="24"/>
        </w:rPr>
      </w:pPr>
      <w:r w:rsidRPr="00251BFA">
        <w:rPr>
          <w:rFonts w:ascii="Century Gothic" w:hAnsi="Century Gothic" w:cs="Arial"/>
          <w:sz w:val="24"/>
          <w:szCs w:val="24"/>
        </w:rPr>
        <w:t xml:space="preserve">Por unanimidad de votos, lo resolvieron y firmaron los Magistrados integrantes de la Sala Superior Mateo Martínez </w:t>
      </w:r>
      <w:proofErr w:type="spellStart"/>
      <w:r w:rsidRPr="00251BFA">
        <w:rPr>
          <w:rFonts w:ascii="Century Gothic" w:hAnsi="Century Gothic" w:cs="Arial"/>
          <w:sz w:val="24"/>
          <w:szCs w:val="24"/>
        </w:rPr>
        <w:t>Martínez</w:t>
      </w:r>
      <w:proofErr w:type="spellEnd"/>
      <w:r w:rsidRPr="00251BFA">
        <w:rPr>
          <w:rFonts w:ascii="Century Gothic" w:hAnsi="Century Gothic" w:cs="Arial"/>
          <w:sz w:val="24"/>
          <w:szCs w:val="24"/>
        </w:rPr>
        <w:t xml:space="preserve">, Cruz Itzel Espinosa Rojas (ponente) y Manuel de Jesús López </w:t>
      </w:r>
      <w:proofErr w:type="spellStart"/>
      <w:r w:rsidRPr="00251BFA">
        <w:rPr>
          <w:rFonts w:ascii="Century Gothic" w:hAnsi="Century Gothic" w:cs="Arial"/>
          <w:sz w:val="24"/>
          <w:szCs w:val="24"/>
        </w:rPr>
        <w:t>López</w:t>
      </w:r>
      <w:proofErr w:type="spellEnd"/>
      <w:r w:rsidRPr="00251BFA">
        <w:rPr>
          <w:rFonts w:ascii="Century Gothic" w:hAnsi="Century Gothic" w:cs="Arial"/>
          <w:sz w:val="24"/>
          <w:szCs w:val="24"/>
        </w:rPr>
        <w:t xml:space="preserve">; quienes actúan con la Licenciada Lizbeth Jessica Gallardo Martínez, </w:t>
      </w:r>
      <w:proofErr w:type="gramStart"/>
      <w:r w:rsidRPr="00251BFA">
        <w:rPr>
          <w:rFonts w:ascii="Century Gothic" w:hAnsi="Century Gothic" w:cs="Arial"/>
          <w:sz w:val="24"/>
          <w:szCs w:val="24"/>
        </w:rPr>
        <w:t>Secretaria General</w:t>
      </w:r>
      <w:proofErr w:type="gramEnd"/>
      <w:r w:rsidRPr="00251BFA">
        <w:rPr>
          <w:rFonts w:ascii="Century Gothic" w:hAnsi="Century Gothic" w:cs="Arial"/>
          <w:sz w:val="24"/>
          <w:szCs w:val="24"/>
        </w:rPr>
        <w:t xml:space="preserve"> de Acuerdos de este Tribunal, que autoriza y da </w:t>
      </w:r>
      <w:r w:rsidR="00022FEE" w:rsidRPr="00251BFA">
        <w:rPr>
          <w:rFonts w:ascii="Century Gothic" w:hAnsi="Century Gothic" w:cs="Arial"/>
          <w:sz w:val="24"/>
          <w:szCs w:val="24"/>
        </w:rPr>
        <w:t>fe. -</w:t>
      </w:r>
      <w:r w:rsidRPr="00251BFA">
        <w:rPr>
          <w:rFonts w:ascii="Century Gothic" w:hAnsi="Century Gothic" w:cs="Arial"/>
          <w:sz w:val="24"/>
          <w:szCs w:val="24"/>
        </w:rPr>
        <w:t xml:space="preserve"> - - - - - - - - </w:t>
      </w:r>
      <w:r w:rsidR="00A05CC3">
        <w:rPr>
          <w:rFonts w:ascii="Century Gothic" w:hAnsi="Century Gothic" w:cs="Arial"/>
          <w:sz w:val="24"/>
          <w:szCs w:val="24"/>
        </w:rPr>
        <w:t xml:space="preserve">- </w:t>
      </w:r>
      <w:r w:rsidR="00297E37">
        <w:rPr>
          <w:rFonts w:ascii="Century Gothic" w:hAnsi="Century Gothic" w:cs="Arial"/>
          <w:sz w:val="24"/>
          <w:szCs w:val="24"/>
        </w:rPr>
        <w:t>- - - - - - -</w:t>
      </w:r>
    </w:p>
    <w:p w14:paraId="5DCCAB73" w14:textId="234CBFBB" w:rsidR="00D51FA2" w:rsidRDefault="00D51FA2" w:rsidP="00251BFA">
      <w:pPr>
        <w:pStyle w:val="Sinespaciado"/>
        <w:jc w:val="center"/>
        <w:rPr>
          <w:rFonts w:ascii="Century Gothic" w:hAnsi="Century Gothic" w:cs="Arial"/>
          <w:b/>
          <w:sz w:val="24"/>
          <w:szCs w:val="24"/>
        </w:rPr>
      </w:pPr>
    </w:p>
    <w:p w14:paraId="52641C7C" w14:textId="65A599AF" w:rsidR="00A05CC3" w:rsidRDefault="00A05CC3" w:rsidP="00251BFA">
      <w:pPr>
        <w:pStyle w:val="Sinespaciado"/>
        <w:jc w:val="center"/>
        <w:rPr>
          <w:rFonts w:ascii="Century Gothic" w:hAnsi="Century Gothic" w:cs="Arial"/>
          <w:b/>
          <w:sz w:val="24"/>
          <w:szCs w:val="24"/>
        </w:rPr>
      </w:pPr>
    </w:p>
    <w:p w14:paraId="1D05CA35" w14:textId="022B21DC" w:rsidR="00A05CC3" w:rsidRDefault="00A05CC3" w:rsidP="00251BFA">
      <w:pPr>
        <w:pStyle w:val="Sinespaciado"/>
        <w:jc w:val="center"/>
        <w:rPr>
          <w:rFonts w:ascii="Century Gothic" w:hAnsi="Century Gothic" w:cs="Arial"/>
          <w:b/>
          <w:sz w:val="24"/>
          <w:szCs w:val="24"/>
        </w:rPr>
      </w:pPr>
    </w:p>
    <w:p w14:paraId="7850F5A7" w14:textId="54ED0E3D" w:rsidR="00A05CC3" w:rsidRDefault="00A05CC3" w:rsidP="000364B0">
      <w:pPr>
        <w:pStyle w:val="Sinespaciado"/>
        <w:rPr>
          <w:rFonts w:ascii="Century Gothic" w:hAnsi="Century Gothic" w:cs="Arial"/>
          <w:b/>
          <w:sz w:val="24"/>
          <w:szCs w:val="24"/>
        </w:rPr>
      </w:pPr>
    </w:p>
    <w:p w14:paraId="25481CB1" w14:textId="77777777" w:rsidR="00A05CC3" w:rsidRPr="00251BFA" w:rsidRDefault="00A05CC3" w:rsidP="00251BFA">
      <w:pPr>
        <w:pStyle w:val="Sinespaciado"/>
        <w:jc w:val="center"/>
        <w:rPr>
          <w:rFonts w:ascii="Century Gothic" w:hAnsi="Century Gothic" w:cs="Arial"/>
          <w:b/>
          <w:sz w:val="24"/>
          <w:szCs w:val="24"/>
        </w:rPr>
      </w:pPr>
    </w:p>
    <w:p w14:paraId="5B49FE40" w14:textId="519102DA" w:rsidR="006C5036" w:rsidRPr="00251BFA" w:rsidRDefault="006C5036" w:rsidP="000364B0">
      <w:pPr>
        <w:pStyle w:val="Sinespaciado"/>
        <w:jc w:val="center"/>
        <w:rPr>
          <w:rFonts w:ascii="Century Gothic" w:hAnsi="Century Gothic" w:cs="Arial"/>
          <w:b/>
          <w:sz w:val="24"/>
          <w:szCs w:val="24"/>
        </w:rPr>
      </w:pPr>
      <w:r w:rsidRPr="00251BFA">
        <w:rPr>
          <w:rFonts w:ascii="Century Gothic" w:hAnsi="Century Gothic" w:cs="Arial"/>
          <w:b/>
          <w:sz w:val="24"/>
          <w:szCs w:val="24"/>
        </w:rPr>
        <w:t xml:space="preserve">MAGISTRADO MATEO MARTÍNEZ </w:t>
      </w:r>
      <w:proofErr w:type="spellStart"/>
      <w:r w:rsidRPr="00251BFA">
        <w:rPr>
          <w:rFonts w:ascii="Century Gothic" w:hAnsi="Century Gothic" w:cs="Arial"/>
          <w:b/>
          <w:sz w:val="24"/>
          <w:szCs w:val="24"/>
        </w:rPr>
        <w:t>MARTÍNEZ</w:t>
      </w:r>
      <w:proofErr w:type="spellEnd"/>
    </w:p>
    <w:p w14:paraId="3BAEC86F" w14:textId="7DAFC5F3" w:rsidR="006C5036" w:rsidRPr="00251BFA" w:rsidRDefault="006C5036" w:rsidP="00251BFA">
      <w:pPr>
        <w:pStyle w:val="Sinespaciado"/>
        <w:jc w:val="center"/>
        <w:rPr>
          <w:rFonts w:ascii="Century Gothic" w:hAnsi="Century Gothic" w:cs="Arial"/>
          <w:b/>
          <w:sz w:val="24"/>
          <w:szCs w:val="24"/>
        </w:rPr>
      </w:pPr>
      <w:r w:rsidRPr="00251BFA">
        <w:rPr>
          <w:rFonts w:ascii="Century Gothic" w:hAnsi="Century Gothic" w:cs="Arial"/>
          <w:b/>
          <w:sz w:val="24"/>
          <w:szCs w:val="24"/>
        </w:rPr>
        <w:t>PRESIDENTE</w:t>
      </w:r>
    </w:p>
    <w:p w14:paraId="495B6F31" w14:textId="063F1034" w:rsidR="006C5036" w:rsidRDefault="006C5036" w:rsidP="000364B0">
      <w:pPr>
        <w:tabs>
          <w:tab w:val="center" w:pos="4135"/>
          <w:tab w:val="left" w:pos="7515"/>
        </w:tabs>
        <w:spacing w:line="240" w:lineRule="auto"/>
        <w:rPr>
          <w:rFonts w:ascii="Century Gothic" w:hAnsi="Century Gothic" w:cs="Arial"/>
          <w:b/>
          <w:sz w:val="24"/>
          <w:szCs w:val="24"/>
        </w:rPr>
      </w:pPr>
    </w:p>
    <w:p w14:paraId="460C3271" w14:textId="77777777" w:rsidR="000364B0" w:rsidRPr="00251BFA" w:rsidRDefault="000364B0" w:rsidP="000364B0">
      <w:pPr>
        <w:tabs>
          <w:tab w:val="center" w:pos="4135"/>
          <w:tab w:val="left" w:pos="7515"/>
        </w:tabs>
        <w:spacing w:line="240" w:lineRule="auto"/>
        <w:rPr>
          <w:rFonts w:ascii="Century Gothic" w:hAnsi="Century Gothic" w:cs="Arial"/>
          <w:b/>
          <w:sz w:val="24"/>
          <w:szCs w:val="24"/>
        </w:rPr>
      </w:pPr>
    </w:p>
    <w:p w14:paraId="3C5D5782" w14:textId="77777777" w:rsidR="00406D0B" w:rsidRPr="00251BFA" w:rsidRDefault="00406D0B" w:rsidP="00251BFA">
      <w:pPr>
        <w:tabs>
          <w:tab w:val="center" w:pos="4135"/>
          <w:tab w:val="left" w:pos="7515"/>
        </w:tabs>
        <w:spacing w:line="240" w:lineRule="auto"/>
        <w:jc w:val="center"/>
        <w:rPr>
          <w:rFonts w:ascii="Century Gothic" w:hAnsi="Century Gothic" w:cs="Arial"/>
          <w:b/>
          <w:sz w:val="24"/>
          <w:szCs w:val="24"/>
        </w:rPr>
      </w:pPr>
    </w:p>
    <w:p w14:paraId="52FF7881" w14:textId="43273F7C" w:rsidR="006C5036" w:rsidRPr="00251BFA" w:rsidRDefault="006C5036" w:rsidP="00251BFA">
      <w:pPr>
        <w:tabs>
          <w:tab w:val="center" w:pos="4135"/>
          <w:tab w:val="left" w:pos="7515"/>
        </w:tabs>
        <w:spacing w:line="240" w:lineRule="auto"/>
        <w:jc w:val="center"/>
        <w:rPr>
          <w:rFonts w:ascii="Century Gothic" w:hAnsi="Century Gothic" w:cs="Arial"/>
          <w:b/>
          <w:sz w:val="24"/>
          <w:szCs w:val="24"/>
        </w:rPr>
      </w:pPr>
      <w:r w:rsidRPr="00251BFA">
        <w:rPr>
          <w:rFonts w:ascii="Century Gothic" w:hAnsi="Century Gothic" w:cs="Arial"/>
          <w:b/>
          <w:sz w:val="24"/>
          <w:szCs w:val="24"/>
        </w:rPr>
        <w:t>MAGISTRADA CRUZ ITZEL ESPINOSA ROJAS</w:t>
      </w:r>
    </w:p>
    <w:p w14:paraId="2DBEDF48" w14:textId="77777777" w:rsidR="006C5036" w:rsidRDefault="006C5036" w:rsidP="00251BFA">
      <w:pPr>
        <w:tabs>
          <w:tab w:val="center" w:pos="4135"/>
          <w:tab w:val="left" w:pos="7515"/>
        </w:tabs>
        <w:spacing w:line="240" w:lineRule="auto"/>
        <w:jc w:val="center"/>
        <w:rPr>
          <w:rFonts w:ascii="Century Gothic" w:hAnsi="Century Gothic" w:cs="Arial"/>
          <w:b/>
          <w:sz w:val="24"/>
          <w:szCs w:val="24"/>
        </w:rPr>
      </w:pPr>
    </w:p>
    <w:p w14:paraId="2C7925AB" w14:textId="77777777" w:rsidR="000364B0" w:rsidRPr="00251BFA" w:rsidRDefault="000364B0" w:rsidP="00251BFA">
      <w:pPr>
        <w:tabs>
          <w:tab w:val="center" w:pos="4135"/>
          <w:tab w:val="left" w:pos="7515"/>
        </w:tabs>
        <w:spacing w:line="240" w:lineRule="auto"/>
        <w:jc w:val="center"/>
        <w:rPr>
          <w:rFonts w:ascii="Century Gothic" w:hAnsi="Century Gothic" w:cs="Arial"/>
          <w:b/>
          <w:sz w:val="24"/>
          <w:szCs w:val="24"/>
        </w:rPr>
      </w:pPr>
    </w:p>
    <w:p w14:paraId="72EB8C59" w14:textId="77777777" w:rsidR="006C5036" w:rsidRPr="00251BFA" w:rsidRDefault="006C5036" w:rsidP="00251BFA">
      <w:pPr>
        <w:tabs>
          <w:tab w:val="center" w:pos="4135"/>
          <w:tab w:val="left" w:pos="7515"/>
        </w:tabs>
        <w:spacing w:line="240" w:lineRule="auto"/>
        <w:jc w:val="center"/>
        <w:rPr>
          <w:rFonts w:ascii="Century Gothic" w:hAnsi="Century Gothic" w:cs="Arial"/>
          <w:b/>
          <w:sz w:val="24"/>
          <w:szCs w:val="24"/>
        </w:rPr>
      </w:pPr>
    </w:p>
    <w:p w14:paraId="27D52057" w14:textId="4289AE42" w:rsidR="006C5036" w:rsidRPr="00251BFA" w:rsidRDefault="006C5036" w:rsidP="00251BFA">
      <w:pPr>
        <w:tabs>
          <w:tab w:val="center" w:pos="4135"/>
          <w:tab w:val="left" w:pos="7515"/>
        </w:tabs>
        <w:spacing w:line="240" w:lineRule="auto"/>
        <w:jc w:val="center"/>
        <w:rPr>
          <w:rFonts w:ascii="Century Gothic" w:hAnsi="Century Gothic" w:cs="Arial"/>
          <w:b/>
          <w:sz w:val="24"/>
          <w:szCs w:val="24"/>
        </w:rPr>
      </w:pPr>
      <w:r w:rsidRPr="00251BFA">
        <w:rPr>
          <w:rFonts w:ascii="Century Gothic" w:hAnsi="Century Gothic" w:cs="Arial"/>
          <w:b/>
          <w:sz w:val="24"/>
          <w:szCs w:val="24"/>
        </w:rPr>
        <w:t xml:space="preserve">MAGISTRADO MANUEL DE JESÚS LÓPEZ </w:t>
      </w:r>
      <w:proofErr w:type="spellStart"/>
      <w:r w:rsidRPr="00251BFA">
        <w:rPr>
          <w:rFonts w:ascii="Century Gothic" w:hAnsi="Century Gothic" w:cs="Arial"/>
          <w:b/>
          <w:sz w:val="24"/>
          <w:szCs w:val="24"/>
        </w:rPr>
        <w:t>LÓPEZ</w:t>
      </w:r>
      <w:proofErr w:type="spellEnd"/>
    </w:p>
    <w:p w14:paraId="5643D2F5" w14:textId="5C5431E7" w:rsidR="006C5036" w:rsidRDefault="006C5036" w:rsidP="00251BFA">
      <w:pPr>
        <w:tabs>
          <w:tab w:val="center" w:pos="4135"/>
          <w:tab w:val="left" w:pos="7515"/>
        </w:tabs>
        <w:spacing w:line="240" w:lineRule="auto"/>
        <w:jc w:val="center"/>
        <w:rPr>
          <w:rFonts w:ascii="Century Gothic" w:hAnsi="Century Gothic" w:cs="Arial"/>
          <w:b/>
          <w:sz w:val="24"/>
          <w:szCs w:val="24"/>
        </w:rPr>
      </w:pPr>
    </w:p>
    <w:p w14:paraId="23DB9930" w14:textId="77777777" w:rsidR="000364B0" w:rsidRPr="00251BFA" w:rsidRDefault="000364B0" w:rsidP="00251BFA">
      <w:pPr>
        <w:tabs>
          <w:tab w:val="center" w:pos="4135"/>
          <w:tab w:val="left" w:pos="7515"/>
        </w:tabs>
        <w:spacing w:line="240" w:lineRule="auto"/>
        <w:jc w:val="center"/>
        <w:rPr>
          <w:rFonts w:ascii="Century Gothic" w:hAnsi="Century Gothic" w:cs="Arial"/>
          <w:b/>
          <w:sz w:val="24"/>
          <w:szCs w:val="24"/>
        </w:rPr>
      </w:pPr>
    </w:p>
    <w:p w14:paraId="250B4BBA" w14:textId="77777777" w:rsidR="00406D0B" w:rsidRPr="00251BFA" w:rsidRDefault="00406D0B" w:rsidP="00251BFA">
      <w:pPr>
        <w:tabs>
          <w:tab w:val="center" w:pos="4135"/>
          <w:tab w:val="left" w:pos="7515"/>
        </w:tabs>
        <w:spacing w:line="240" w:lineRule="auto"/>
        <w:jc w:val="center"/>
        <w:rPr>
          <w:rFonts w:ascii="Century Gothic" w:hAnsi="Century Gothic" w:cs="Arial"/>
          <w:b/>
          <w:sz w:val="24"/>
          <w:szCs w:val="24"/>
        </w:rPr>
      </w:pPr>
    </w:p>
    <w:p w14:paraId="0300E27D" w14:textId="4D72A751" w:rsidR="006C5036" w:rsidRPr="00251BFA" w:rsidRDefault="009A6E9B" w:rsidP="000364B0">
      <w:pPr>
        <w:tabs>
          <w:tab w:val="left" w:pos="1925"/>
          <w:tab w:val="center" w:pos="4135"/>
        </w:tabs>
        <w:spacing w:after="0" w:line="240" w:lineRule="auto"/>
        <w:jc w:val="center"/>
        <w:rPr>
          <w:rFonts w:ascii="Century Gothic" w:hAnsi="Century Gothic" w:cs="Arial"/>
          <w:b/>
          <w:sz w:val="24"/>
          <w:szCs w:val="24"/>
        </w:rPr>
      </w:pPr>
      <w:r>
        <w:rPr>
          <w:rFonts w:ascii="Century Gothic" w:hAnsi="Century Gothic" w:cs="Arial"/>
          <w:b/>
          <w:sz w:val="24"/>
          <w:szCs w:val="24"/>
        </w:rPr>
        <w:t xml:space="preserve">MAESTRA </w:t>
      </w:r>
      <w:r w:rsidR="006C5036" w:rsidRPr="00251BFA">
        <w:rPr>
          <w:rFonts w:ascii="Century Gothic" w:hAnsi="Century Gothic" w:cs="Arial"/>
          <w:b/>
          <w:sz w:val="24"/>
          <w:szCs w:val="24"/>
        </w:rPr>
        <w:t>LIZBETH JESSICA GALLARDO MARTÍNEZ</w:t>
      </w:r>
    </w:p>
    <w:p w14:paraId="3D65419E" w14:textId="6847CF6E" w:rsidR="00287983" w:rsidRPr="000364B0" w:rsidRDefault="006C5036" w:rsidP="000364B0">
      <w:pPr>
        <w:pStyle w:val="Sinespaciado"/>
        <w:jc w:val="center"/>
        <w:rPr>
          <w:rFonts w:ascii="Century Gothic" w:hAnsi="Century Gothic" w:cs="Arial"/>
          <w:b/>
          <w:sz w:val="24"/>
          <w:szCs w:val="24"/>
        </w:rPr>
      </w:pPr>
      <w:r w:rsidRPr="00251BFA">
        <w:rPr>
          <w:rFonts w:ascii="Century Gothic" w:hAnsi="Century Gothic" w:cs="Arial"/>
          <w:b/>
          <w:sz w:val="24"/>
          <w:szCs w:val="24"/>
        </w:rPr>
        <w:t>SECRETARIA GENERAL DE ACUERDOS</w:t>
      </w:r>
    </w:p>
    <w:sectPr w:rsidR="00287983" w:rsidRPr="000364B0" w:rsidSect="000F09DA">
      <w:headerReference w:type="even" r:id="rId9"/>
      <w:headerReference w:type="default" r:id="rId10"/>
      <w:footerReference w:type="default" r:id="rId11"/>
      <w:headerReference w:type="first" r:id="rId12"/>
      <w:pgSz w:w="12240" w:h="20160" w:code="5"/>
      <w:pgMar w:top="2018" w:right="1892" w:bottom="1985"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8B410" w14:textId="77777777" w:rsidR="0036586F" w:rsidRDefault="0036586F">
      <w:pPr>
        <w:spacing w:after="0" w:line="240" w:lineRule="auto"/>
      </w:pPr>
      <w:r>
        <w:separator/>
      </w:r>
    </w:p>
  </w:endnote>
  <w:endnote w:type="continuationSeparator" w:id="0">
    <w:p w14:paraId="1A188EC5" w14:textId="77777777" w:rsidR="0036586F" w:rsidRDefault="00365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267741"/>
      <w:docPartObj>
        <w:docPartGallery w:val="Page Numbers (Bottom of Page)"/>
        <w:docPartUnique/>
      </w:docPartObj>
    </w:sdtPr>
    <w:sdtEndPr/>
    <w:sdtContent>
      <w:p w14:paraId="6AAD1B63" w14:textId="7AD4C34D" w:rsidR="00DF4178" w:rsidRDefault="00DF4178">
        <w:pPr>
          <w:pStyle w:val="Piedepgina"/>
          <w:jc w:val="center"/>
        </w:pPr>
        <w:r>
          <w:fldChar w:fldCharType="begin"/>
        </w:r>
        <w:r>
          <w:instrText>PAGE   \* MERGEFORMAT</w:instrText>
        </w:r>
        <w:r>
          <w:fldChar w:fldCharType="separate"/>
        </w:r>
        <w:r w:rsidR="00507E13" w:rsidRPr="00507E13">
          <w:rPr>
            <w:noProof/>
            <w:lang w:val="es-ES"/>
          </w:rPr>
          <w:t>10</w:t>
        </w:r>
        <w:r>
          <w:fldChar w:fldCharType="end"/>
        </w:r>
      </w:p>
    </w:sdtContent>
  </w:sdt>
  <w:p w14:paraId="195FF414" w14:textId="706D86AD" w:rsidR="003C2164" w:rsidRDefault="003C21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739A" w14:textId="77777777" w:rsidR="0036586F" w:rsidRDefault="0036586F">
      <w:pPr>
        <w:spacing w:after="0" w:line="240" w:lineRule="auto"/>
      </w:pPr>
      <w:r>
        <w:separator/>
      </w:r>
    </w:p>
  </w:footnote>
  <w:footnote w:type="continuationSeparator" w:id="0">
    <w:p w14:paraId="0C7E250C" w14:textId="77777777" w:rsidR="0036586F" w:rsidRDefault="0036586F">
      <w:pPr>
        <w:spacing w:after="0" w:line="240" w:lineRule="auto"/>
      </w:pPr>
      <w:r>
        <w:continuationSeparator/>
      </w:r>
    </w:p>
  </w:footnote>
  <w:footnote w:id="1">
    <w:p w14:paraId="7932381A" w14:textId="053F9AAC" w:rsidR="003C2164" w:rsidRDefault="003C2164" w:rsidP="00406D0B">
      <w:pPr>
        <w:pStyle w:val="Textonotapie"/>
        <w:jc w:val="both"/>
      </w:pPr>
      <w:r>
        <w:rPr>
          <w:rStyle w:val="Refdenotaalpie"/>
        </w:rPr>
        <w:footnoteRef/>
      </w:r>
      <w:r>
        <w:t xml:space="preserve"> Publicado en el </w:t>
      </w:r>
      <w:r w:rsidR="005A060E">
        <w:t>Periódico Oficial del Gobierno del Estado</w:t>
      </w:r>
      <w:r>
        <w:t xml:space="preserve"> y con entrada en vigor el veintidós de julio del dos mi veintitrés cuya lectura literal es: “CAPÍTULO III DEL TRIBUNAL DE JUSTICIA ADMINISTRATIVA Y COMBATE A LA CORRUPCIÓN DEL ESTADO DE OAXACA. Artículo 114 </w:t>
      </w:r>
      <w:proofErr w:type="spellStart"/>
      <w:r>
        <w:t>Quáter</w:t>
      </w:r>
      <w:proofErr w:type="spellEnd"/>
      <w: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169F4644" w14:textId="77777777" w:rsidR="003C2164" w:rsidRDefault="003C2164" w:rsidP="00406D0B">
      <w:pPr>
        <w:pStyle w:val="Textonotapie"/>
      </w:pPr>
      <w:r>
        <w:t>(…)</w:t>
      </w:r>
    </w:p>
    <w:p w14:paraId="05D65010" w14:textId="77576C40" w:rsidR="003C2164" w:rsidRDefault="003C2164" w:rsidP="00406D0B">
      <w:pPr>
        <w:pStyle w:val="Textonotapie"/>
      </w:pPr>
      <w:r>
        <w:t>La Sala Superior del Tribunal se compondrá de tres Magistrados y actuará en Pleno” (…)</w:t>
      </w:r>
    </w:p>
  </w:footnote>
  <w:footnote w:id="2">
    <w:p w14:paraId="713537D7" w14:textId="3082B92F" w:rsidR="003C2164" w:rsidRDefault="003C2164" w:rsidP="00CC19BA">
      <w:pPr>
        <w:pStyle w:val="Textonotapie"/>
        <w:jc w:val="both"/>
      </w:pPr>
      <w:r>
        <w:rPr>
          <w:rStyle w:val="Refdenotaalpie"/>
        </w:rPr>
        <w:footnoteRef/>
      </w:r>
      <w: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311E5020" w14:textId="77777777" w:rsidR="003C2164" w:rsidRPr="0086631D" w:rsidRDefault="003C2164" w:rsidP="00E13363">
      <w:pPr>
        <w:spacing w:before="240" w:line="240" w:lineRule="auto"/>
        <w:ind w:left="567" w:right="333"/>
        <w:jc w:val="both"/>
        <w:rPr>
          <w:rFonts w:ascii="Century Gothic" w:eastAsia="Times New Roman" w:hAnsi="Century Gothic" w:cs="Arial"/>
          <w:i/>
          <w:iCs/>
          <w:sz w:val="24"/>
          <w:szCs w:val="24"/>
        </w:rPr>
      </w:pPr>
      <w:r>
        <w:rPr>
          <w:rStyle w:val="Refdenotaalpie"/>
        </w:rPr>
        <w:footnoteRef/>
      </w:r>
      <w:r>
        <w:t xml:space="preserve"> </w:t>
      </w:r>
      <w:r w:rsidRPr="0086631D">
        <w:rPr>
          <w:rFonts w:ascii="Century Gothic" w:eastAsia="Times New Roman" w:hAnsi="Century Gothic" w:cs="Arial"/>
          <w:b/>
          <w:bCs/>
          <w:i/>
          <w:iCs/>
          <w:sz w:val="24"/>
          <w:szCs w:val="24"/>
        </w:rPr>
        <w:t>“</w:t>
      </w:r>
      <w:r w:rsidRPr="00E13363">
        <w:rPr>
          <w:rFonts w:ascii="Century Gothic" w:eastAsia="Times New Roman" w:hAnsi="Century Gothic" w:cs="Arial"/>
          <w:b/>
          <w:bCs/>
          <w:i/>
          <w:iCs/>
          <w:sz w:val="20"/>
          <w:szCs w:val="20"/>
        </w:rPr>
        <w:t xml:space="preserve">CONCEPTOS DE VIOLACIÓN O AGRAVIOS. PARA CUMPLIR CON LOS PRINCIPIOS DE CONGRUENCIA Y EXHAUSTIVIDAD EN LAS SENTENCIAS DE AMPARO ES INNECESARIA SU TRANSCRIPCIÓN”. </w:t>
      </w:r>
      <w:r w:rsidRPr="00E13363">
        <w:rPr>
          <w:rFonts w:ascii="Century Gothic" w:eastAsia="Times New Roman" w:hAnsi="Century Gothic" w:cs="Arial"/>
          <w:i/>
          <w:iCs/>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61CCFA4" w14:textId="205BAD36" w:rsidR="003C2164" w:rsidRDefault="003C2164">
      <w:pPr>
        <w:pStyle w:val="Textonotapie"/>
      </w:pPr>
    </w:p>
  </w:footnote>
  <w:footnote w:id="4">
    <w:p w14:paraId="486EED54" w14:textId="77777777" w:rsidR="00347A89" w:rsidRDefault="003C2164" w:rsidP="003C2164">
      <w:pPr>
        <w:pStyle w:val="Textonotapie"/>
      </w:pPr>
      <w:r>
        <w:rPr>
          <w:rStyle w:val="Refdenotaalpie"/>
        </w:rPr>
        <w:footnoteRef/>
      </w:r>
      <w:r w:rsidRPr="00295109">
        <w:t>Ley de Procedimiento y Justicia Administrativa para el Estado de Oaxaca</w:t>
      </w:r>
      <w:r w:rsidR="00347A89">
        <w:t>.</w:t>
      </w:r>
    </w:p>
    <w:p w14:paraId="424CF7DB" w14:textId="3EAC5B21" w:rsidR="003C2164" w:rsidRDefault="00347A89" w:rsidP="00347A89">
      <w:pPr>
        <w:pStyle w:val="Textonotapie"/>
        <w:jc w:val="both"/>
      </w:pPr>
      <w:r>
        <w:t xml:space="preserve">Artículo 4. Para que produzcan efectos jurídicos, deberán publicarse en el Periódico Oficial del Gobierno del Estado, todo acto administrativo de carácter general que involucre a la ciudadanía, tales como los decretos, acuerdos, circulares y cualquier otro de la misma naturaleza; los que obligan y surten sus efectos al día siguiente de su publicación, a menos que en ellos se señale expresamente el día de inicio de su vigencia. </w:t>
      </w:r>
      <w:r w:rsidRPr="00347A89">
        <w:rPr>
          <w:b/>
        </w:rPr>
        <w:t>Asimismo, los actos administrativos de carácter individual deberán notificarse personalmente a los interesados y publicarse en dicho órgano informativo cuando así lo establezcan las leyes</w:t>
      </w:r>
      <w:r w:rsidR="003C2164">
        <w:t xml:space="preserve"> </w:t>
      </w:r>
    </w:p>
    <w:p w14:paraId="1DCD5F0F" w14:textId="77777777" w:rsidR="003C2164" w:rsidRDefault="003C2164" w:rsidP="003C2164">
      <w:pPr>
        <w:pStyle w:val="Textonotapie"/>
        <w:jc w:val="both"/>
      </w:pPr>
      <w:r>
        <w:t>ARTÍCULO 6.- “El acto administrativo válido, será eficaz y exigible a partir de que surta efectos la notificación legalmente efectuada…”</w:t>
      </w:r>
    </w:p>
  </w:footnote>
  <w:footnote w:id="5">
    <w:p w14:paraId="6AC47566" w14:textId="77777777" w:rsidR="003C2164" w:rsidRDefault="003C2164" w:rsidP="003C2164">
      <w:pPr>
        <w:pStyle w:val="Textonotapie"/>
      </w:pPr>
      <w:r>
        <w:rPr>
          <w:rStyle w:val="Refdenotaalpie"/>
        </w:rPr>
        <w:footnoteRef/>
      </w:r>
      <w:r>
        <w:t xml:space="preserve"> </w:t>
      </w:r>
      <w:r w:rsidRPr="00295109">
        <w:t>Ley de Procedimiento y Justicia Administrativa para el Estado de Oaxaca</w:t>
      </w:r>
      <w:r>
        <w:t xml:space="preserve"> párrafo primero y segundo del artículo 47.</w:t>
      </w:r>
    </w:p>
  </w:footnote>
  <w:footnote w:id="6">
    <w:p w14:paraId="0959F6C0" w14:textId="77777777" w:rsidR="003C2164" w:rsidRDefault="003C2164" w:rsidP="00CB1B93">
      <w:pPr>
        <w:pStyle w:val="Textonotapie"/>
        <w:jc w:val="both"/>
      </w:pPr>
      <w:r>
        <w:rPr>
          <w:rStyle w:val="Refdenotaalpie"/>
        </w:rPr>
        <w:footnoteRef/>
      </w:r>
      <w:r>
        <w:t xml:space="preserve"> Segundo Tribunal Colegiado en materia Administrativa del Cuarto Circuito, Semanario Judicial de la Federación y su Gaceta, novena época, Tesis: IV.2o.A.48 A, t. XVIII, julio de 2003, p. 2003, registro digital 183783.</w:t>
      </w:r>
    </w:p>
  </w:footnote>
  <w:footnote w:id="7">
    <w:p w14:paraId="7BE5BC41" w14:textId="77777777" w:rsidR="003C2164" w:rsidRDefault="003C2164" w:rsidP="00CB1B93">
      <w:pPr>
        <w:pStyle w:val="Textonotapie"/>
        <w:jc w:val="both"/>
      </w:pPr>
      <w:r>
        <w:rPr>
          <w:rStyle w:val="Refdenotaalpie"/>
        </w:rPr>
        <w:footnoteRef/>
      </w:r>
      <w:r>
        <w:t xml:space="preserve"> “NEGATIVA FICTA. LA SENTENCIA QUE DECLARE SU NULIDAD DEBE RESOLVER EL FONDO DE LA PRETENSIÓN, AUN CUANDO SE TRATE DE FACULTADES DISCRECIONALES DE LA AUTORIDAD. De los artículos 37, 210, fracción I, 215 y 237 del Código Fiscal de la Federación, se deduce que al reclamarse la nulidad de la resolución negativa ficta, 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 por tratarse de facultades discrecionales, pues 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 al presentárseles la solicitud aludida y al contestar la demanda dentro del juicio.”</w:t>
      </w:r>
    </w:p>
    <w:p w14:paraId="7C8B5B3D" w14:textId="377409F7" w:rsidR="003C2164" w:rsidRDefault="003C2164" w:rsidP="00CB1B93">
      <w:pPr>
        <w:pStyle w:val="Textonotapie"/>
        <w:jc w:val="both"/>
      </w:pPr>
      <w:r>
        <w:t>obligatoria en términos del artículo 192 de la Ley de Amparo. En tal virtud, la resolución del Tribunal Federal de Justicia Fiscal y Administrativa, derivada de la impugnación de una negativa ficta, que no atiende a las cuestiones de fondo debatidas o no resuelve sobre los derechos solicitados, por ejemplo, al pronunciarse sobre la excepción de prescripción de la acción hecha valer por la autoridad demandada, transgrede directa y notoriamente los derechos de audiencia y de acceso a la justicia del solicitante, por no dirimir la cuestión debatida y resolver si asiste o no la razón al gobernado sobre la legitimidad jurídica de su reclamo; de ahí que esa violación manifiesta de la ley que dejó sin defensa al actor en el juicio de nulidad, justifique suplir la queja deficiente con base en el artículo 76 Bis, fracción VI, de la Ley de Amparo.”</w:t>
      </w:r>
    </w:p>
  </w:footnote>
  <w:footnote w:id="8">
    <w:p w14:paraId="6F3CA824" w14:textId="77777777" w:rsidR="003C2164" w:rsidRDefault="003C2164" w:rsidP="00CB1B93">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50B6F28" w14:textId="77777777" w:rsidR="003C2164" w:rsidRDefault="003C2164" w:rsidP="00011C6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2B41199" w14:textId="77777777" w:rsidR="003C2164" w:rsidRDefault="003C2164" w:rsidP="00011C6A">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FE29" w14:textId="23F4993F" w:rsidR="003C2164" w:rsidRDefault="003C2164" w:rsidP="00A80488">
    <w:pPr>
      <w:pStyle w:val="Encabezado"/>
    </w:pPr>
  </w:p>
  <w:p w14:paraId="0E68208C" w14:textId="2E4E894E" w:rsidR="003C2164" w:rsidRDefault="000F09DA">
    <w:pPr>
      <w:pStyle w:val="Encabezado"/>
    </w:pPr>
    <w:r>
      <w:rPr>
        <w:noProof/>
      </w:rPr>
      <w:drawing>
        <wp:anchor distT="0" distB="0" distL="114300" distR="114300" simplePos="0" relativeHeight="251665408" behindDoc="0" locked="0" layoutInCell="1" allowOverlap="1" wp14:anchorId="40D49E54" wp14:editId="77D5D489">
          <wp:simplePos x="0" y="0"/>
          <wp:positionH relativeFrom="column">
            <wp:posOffset>5420360</wp:posOffset>
          </wp:positionH>
          <wp:positionV relativeFrom="paragraph">
            <wp:posOffset>3575050</wp:posOffset>
          </wp:positionV>
          <wp:extent cx="1030605" cy="1256030"/>
          <wp:effectExtent l="0" t="0" r="0" b="1270"/>
          <wp:wrapNone/>
          <wp:docPr id="8448961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85036"/>
      <w:docPartObj>
        <w:docPartGallery w:val="Page Numbers (Top of Page)"/>
        <w:docPartUnique/>
      </w:docPartObj>
    </w:sdtPr>
    <w:sdtEndPr>
      <w:rPr>
        <w:rFonts w:asciiTheme="minorHAnsi" w:hAnsiTheme="minorHAnsi" w:cstheme="minorHAnsi"/>
        <w:sz w:val="20"/>
        <w:szCs w:val="20"/>
      </w:rPr>
    </w:sdtEndPr>
    <w:sdtContent>
      <w:p w14:paraId="686DBCC7" w14:textId="45C6B367" w:rsidR="00A80488" w:rsidRPr="00CE6556" w:rsidRDefault="00A80488" w:rsidP="00A80488">
        <w:pPr>
          <w:pStyle w:val="Encabezado"/>
          <w:ind w:left="2127"/>
          <w:jc w:val="center"/>
          <w:rPr>
            <w:rFonts w:asciiTheme="minorHAnsi" w:hAnsiTheme="minorHAnsi" w:cstheme="minorHAnsi"/>
            <w:b/>
            <w:bCs/>
            <w:sz w:val="20"/>
            <w:szCs w:val="20"/>
          </w:rPr>
        </w:pPr>
        <w:r w:rsidRPr="00CE6556">
          <w:rPr>
            <w:rFonts w:asciiTheme="minorHAnsi" w:hAnsiTheme="minorHAnsi" w:cstheme="minorHAnsi"/>
            <w:noProof/>
            <w:color w:val="0D0D0D" w:themeColor="text1" w:themeTint="F2"/>
            <w:sz w:val="20"/>
            <w:szCs w:val="20"/>
            <w:lang w:eastAsia="es-MX"/>
          </w:rPr>
          <w:drawing>
            <wp:anchor distT="0" distB="0" distL="114300" distR="114300" simplePos="0" relativeHeight="251660288" behindDoc="0" locked="0" layoutInCell="1" allowOverlap="1" wp14:anchorId="54EFFF79" wp14:editId="2EFDE9EB">
              <wp:simplePos x="0" y="0"/>
              <wp:positionH relativeFrom="column">
                <wp:posOffset>-323850</wp:posOffset>
              </wp:positionH>
              <wp:positionV relativeFrom="paragraph">
                <wp:posOffset>-123825</wp:posOffset>
              </wp:positionV>
              <wp:extent cx="1620353" cy="495300"/>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556">
          <w:rPr>
            <w:rFonts w:asciiTheme="minorHAnsi" w:hAnsiTheme="minorHAnsi" w:cstheme="minorHAnsi"/>
            <w:b/>
            <w:bCs/>
            <w:sz w:val="20"/>
            <w:szCs w:val="20"/>
          </w:rPr>
          <w:t xml:space="preserve">SALA SUPERIOR DEL TRIBUNAL DE JUSTICIA ADMINISTRATIVA Y COMBATE A LA CORRUPCIÓN DEL ESTADO DE OAXACA </w:t>
        </w:r>
      </w:p>
      <w:p w14:paraId="05DB874C" w14:textId="38357AF6" w:rsidR="003C2164" w:rsidRPr="00A80488" w:rsidRDefault="00A80488">
        <w:pPr>
          <w:pStyle w:val="Encabezado"/>
          <w:jc w:val="center"/>
          <w:rPr>
            <w:rFonts w:asciiTheme="minorHAnsi" w:hAnsiTheme="minorHAnsi" w:cstheme="minorHAnsi"/>
            <w:sz w:val="20"/>
            <w:szCs w:val="20"/>
          </w:rPr>
        </w:pPr>
        <w:r w:rsidRPr="00A80488">
          <w:rPr>
            <w:rFonts w:asciiTheme="minorHAnsi" w:hAnsiTheme="minorHAnsi" w:cstheme="minorHAnsi"/>
            <w:b/>
            <w:sz w:val="20"/>
            <w:szCs w:val="20"/>
          </w:rPr>
          <w:t>R.R.040/2023</w:t>
        </w:r>
      </w:p>
    </w:sdtContent>
  </w:sdt>
  <w:p w14:paraId="51E22156" w14:textId="00411813" w:rsidR="003C2164" w:rsidRDefault="000F09DA" w:rsidP="00927607">
    <w:pPr>
      <w:pStyle w:val="Encabezado"/>
      <w:tabs>
        <w:tab w:val="left" w:pos="142"/>
      </w:tabs>
      <w:ind w:left="284"/>
    </w:pPr>
    <w:r>
      <w:rPr>
        <w:noProof/>
      </w:rPr>
      <w:drawing>
        <wp:anchor distT="0" distB="0" distL="114300" distR="114300" simplePos="0" relativeHeight="251664384" behindDoc="0" locked="0" layoutInCell="1" allowOverlap="1" wp14:anchorId="3B9EF9BA" wp14:editId="0672EFE1">
          <wp:simplePos x="0" y="0"/>
          <wp:positionH relativeFrom="column">
            <wp:posOffset>-1084580</wp:posOffset>
          </wp:positionH>
          <wp:positionV relativeFrom="paragraph">
            <wp:posOffset>2485390</wp:posOffset>
          </wp:positionV>
          <wp:extent cx="1030605" cy="1256030"/>
          <wp:effectExtent l="0" t="0" r="0" b="1270"/>
          <wp:wrapNone/>
          <wp:docPr id="1117719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05778" w14:textId="028830FD" w:rsidR="00A80488" w:rsidRPr="00CE6556" w:rsidRDefault="00A80488" w:rsidP="00A80488">
    <w:pPr>
      <w:pStyle w:val="Encabezado"/>
      <w:ind w:left="2127"/>
      <w:jc w:val="center"/>
      <w:rPr>
        <w:rFonts w:asciiTheme="minorHAnsi" w:hAnsiTheme="minorHAnsi" w:cstheme="minorHAnsi"/>
        <w:b/>
        <w:bCs/>
        <w:sz w:val="20"/>
        <w:szCs w:val="20"/>
      </w:rPr>
    </w:pPr>
    <w:r w:rsidRPr="00CE6556">
      <w:rPr>
        <w:rFonts w:asciiTheme="minorHAnsi" w:hAnsiTheme="minorHAnsi" w:cstheme="minorHAnsi"/>
        <w:noProof/>
        <w:color w:val="0D0D0D" w:themeColor="text1" w:themeTint="F2"/>
        <w:sz w:val="20"/>
        <w:szCs w:val="20"/>
        <w:lang w:eastAsia="es-MX"/>
      </w:rPr>
      <w:drawing>
        <wp:anchor distT="0" distB="0" distL="114300" distR="114300" simplePos="0" relativeHeight="251662336" behindDoc="0" locked="0" layoutInCell="1" allowOverlap="1" wp14:anchorId="652883FD" wp14:editId="6DE469C9">
          <wp:simplePos x="0" y="0"/>
          <wp:positionH relativeFrom="column">
            <wp:posOffset>-323850</wp:posOffset>
          </wp:positionH>
          <wp:positionV relativeFrom="paragraph">
            <wp:posOffset>-123825</wp:posOffset>
          </wp:positionV>
          <wp:extent cx="1620353" cy="4953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1620353"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556">
      <w:rPr>
        <w:rFonts w:asciiTheme="minorHAnsi" w:hAnsiTheme="minorHAnsi" w:cstheme="minorHAnsi"/>
        <w:b/>
        <w:bCs/>
        <w:sz w:val="20"/>
        <w:szCs w:val="20"/>
      </w:rPr>
      <w:t xml:space="preserve">SALA SUPERIOR DEL TRIBUNAL DE JUSTICIA ADMINISTRATIVA Y COMBATE A LA CORRUPCIÓN DEL ESTADO DE OAXACA </w:t>
    </w:r>
  </w:p>
  <w:p w14:paraId="0FAC4F58" w14:textId="3DCBFF00" w:rsidR="00A80488" w:rsidRDefault="000F09DA">
    <w:pPr>
      <w:pStyle w:val="Encabezado"/>
    </w:pPr>
    <w:r>
      <w:rPr>
        <w:noProof/>
      </w:rPr>
      <w:drawing>
        <wp:anchor distT="0" distB="0" distL="114300" distR="114300" simplePos="0" relativeHeight="251663360" behindDoc="0" locked="0" layoutInCell="1" allowOverlap="1" wp14:anchorId="27349A3F" wp14:editId="6328245E">
          <wp:simplePos x="0" y="0"/>
          <wp:positionH relativeFrom="column">
            <wp:posOffset>-1065530</wp:posOffset>
          </wp:positionH>
          <wp:positionV relativeFrom="paragraph">
            <wp:posOffset>2516505</wp:posOffset>
          </wp:positionV>
          <wp:extent cx="1028700" cy="1257300"/>
          <wp:effectExtent l="0" t="0" r="0" b="0"/>
          <wp:wrapNone/>
          <wp:docPr id="842925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84292543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DAC1256"/>
    <w:multiLevelType w:val="hybridMultilevel"/>
    <w:tmpl w:val="C1C66C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7385411"/>
    <w:multiLevelType w:val="hybridMultilevel"/>
    <w:tmpl w:val="0CC64D3E"/>
    <w:lvl w:ilvl="0" w:tplc="0DF84E1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1616F28"/>
    <w:multiLevelType w:val="hybridMultilevel"/>
    <w:tmpl w:val="AE1CF834"/>
    <w:lvl w:ilvl="0" w:tplc="645A5266">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15:restartNumberingAfterBreak="0">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15:restartNumberingAfterBreak="0">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15:restartNumberingAfterBreak="0">
    <w:nsid w:val="56541FD7"/>
    <w:multiLevelType w:val="hybridMultilevel"/>
    <w:tmpl w:val="5A50136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7"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7A73675F"/>
    <w:multiLevelType w:val="hybridMultilevel"/>
    <w:tmpl w:val="5AD297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1170844">
    <w:abstractNumId w:val="18"/>
  </w:num>
  <w:num w:numId="2" w16cid:durableId="1626472613">
    <w:abstractNumId w:val="2"/>
  </w:num>
  <w:num w:numId="3" w16cid:durableId="979504186">
    <w:abstractNumId w:val="0"/>
  </w:num>
  <w:num w:numId="4" w16cid:durableId="1491555678">
    <w:abstractNumId w:val="13"/>
  </w:num>
  <w:num w:numId="5" w16cid:durableId="47195757">
    <w:abstractNumId w:val="17"/>
  </w:num>
  <w:num w:numId="6" w16cid:durableId="1638141662">
    <w:abstractNumId w:val="7"/>
  </w:num>
  <w:num w:numId="7" w16cid:durableId="1164708991">
    <w:abstractNumId w:val="4"/>
  </w:num>
  <w:num w:numId="8" w16cid:durableId="238909833">
    <w:abstractNumId w:val="1"/>
  </w:num>
  <w:num w:numId="9" w16cid:durableId="556815459">
    <w:abstractNumId w:val="3"/>
  </w:num>
  <w:num w:numId="10" w16cid:durableId="362633327">
    <w:abstractNumId w:val="11"/>
  </w:num>
  <w:num w:numId="11" w16cid:durableId="1026446349">
    <w:abstractNumId w:val="14"/>
  </w:num>
  <w:num w:numId="12" w16cid:durableId="62989368">
    <w:abstractNumId w:val="8"/>
  </w:num>
  <w:num w:numId="13" w16cid:durableId="60178673">
    <w:abstractNumId w:val="16"/>
  </w:num>
  <w:num w:numId="14" w16cid:durableId="837157155">
    <w:abstractNumId w:val="12"/>
  </w:num>
  <w:num w:numId="15" w16cid:durableId="563806534">
    <w:abstractNumId w:val="10"/>
  </w:num>
  <w:num w:numId="16" w16cid:durableId="41028139">
    <w:abstractNumId w:val="15"/>
  </w:num>
  <w:num w:numId="17" w16cid:durableId="771821890">
    <w:abstractNumId w:val="9"/>
  </w:num>
  <w:num w:numId="18" w16cid:durableId="1225797951">
    <w:abstractNumId w:val="19"/>
  </w:num>
  <w:num w:numId="19" w16cid:durableId="1686712329">
    <w:abstractNumId w:val="6"/>
  </w:num>
  <w:num w:numId="20" w16cid:durableId="3776334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193"/>
    <w:rsid w:val="000032CE"/>
    <w:rsid w:val="00003CC3"/>
    <w:rsid w:val="00004038"/>
    <w:rsid w:val="0000488B"/>
    <w:rsid w:val="00005B69"/>
    <w:rsid w:val="00005BCB"/>
    <w:rsid w:val="00005EA0"/>
    <w:rsid w:val="00007105"/>
    <w:rsid w:val="00007296"/>
    <w:rsid w:val="00007E09"/>
    <w:rsid w:val="00007EFD"/>
    <w:rsid w:val="00007FD5"/>
    <w:rsid w:val="000106FE"/>
    <w:rsid w:val="000108BF"/>
    <w:rsid w:val="00011C6A"/>
    <w:rsid w:val="00011D42"/>
    <w:rsid w:val="000121A9"/>
    <w:rsid w:val="000126F6"/>
    <w:rsid w:val="00012918"/>
    <w:rsid w:val="00012DC1"/>
    <w:rsid w:val="000130C8"/>
    <w:rsid w:val="000135AF"/>
    <w:rsid w:val="00014948"/>
    <w:rsid w:val="00014EC2"/>
    <w:rsid w:val="00014F98"/>
    <w:rsid w:val="0001695E"/>
    <w:rsid w:val="00016C0B"/>
    <w:rsid w:val="00016E88"/>
    <w:rsid w:val="000174F5"/>
    <w:rsid w:val="00020680"/>
    <w:rsid w:val="00020D86"/>
    <w:rsid w:val="00021989"/>
    <w:rsid w:val="00021B04"/>
    <w:rsid w:val="00021C5F"/>
    <w:rsid w:val="00022BBC"/>
    <w:rsid w:val="00022FEE"/>
    <w:rsid w:val="00023F33"/>
    <w:rsid w:val="00024545"/>
    <w:rsid w:val="00025BEB"/>
    <w:rsid w:val="00025FB5"/>
    <w:rsid w:val="000262A2"/>
    <w:rsid w:val="000264DD"/>
    <w:rsid w:val="000265C6"/>
    <w:rsid w:val="000269F9"/>
    <w:rsid w:val="00026C11"/>
    <w:rsid w:val="0003052C"/>
    <w:rsid w:val="000306D4"/>
    <w:rsid w:val="00030BAF"/>
    <w:rsid w:val="00031B73"/>
    <w:rsid w:val="000320FC"/>
    <w:rsid w:val="000324B9"/>
    <w:rsid w:val="000329BA"/>
    <w:rsid w:val="00032D83"/>
    <w:rsid w:val="000330FB"/>
    <w:rsid w:val="000338EE"/>
    <w:rsid w:val="00034F3F"/>
    <w:rsid w:val="0003629C"/>
    <w:rsid w:val="000364B0"/>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5BAD"/>
    <w:rsid w:val="000466B1"/>
    <w:rsid w:val="000466D5"/>
    <w:rsid w:val="00051A35"/>
    <w:rsid w:val="0005209A"/>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3D74"/>
    <w:rsid w:val="00064906"/>
    <w:rsid w:val="00064FD9"/>
    <w:rsid w:val="00067B5A"/>
    <w:rsid w:val="00070777"/>
    <w:rsid w:val="00070AA4"/>
    <w:rsid w:val="00071C6F"/>
    <w:rsid w:val="00071E8C"/>
    <w:rsid w:val="00071F15"/>
    <w:rsid w:val="000728B9"/>
    <w:rsid w:val="00073031"/>
    <w:rsid w:val="000730BD"/>
    <w:rsid w:val="000737BF"/>
    <w:rsid w:val="000742DF"/>
    <w:rsid w:val="00074A23"/>
    <w:rsid w:val="00074C62"/>
    <w:rsid w:val="00074E28"/>
    <w:rsid w:val="000755A5"/>
    <w:rsid w:val="000756DE"/>
    <w:rsid w:val="00075A94"/>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CC1"/>
    <w:rsid w:val="000A4762"/>
    <w:rsid w:val="000A49BC"/>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407"/>
    <w:rsid w:val="000C1E6B"/>
    <w:rsid w:val="000C238B"/>
    <w:rsid w:val="000C2764"/>
    <w:rsid w:val="000C3DC9"/>
    <w:rsid w:val="000C4139"/>
    <w:rsid w:val="000C47B5"/>
    <w:rsid w:val="000C5414"/>
    <w:rsid w:val="000C58C2"/>
    <w:rsid w:val="000C5BCE"/>
    <w:rsid w:val="000C5DC1"/>
    <w:rsid w:val="000C6670"/>
    <w:rsid w:val="000D04BF"/>
    <w:rsid w:val="000D12C5"/>
    <w:rsid w:val="000D153E"/>
    <w:rsid w:val="000D170C"/>
    <w:rsid w:val="000D1CF0"/>
    <w:rsid w:val="000D2A1F"/>
    <w:rsid w:val="000D3B9C"/>
    <w:rsid w:val="000D3E70"/>
    <w:rsid w:val="000D3E85"/>
    <w:rsid w:val="000D42B5"/>
    <w:rsid w:val="000D4AFE"/>
    <w:rsid w:val="000D5397"/>
    <w:rsid w:val="000D558F"/>
    <w:rsid w:val="000D5746"/>
    <w:rsid w:val="000D6E87"/>
    <w:rsid w:val="000D7314"/>
    <w:rsid w:val="000D771A"/>
    <w:rsid w:val="000D7B89"/>
    <w:rsid w:val="000D7C8C"/>
    <w:rsid w:val="000E1E0D"/>
    <w:rsid w:val="000E27C8"/>
    <w:rsid w:val="000E343A"/>
    <w:rsid w:val="000E3FF4"/>
    <w:rsid w:val="000E40FD"/>
    <w:rsid w:val="000E4AC8"/>
    <w:rsid w:val="000E4C30"/>
    <w:rsid w:val="000E5501"/>
    <w:rsid w:val="000E5766"/>
    <w:rsid w:val="000E5B3C"/>
    <w:rsid w:val="000E5B66"/>
    <w:rsid w:val="000E64AF"/>
    <w:rsid w:val="000E6B0A"/>
    <w:rsid w:val="000E74F5"/>
    <w:rsid w:val="000E7DB2"/>
    <w:rsid w:val="000F026A"/>
    <w:rsid w:val="000F09D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6BA6"/>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5A05"/>
    <w:rsid w:val="00126C0C"/>
    <w:rsid w:val="00126EEE"/>
    <w:rsid w:val="00126EEF"/>
    <w:rsid w:val="00126F80"/>
    <w:rsid w:val="00127248"/>
    <w:rsid w:val="00127B1F"/>
    <w:rsid w:val="00127C05"/>
    <w:rsid w:val="00130500"/>
    <w:rsid w:val="0013065F"/>
    <w:rsid w:val="001312BC"/>
    <w:rsid w:val="00131911"/>
    <w:rsid w:val="00131CDF"/>
    <w:rsid w:val="00132391"/>
    <w:rsid w:val="001331A2"/>
    <w:rsid w:val="00133BFB"/>
    <w:rsid w:val="00133DCC"/>
    <w:rsid w:val="00134A68"/>
    <w:rsid w:val="00134AB5"/>
    <w:rsid w:val="00135132"/>
    <w:rsid w:val="0013555E"/>
    <w:rsid w:val="00135B0C"/>
    <w:rsid w:val="00136897"/>
    <w:rsid w:val="0013695E"/>
    <w:rsid w:val="00136F02"/>
    <w:rsid w:val="00136FB8"/>
    <w:rsid w:val="00137C86"/>
    <w:rsid w:val="0014043C"/>
    <w:rsid w:val="00140D7E"/>
    <w:rsid w:val="00142417"/>
    <w:rsid w:val="00142A0C"/>
    <w:rsid w:val="00143682"/>
    <w:rsid w:val="001438CF"/>
    <w:rsid w:val="001441D3"/>
    <w:rsid w:val="001450E2"/>
    <w:rsid w:val="001460CF"/>
    <w:rsid w:val="00146509"/>
    <w:rsid w:val="0014671A"/>
    <w:rsid w:val="0014693A"/>
    <w:rsid w:val="00146991"/>
    <w:rsid w:val="00147CCC"/>
    <w:rsid w:val="00147FEF"/>
    <w:rsid w:val="0015050B"/>
    <w:rsid w:val="00150953"/>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4E0"/>
    <w:rsid w:val="00164BCE"/>
    <w:rsid w:val="001659D0"/>
    <w:rsid w:val="0016604B"/>
    <w:rsid w:val="0016700D"/>
    <w:rsid w:val="00167772"/>
    <w:rsid w:val="00167ADD"/>
    <w:rsid w:val="001702C6"/>
    <w:rsid w:val="001711A1"/>
    <w:rsid w:val="00172205"/>
    <w:rsid w:val="0017260E"/>
    <w:rsid w:val="001729D0"/>
    <w:rsid w:val="00172B51"/>
    <w:rsid w:val="00172C89"/>
    <w:rsid w:val="0017368E"/>
    <w:rsid w:val="0017568D"/>
    <w:rsid w:val="00175C14"/>
    <w:rsid w:val="001761CB"/>
    <w:rsid w:val="0017651E"/>
    <w:rsid w:val="00177632"/>
    <w:rsid w:val="001778B4"/>
    <w:rsid w:val="001779CB"/>
    <w:rsid w:val="00177B53"/>
    <w:rsid w:val="001810D5"/>
    <w:rsid w:val="00182189"/>
    <w:rsid w:val="001826D0"/>
    <w:rsid w:val="001831E3"/>
    <w:rsid w:val="0018345B"/>
    <w:rsid w:val="0018356C"/>
    <w:rsid w:val="0018358B"/>
    <w:rsid w:val="0018454F"/>
    <w:rsid w:val="001846BB"/>
    <w:rsid w:val="00184F9A"/>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958"/>
    <w:rsid w:val="001A6EBE"/>
    <w:rsid w:val="001A6F68"/>
    <w:rsid w:val="001A77FB"/>
    <w:rsid w:val="001B009D"/>
    <w:rsid w:val="001B13DB"/>
    <w:rsid w:val="001B17F6"/>
    <w:rsid w:val="001B2848"/>
    <w:rsid w:val="001B341D"/>
    <w:rsid w:val="001B3A10"/>
    <w:rsid w:val="001B43A1"/>
    <w:rsid w:val="001B6E63"/>
    <w:rsid w:val="001B7A7B"/>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65E5"/>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0503"/>
    <w:rsid w:val="001E0E21"/>
    <w:rsid w:val="001E288A"/>
    <w:rsid w:val="001E2A02"/>
    <w:rsid w:val="001E2B84"/>
    <w:rsid w:val="001E338B"/>
    <w:rsid w:val="001E3B11"/>
    <w:rsid w:val="001E4C02"/>
    <w:rsid w:val="001E65E8"/>
    <w:rsid w:val="001E6AE5"/>
    <w:rsid w:val="001E7020"/>
    <w:rsid w:val="001E71FD"/>
    <w:rsid w:val="001E772A"/>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0EC4"/>
    <w:rsid w:val="002010A9"/>
    <w:rsid w:val="00201769"/>
    <w:rsid w:val="0020247E"/>
    <w:rsid w:val="002025FD"/>
    <w:rsid w:val="00203FD3"/>
    <w:rsid w:val="00204278"/>
    <w:rsid w:val="00204577"/>
    <w:rsid w:val="00205A55"/>
    <w:rsid w:val="00206222"/>
    <w:rsid w:val="0020694D"/>
    <w:rsid w:val="00206B99"/>
    <w:rsid w:val="002073D2"/>
    <w:rsid w:val="00207445"/>
    <w:rsid w:val="002078AA"/>
    <w:rsid w:val="00210261"/>
    <w:rsid w:val="0021074F"/>
    <w:rsid w:val="002111AC"/>
    <w:rsid w:val="0021188E"/>
    <w:rsid w:val="002120FB"/>
    <w:rsid w:val="002127E7"/>
    <w:rsid w:val="00212E08"/>
    <w:rsid w:val="0021302A"/>
    <w:rsid w:val="00213783"/>
    <w:rsid w:val="00214685"/>
    <w:rsid w:val="002147E4"/>
    <w:rsid w:val="00214CE8"/>
    <w:rsid w:val="002159C8"/>
    <w:rsid w:val="002161AD"/>
    <w:rsid w:val="00216377"/>
    <w:rsid w:val="00216595"/>
    <w:rsid w:val="002165D6"/>
    <w:rsid w:val="00216AB7"/>
    <w:rsid w:val="002170A5"/>
    <w:rsid w:val="00217F57"/>
    <w:rsid w:val="00221687"/>
    <w:rsid w:val="00221709"/>
    <w:rsid w:val="0022178E"/>
    <w:rsid w:val="00221E9A"/>
    <w:rsid w:val="00222A05"/>
    <w:rsid w:val="00222E1E"/>
    <w:rsid w:val="0022341D"/>
    <w:rsid w:val="0022360E"/>
    <w:rsid w:val="00223F75"/>
    <w:rsid w:val="00224412"/>
    <w:rsid w:val="002246DF"/>
    <w:rsid w:val="002248E9"/>
    <w:rsid w:val="00225069"/>
    <w:rsid w:val="00226319"/>
    <w:rsid w:val="00227445"/>
    <w:rsid w:val="00227471"/>
    <w:rsid w:val="00230D10"/>
    <w:rsid w:val="00231036"/>
    <w:rsid w:val="00232D7F"/>
    <w:rsid w:val="0023417B"/>
    <w:rsid w:val="002344E1"/>
    <w:rsid w:val="00234A24"/>
    <w:rsid w:val="00234A27"/>
    <w:rsid w:val="002350A1"/>
    <w:rsid w:val="00235FE5"/>
    <w:rsid w:val="002369EA"/>
    <w:rsid w:val="002371FF"/>
    <w:rsid w:val="00237985"/>
    <w:rsid w:val="00237D5A"/>
    <w:rsid w:val="00237DC2"/>
    <w:rsid w:val="0024076F"/>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1BFA"/>
    <w:rsid w:val="00252528"/>
    <w:rsid w:val="002530F3"/>
    <w:rsid w:val="00253130"/>
    <w:rsid w:val="00253A1C"/>
    <w:rsid w:val="00254051"/>
    <w:rsid w:val="002541B3"/>
    <w:rsid w:val="00255334"/>
    <w:rsid w:val="0025565F"/>
    <w:rsid w:val="0025673D"/>
    <w:rsid w:val="00256B3C"/>
    <w:rsid w:val="00256E7D"/>
    <w:rsid w:val="00256F27"/>
    <w:rsid w:val="002573E9"/>
    <w:rsid w:val="0025762F"/>
    <w:rsid w:val="00257816"/>
    <w:rsid w:val="00257C5E"/>
    <w:rsid w:val="00260433"/>
    <w:rsid w:val="00260969"/>
    <w:rsid w:val="0026116F"/>
    <w:rsid w:val="002617F9"/>
    <w:rsid w:val="00262666"/>
    <w:rsid w:val="002629DE"/>
    <w:rsid w:val="00262D7C"/>
    <w:rsid w:val="00263720"/>
    <w:rsid w:val="00263F1F"/>
    <w:rsid w:val="00265161"/>
    <w:rsid w:val="00265F1B"/>
    <w:rsid w:val="002665A2"/>
    <w:rsid w:val="00267221"/>
    <w:rsid w:val="00270087"/>
    <w:rsid w:val="00270831"/>
    <w:rsid w:val="0027275E"/>
    <w:rsid w:val="00272A7D"/>
    <w:rsid w:val="00273171"/>
    <w:rsid w:val="00273223"/>
    <w:rsid w:val="002740A0"/>
    <w:rsid w:val="002748AA"/>
    <w:rsid w:val="00275201"/>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978"/>
    <w:rsid w:val="00292CA5"/>
    <w:rsid w:val="00293914"/>
    <w:rsid w:val="00293B1D"/>
    <w:rsid w:val="00293E41"/>
    <w:rsid w:val="00294153"/>
    <w:rsid w:val="00296748"/>
    <w:rsid w:val="0029713B"/>
    <w:rsid w:val="00297C79"/>
    <w:rsid w:val="00297E37"/>
    <w:rsid w:val="002A0081"/>
    <w:rsid w:val="002A0713"/>
    <w:rsid w:val="002A0D21"/>
    <w:rsid w:val="002A18E6"/>
    <w:rsid w:val="002A1AAC"/>
    <w:rsid w:val="002A2985"/>
    <w:rsid w:val="002A2BD9"/>
    <w:rsid w:val="002A30BB"/>
    <w:rsid w:val="002A4088"/>
    <w:rsid w:val="002A4403"/>
    <w:rsid w:val="002A4AD1"/>
    <w:rsid w:val="002A4AE9"/>
    <w:rsid w:val="002A4B47"/>
    <w:rsid w:val="002A4DEA"/>
    <w:rsid w:val="002A5750"/>
    <w:rsid w:val="002A657D"/>
    <w:rsid w:val="002A6B3D"/>
    <w:rsid w:val="002A6E86"/>
    <w:rsid w:val="002A6EF0"/>
    <w:rsid w:val="002A78A5"/>
    <w:rsid w:val="002B00BD"/>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0D09"/>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2F5"/>
    <w:rsid w:val="002D3701"/>
    <w:rsid w:val="002D3CF1"/>
    <w:rsid w:val="002D3F79"/>
    <w:rsid w:val="002D413F"/>
    <w:rsid w:val="002D4B99"/>
    <w:rsid w:val="002D6E4D"/>
    <w:rsid w:val="002D724E"/>
    <w:rsid w:val="002D7665"/>
    <w:rsid w:val="002D7BA0"/>
    <w:rsid w:val="002E0C48"/>
    <w:rsid w:val="002E1666"/>
    <w:rsid w:val="002E1E05"/>
    <w:rsid w:val="002E3358"/>
    <w:rsid w:val="002E3511"/>
    <w:rsid w:val="002E3777"/>
    <w:rsid w:val="002E3B43"/>
    <w:rsid w:val="002E3D1C"/>
    <w:rsid w:val="002E5953"/>
    <w:rsid w:val="002E5971"/>
    <w:rsid w:val="002E5A0A"/>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08A"/>
    <w:rsid w:val="002F67C7"/>
    <w:rsid w:val="002F6EC3"/>
    <w:rsid w:val="002F7173"/>
    <w:rsid w:val="002F7484"/>
    <w:rsid w:val="002F77C3"/>
    <w:rsid w:val="00301CB4"/>
    <w:rsid w:val="003027FF"/>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B8"/>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D7E"/>
    <w:rsid w:val="00323FF5"/>
    <w:rsid w:val="0032464C"/>
    <w:rsid w:val="00324B78"/>
    <w:rsid w:val="003253CA"/>
    <w:rsid w:val="00326D5E"/>
    <w:rsid w:val="00327A8E"/>
    <w:rsid w:val="00327BDD"/>
    <w:rsid w:val="003309B9"/>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4FF3"/>
    <w:rsid w:val="00345141"/>
    <w:rsid w:val="00345946"/>
    <w:rsid w:val="00345C36"/>
    <w:rsid w:val="00345C53"/>
    <w:rsid w:val="00346754"/>
    <w:rsid w:val="00347A89"/>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027"/>
    <w:rsid w:val="003625FB"/>
    <w:rsid w:val="003626E5"/>
    <w:rsid w:val="003633B9"/>
    <w:rsid w:val="003636DE"/>
    <w:rsid w:val="003638B9"/>
    <w:rsid w:val="003646B9"/>
    <w:rsid w:val="003646E5"/>
    <w:rsid w:val="003652C6"/>
    <w:rsid w:val="003654A6"/>
    <w:rsid w:val="0036586F"/>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214"/>
    <w:rsid w:val="00386F92"/>
    <w:rsid w:val="003874C3"/>
    <w:rsid w:val="00387725"/>
    <w:rsid w:val="00387732"/>
    <w:rsid w:val="00387C65"/>
    <w:rsid w:val="00390CDE"/>
    <w:rsid w:val="003922BF"/>
    <w:rsid w:val="003925FB"/>
    <w:rsid w:val="00392B20"/>
    <w:rsid w:val="00394516"/>
    <w:rsid w:val="003961E1"/>
    <w:rsid w:val="003974F9"/>
    <w:rsid w:val="003A0AA1"/>
    <w:rsid w:val="003A0FE5"/>
    <w:rsid w:val="003A21A1"/>
    <w:rsid w:val="003A24EC"/>
    <w:rsid w:val="003A3EA0"/>
    <w:rsid w:val="003A4B73"/>
    <w:rsid w:val="003A5241"/>
    <w:rsid w:val="003A6262"/>
    <w:rsid w:val="003A645D"/>
    <w:rsid w:val="003A748C"/>
    <w:rsid w:val="003B0033"/>
    <w:rsid w:val="003B04C5"/>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164"/>
    <w:rsid w:val="003C268F"/>
    <w:rsid w:val="003C32DC"/>
    <w:rsid w:val="003C32FC"/>
    <w:rsid w:val="003C3D3F"/>
    <w:rsid w:val="003C42AD"/>
    <w:rsid w:val="003C4C9F"/>
    <w:rsid w:val="003C5B3B"/>
    <w:rsid w:val="003C5D9D"/>
    <w:rsid w:val="003C6C6E"/>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43B"/>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5BBB"/>
    <w:rsid w:val="003F7A40"/>
    <w:rsid w:val="004003E7"/>
    <w:rsid w:val="00400CE8"/>
    <w:rsid w:val="00401B8F"/>
    <w:rsid w:val="00401FEB"/>
    <w:rsid w:val="004022FC"/>
    <w:rsid w:val="00402763"/>
    <w:rsid w:val="004027A1"/>
    <w:rsid w:val="0040309B"/>
    <w:rsid w:val="004051E8"/>
    <w:rsid w:val="00405E13"/>
    <w:rsid w:val="00406284"/>
    <w:rsid w:val="00406A7E"/>
    <w:rsid w:val="00406B2A"/>
    <w:rsid w:val="00406B80"/>
    <w:rsid w:val="00406C21"/>
    <w:rsid w:val="00406D0B"/>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205F"/>
    <w:rsid w:val="0042380D"/>
    <w:rsid w:val="00423C26"/>
    <w:rsid w:val="00423E43"/>
    <w:rsid w:val="00424709"/>
    <w:rsid w:val="00424839"/>
    <w:rsid w:val="00424D35"/>
    <w:rsid w:val="004250E0"/>
    <w:rsid w:val="004256FF"/>
    <w:rsid w:val="004258D6"/>
    <w:rsid w:val="004264F9"/>
    <w:rsid w:val="00426717"/>
    <w:rsid w:val="00426777"/>
    <w:rsid w:val="00427031"/>
    <w:rsid w:val="00427142"/>
    <w:rsid w:val="00427899"/>
    <w:rsid w:val="00427DBB"/>
    <w:rsid w:val="00427FBB"/>
    <w:rsid w:val="00430399"/>
    <w:rsid w:val="00430E42"/>
    <w:rsid w:val="00431F3F"/>
    <w:rsid w:val="0043209C"/>
    <w:rsid w:val="004322A6"/>
    <w:rsid w:val="00433049"/>
    <w:rsid w:val="00433351"/>
    <w:rsid w:val="004340BA"/>
    <w:rsid w:val="004348C5"/>
    <w:rsid w:val="00435C4E"/>
    <w:rsid w:val="00436B6F"/>
    <w:rsid w:val="00437D5A"/>
    <w:rsid w:val="0044044F"/>
    <w:rsid w:val="00441DE8"/>
    <w:rsid w:val="0044261B"/>
    <w:rsid w:val="00442F67"/>
    <w:rsid w:val="00442FBB"/>
    <w:rsid w:val="00443487"/>
    <w:rsid w:val="00443DE0"/>
    <w:rsid w:val="0044467E"/>
    <w:rsid w:val="0044496C"/>
    <w:rsid w:val="00444F46"/>
    <w:rsid w:val="0044520F"/>
    <w:rsid w:val="0044541F"/>
    <w:rsid w:val="004458DD"/>
    <w:rsid w:val="004468EC"/>
    <w:rsid w:val="004469E1"/>
    <w:rsid w:val="00446A05"/>
    <w:rsid w:val="00446B69"/>
    <w:rsid w:val="00447C41"/>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ABB"/>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26CB"/>
    <w:rsid w:val="004836E4"/>
    <w:rsid w:val="00483B0E"/>
    <w:rsid w:val="00484AE9"/>
    <w:rsid w:val="00484F8B"/>
    <w:rsid w:val="00485508"/>
    <w:rsid w:val="0048659E"/>
    <w:rsid w:val="00486775"/>
    <w:rsid w:val="004874A4"/>
    <w:rsid w:val="004904DF"/>
    <w:rsid w:val="00491E99"/>
    <w:rsid w:val="004929E7"/>
    <w:rsid w:val="0049318A"/>
    <w:rsid w:val="00493A5B"/>
    <w:rsid w:val="00494CF3"/>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2CCF"/>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31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025"/>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E7A7A"/>
    <w:rsid w:val="004F026D"/>
    <w:rsid w:val="004F0402"/>
    <w:rsid w:val="004F07B7"/>
    <w:rsid w:val="004F12C9"/>
    <w:rsid w:val="004F1B13"/>
    <w:rsid w:val="004F28AC"/>
    <w:rsid w:val="004F2A92"/>
    <w:rsid w:val="004F2E5D"/>
    <w:rsid w:val="004F2E7C"/>
    <w:rsid w:val="004F421C"/>
    <w:rsid w:val="004F4289"/>
    <w:rsid w:val="004F48BF"/>
    <w:rsid w:val="004F5408"/>
    <w:rsid w:val="004F5821"/>
    <w:rsid w:val="004F5CD5"/>
    <w:rsid w:val="004F674E"/>
    <w:rsid w:val="004F6C74"/>
    <w:rsid w:val="005001E5"/>
    <w:rsid w:val="00500A0B"/>
    <w:rsid w:val="00500C4C"/>
    <w:rsid w:val="005016CA"/>
    <w:rsid w:val="00502093"/>
    <w:rsid w:val="00502177"/>
    <w:rsid w:val="0050345B"/>
    <w:rsid w:val="00503A6E"/>
    <w:rsid w:val="00504E19"/>
    <w:rsid w:val="005063B6"/>
    <w:rsid w:val="00506A1C"/>
    <w:rsid w:val="0050734D"/>
    <w:rsid w:val="00507AB3"/>
    <w:rsid w:val="00507E13"/>
    <w:rsid w:val="00510956"/>
    <w:rsid w:val="00510F23"/>
    <w:rsid w:val="0051133B"/>
    <w:rsid w:val="0051146E"/>
    <w:rsid w:val="005115C3"/>
    <w:rsid w:val="005144FC"/>
    <w:rsid w:val="00515288"/>
    <w:rsid w:val="00515B21"/>
    <w:rsid w:val="00515CF2"/>
    <w:rsid w:val="00517079"/>
    <w:rsid w:val="00520023"/>
    <w:rsid w:val="005201C4"/>
    <w:rsid w:val="00520569"/>
    <w:rsid w:val="0052093C"/>
    <w:rsid w:val="005212AE"/>
    <w:rsid w:val="005229B8"/>
    <w:rsid w:val="00522C1A"/>
    <w:rsid w:val="00523091"/>
    <w:rsid w:val="00523746"/>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15D"/>
    <w:rsid w:val="00566CEF"/>
    <w:rsid w:val="00567CCF"/>
    <w:rsid w:val="00570608"/>
    <w:rsid w:val="005707BD"/>
    <w:rsid w:val="00570A3B"/>
    <w:rsid w:val="00571411"/>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55D"/>
    <w:rsid w:val="00584BAB"/>
    <w:rsid w:val="00584EFB"/>
    <w:rsid w:val="0058621D"/>
    <w:rsid w:val="00586D72"/>
    <w:rsid w:val="00586E4F"/>
    <w:rsid w:val="00587330"/>
    <w:rsid w:val="00587984"/>
    <w:rsid w:val="00587A84"/>
    <w:rsid w:val="0059099F"/>
    <w:rsid w:val="00590AF7"/>
    <w:rsid w:val="00592360"/>
    <w:rsid w:val="0059319A"/>
    <w:rsid w:val="00593333"/>
    <w:rsid w:val="005960D3"/>
    <w:rsid w:val="00596140"/>
    <w:rsid w:val="00597038"/>
    <w:rsid w:val="005973A7"/>
    <w:rsid w:val="005A05F1"/>
    <w:rsid w:val="005A060E"/>
    <w:rsid w:val="005A0825"/>
    <w:rsid w:val="005A09A3"/>
    <w:rsid w:val="005A1FEE"/>
    <w:rsid w:val="005A273F"/>
    <w:rsid w:val="005A3583"/>
    <w:rsid w:val="005A4118"/>
    <w:rsid w:val="005A453F"/>
    <w:rsid w:val="005A493F"/>
    <w:rsid w:val="005A6317"/>
    <w:rsid w:val="005A6A9E"/>
    <w:rsid w:val="005A752F"/>
    <w:rsid w:val="005B02EB"/>
    <w:rsid w:val="005B1263"/>
    <w:rsid w:val="005B1E67"/>
    <w:rsid w:val="005B2365"/>
    <w:rsid w:val="005B296A"/>
    <w:rsid w:val="005B3184"/>
    <w:rsid w:val="005B36F5"/>
    <w:rsid w:val="005B3BB9"/>
    <w:rsid w:val="005B3F3B"/>
    <w:rsid w:val="005B5FC8"/>
    <w:rsid w:val="005B67CC"/>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6D2A"/>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D7E0E"/>
    <w:rsid w:val="005E08EE"/>
    <w:rsid w:val="005E3A57"/>
    <w:rsid w:val="005E3BA2"/>
    <w:rsid w:val="005E40A8"/>
    <w:rsid w:val="005E4DA8"/>
    <w:rsid w:val="005E5F15"/>
    <w:rsid w:val="005E7897"/>
    <w:rsid w:val="005F0996"/>
    <w:rsid w:val="005F0FE2"/>
    <w:rsid w:val="005F1394"/>
    <w:rsid w:val="005F156F"/>
    <w:rsid w:val="005F1C5A"/>
    <w:rsid w:val="005F1D9F"/>
    <w:rsid w:val="005F2179"/>
    <w:rsid w:val="005F2E7D"/>
    <w:rsid w:val="005F2F7D"/>
    <w:rsid w:val="005F3E83"/>
    <w:rsid w:val="005F45C2"/>
    <w:rsid w:val="005F4ECF"/>
    <w:rsid w:val="005F569A"/>
    <w:rsid w:val="005F5FDD"/>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AA8"/>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18"/>
    <w:rsid w:val="0063273E"/>
    <w:rsid w:val="00633242"/>
    <w:rsid w:val="00633587"/>
    <w:rsid w:val="00633A3D"/>
    <w:rsid w:val="00633FA0"/>
    <w:rsid w:val="00634534"/>
    <w:rsid w:val="00634718"/>
    <w:rsid w:val="00634A49"/>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1C2"/>
    <w:rsid w:val="00645AB9"/>
    <w:rsid w:val="00645E2A"/>
    <w:rsid w:val="006460CB"/>
    <w:rsid w:val="00646267"/>
    <w:rsid w:val="00646D5C"/>
    <w:rsid w:val="00646DD7"/>
    <w:rsid w:val="006473BA"/>
    <w:rsid w:val="006475F4"/>
    <w:rsid w:val="00647D90"/>
    <w:rsid w:val="006502D1"/>
    <w:rsid w:val="006504FE"/>
    <w:rsid w:val="00650B53"/>
    <w:rsid w:val="00651275"/>
    <w:rsid w:val="0065228A"/>
    <w:rsid w:val="00654128"/>
    <w:rsid w:val="00654244"/>
    <w:rsid w:val="006546B6"/>
    <w:rsid w:val="006547BB"/>
    <w:rsid w:val="00655491"/>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2C"/>
    <w:rsid w:val="00676465"/>
    <w:rsid w:val="006775C4"/>
    <w:rsid w:val="0068056E"/>
    <w:rsid w:val="00681AC1"/>
    <w:rsid w:val="00681EE7"/>
    <w:rsid w:val="00682165"/>
    <w:rsid w:val="00682AEE"/>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037"/>
    <w:rsid w:val="006A136B"/>
    <w:rsid w:val="006A19D5"/>
    <w:rsid w:val="006A28FD"/>
    <w:rsid w:val="006A326C"/>
    <w:rsid w:val="006A52BF"/>
    <w:rsid w:val="006A5821"/>
    <w:rsid w:val="006A5A6C"/>
    <w:rsid w:val="006A61E5"/>
    <w:rsid w:val="006A6207"/>
    <w:rsid w:val="006A654C"/>
    <w:rsid w:val="006A6B9A"/>
    <w:rsid w:val="006A7061"/>
    <w:rsid w:val="006A7837"/>
    <w:rsid w:val="006B0008"/>
    <w:rsid w:val="006B0A9C"/>
    <w:rsid w:val="006B0B08"/>
    <w:rsid w:val="006B0B51"/>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36EC"/>
    <w:rsid w:val="006C408C"/>
    <w:rsid w:val="006C44AE"/>
    <w:rsid w:val="006C456A"/>
    <w:rsid w:val="006C5036"/>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371"/>
    <w:rsid w:val="006E0406"/>
    <w:rsid w:val="006E09D6"/>
    <w:rsid w:val="006E1695"/>
    <w:rsid w:val="006E197B"/>
    <w:rsid w:val="006E1AC8"/>
    <w:rsid w:val="006E22C9"/>
    <w:rsid w:val="006E2B27"/>
    <w:rsid w:val="006E58AF"/>
    <w:rsid w:val="006E62BA"/>
    <w:rsid w:val="006E6360"/>
    <w:rsid w:val="006E698C"/>
    <w:rsid w:val="006E6A36"/>
    <w:rsid w:val="006E7F21"/>
    <w:rsid w:val="006F0329"/>
    <w:rsid w:val="006F0771"/>
    <w:rsid w:val="006F0913"/>
    <w:rsid w:val="006F101E"/>
    <w:rsid w:val="006F10A6"/>
    <w:rsid w:val="006F2412"/>
    <w:rsid w:val="006F2E16"/>
    <w:rsid w:val="006F3230"/>
    <w:rsid w:val="006F3FE0"/>
    <w:rsid w:val="006F42BC"/>
    <w:rsid w:val="006F462B"/>
    <w:rsid w:val="006F6131"/>
    <w:rsid w:val="006F632D"/>
    <w:rsid w:val="006F650D"/>
    <w:rsid w:val="006F68C0"/>
    <w:rsid w:val="006F68E5"/>
    <w:rsid w:val="006F7A52"/>
    <w:rsid w:val="00700013"/>
    <w:rsid w:val="007007EB"/>
    <w:rsid w:val="00701329"/>
    <w:rsid w:val="007017F0"/>
    <w:rsid w:val="00701C5B"/>
    <w:rsid w:val="00702862"/>
    <w:rsid w:val="007036B7"/>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96F"/>
    <w:rsid w:val="00711EB9"/>
    <w:rsid w:val="0071287D"/>
    <w:rsid w:val="00712D50"/>
    <w:rsid w:val="00713419"/>
    <w:rsid w:val="007135A0"/>
    <w:rsid w:val="00713957"/>
    <w:rsid w:val="00714402"/>
    <w:rsid w:val="00714488"/>
    <w:rsid w:val="00715319"/>
    <w:rsid w:val="00715EBB"/>
    <w:rsid w:val="00716095"/>
    <w:rsid w:val="00717898"/>
    <w:rsid w:val="00721A72"/>
    <w:rsid w:val="0072215B"/>
    <w:rsid w:val="00722B88"/>
    <w:rsid w:val="0072304C"/>
    <w:rsid w:val="0072368F"/>
    <w:rsid w:val="00723EC1"/>
    <w:rsid w:val="00724552"/>
    <w:rsid w:val="00724C1C"/>
    <w:rsid w:val="00727C09"/>
    <w:rsid w:val="00727D9C"/>
    <w:rsid w:val="00730089"/>
    <w:rsid w:val="00730250"/>
    <w:rsid w:val="00730453"/>
    <w:rsid w:val="0073080C"/>
    <w:rsid w:val="00731079"/>
    <w:rsid w:val="007310C1"/>
    <w:rsid w:val="0073118F"/>
    <w:rsid w:val="0073182F"/>
    <w:rsid w:val="0073212F"/>
    <w:rsid w:val="0073215C"/>
    <w:rsid w:val="007324A9"/>
    <w:rsid w:val="007332CB"/>
    <w:rsid w:val="00734300"/>
    <w:rsid w:val="0073439D"/>
    <w:rsid w:val="00734795"/>
    <w:rsid w:val="007363E1"/>
    <w:rsid w:val="00736F71"/>
    <w:rsid w:val="00740A21"/>
    <w:rsid w:val="00740D93"/>
    <w:rsid w:val="007426D1"/>
    <w:rsid w:val="0074323E"/>
    <w:rsid w:val="00743E50"/>
    <w:rsid w:val="00743F9C"/>
    <w:rsid w:val="00744412"/>
    <w:rsid w:val="00744BFA"/>
    <w:rsid w:val="00744DC2"/>
    <w:rsid w:val="00744E48"/>
    <w:rsid w:val="00744EED"/>
    <w:rsid w:val="00745290"/>
    <w:rsid w:val="007455AB"/>
    <w:rsid w:val="00745BE3"/>
    <w:rsid w:val="00746015"/>
    <w:rsid w:val="00746730"/>
    <w:rsid w:val="00747293"/>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4C6"/>
    <w:rsid w:val="00760AB6"/>
    <w:rsid w:val="00760DD6"/>
    <w:rsid w:val="00761447"/>
    <w:rsid w:val="00761DF4"/>
    <w:rsid w:val="00762460"/>
    <w:rsid w:val="00762B44"/>
    <w:rsid w:val="00762B99"/>
    <w:rsid w:val="007656A2"/>
    <w:rsid w:val="00765A2B"/>
    <w:rsid w:val="00766389"/>
    <w:rsid w:val="007668FB"/>
    <w:rsid w:val="007677CD"/>
    <w:rsid w:val="00767FE0"/>
    <w:rsid w:val="00770340"/>
    <w:rsid w:val="00770536"/>
    <w:rsid w:val="00770AC5"/>
    <w:rsid w:val="00770D7F"/>
    <w:rsid w:val="0077100C"/>
    <w:rsid w:val="007711A1"/>
    <w:rsid w:val="00771AF2"/>
    <w:rsid w:val="007722CF"/>
    <w:rsid w:val="00772E06"/>
    <w:rsid w:val="007730D4"/>
    <w:rsid w:val="00773C44"/>
    <w:rsid w:val="00774396"/>
    <w:rsid w:val="007743DD"/>
    <w:rsid w:val="007748B7"/>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3C9"/>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4B7"/>
    <w:rsid w:val="007D45CB"/>
    <w:rsid w:val="007D4645"/>
    <w:rsid w:val="007D493C"/>
    <w:rsid w:val="007D5692"/>
    <w:rsid w:val="007D5CCD"/>
    <w:rsid w:val="007D6461"/>
    <w:rsid w:val="007D7816"/>
    <w:rsid w:val="007E1A9F"/>
    <w:rsid w:val="007E2C90"/>
    <w:rsid w:val="007E3210"/>
    <w:rsid w:val="007E32FC"/>
    <w:rsid w:val="007E4266"/>
    <w:rsid w:val="007E4EA5"/>
    <w:rsid w:val="007E5A5C"/>
    <w:rsid w:val="007E6EC7"/>
    <w:rsid w:val="007E6FD6"/>
    <w:rsid w:val="007E7816"/>
    <w:rsid w:val="007E7A9C"/>
    <w:rsid w:val="007F0BA9"/>
    <w:rsid w:val="007F14CC"/>
    <w:rsid w:val="007F17A3"/>
    <w:rsid w:val="007F1A1A"/>
    <w:rsid w:val="007F1ECE"/>
    <w:rsid w:val="007F2DD4"/>
    <w:rsid w:val="007F2E3D"/>
    <w:rsid w:val="007F3272"/>
    <w:rsid w:val="007F35C6"/>
    <w:rsid w:val="007F3BF0"/>
    <w:rsid w:val="007F3D21"/>
    <w:rsid w:val="007F425D"/>
    <w:rsid w:val="007F4946"/>
    <w:rsid w:val="007F4B42"/>
    <w:rsid w:val="007F5B11"/>
    <w:rsid w:val="007F7957"/>
    <w:rsid w:val="007F7CB7"/>
    <w:rsid w:val="007F7F91"/>
    <w:rsid w:val="008003EB"/>
    <w:rsid w:val="00800C46"/>
    <w:rsid w:val="00801A10"/>
    <w:rsid w:val="00801BEA"/>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1FB2"/>
    <w:rsid w:val="0082284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3D37"/>
    <w:rsid w:val="0084703C"/>
    <w:rsid w:val="008473A8"/>
    <w:rsid w:val="00847424"/>
    <w:rsid w:val="00847B25"/>
    <w:rsid w:val="00850259"/>
    <w:rsid w:val="008504C8"/>
    <w:rsid w:val="00851000"/>
    <w:rsid w:val="00851789"/>
    <w:rsid w:val="00852028"/>
    <w:rsid w:val="00852F24"/>
    <w:rsid w:val="00854886"/>
    <w:rsid w:val="00854E2E"/>
    <w:rsid w:val="00855029"/>
    <w:rsid w:val="0085507C"/>
    <w:rsid w:val="0085563E"/>
    <w:rsid w:val="00855B11"/>
    <w:rsid w:val="00856EE4"/>
    <w:rsid w:val="008601DA"/>
    <w:rsid w:val="00861653"/>
    <w:rsid w:val="00861978"/>
    <w:rsid w:val="008625C0"/>
    <w:rsid w:val="00863418"/>
    <w:rsid w:val="008634C5"/>
    <w:rsid w:val="0086393B"/>
    <w:rsid w:val="00863FB1"/>
    <w:rsid w:val="00864F72"/>
    <w:rsid w:val="00865B42"/>
    <w:rsid w:val="0086631D"/>
    <w:rsid w:val="00866DED"/>
    <w:rsid w:val="00866DF0"/>
    <w:rsid w:val="008672F5"/>
    <w:rsid w:val="00867EBD"/>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D7E"/>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14"/>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37E"/>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D40"/>
    <w:rsid w:val="008D1EDE"/>
    <w:rsid w:val="008D2040"/>
    <w:rsid w:val="008D29C9"/>
    <w:rsid w:val="008D32AD"/>
    <w:rsid w:val="008D3620"/>
    <w:rsid w:val="008D458F"/>
    <w:rsid w:val="008D4B95"/>
    <w:rsid w:val="008D4C7D"/>
    <w:rsid w:val="008D52D9"/>
    <w:rsid w:val="008D64B4"/>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5F5D"/>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3A8"/>
    <w:rsid w:val="00904997"/>
    <w:rsid w:val="00905373"/>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0F4B"/>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5DC1"/>
    <w:rsid w:val="009366C4"/>
    <w:rsid w:val="00936747"/>
    <w:rsid w:val="0093762C"/>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794"/>
    <w:rsid w:val="00952E94"/>
    <w:rsid w:val="00953386"/>
    <w:rsid w:val="00954F7D"/>
    <w:rsid w:val="00955095"/>
    <w:rsid w:val="00955D30"/>
    <w:rsid w:val="00956727"/>
    <w:rsid w:val="0095724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57E"/>
    <w:rsid w:val="00971321"/>
    <w:rsid w:val="00971B8B"/>
    <w:rsid w:val="00972B61"/>
    <w:rsid w:val="009730F2"/>
    <w:rsid w:val="00973F60"/>
    <w:rsid w:val="00974250"/>
    <w:rsid w:val="00974F50"/>
    <w:rsid w:val="009756EC"/>
    <w:rsid w:val="009757EE"/>
    <w:rsid w:val="0097584C"/>
    <w:rsid w:val="00976FCC"/>
    <w:rsid w:val="0097768E"/>
    <w:rsid w:val="009818A2"/>
    <w:rsid w:val="009829E2"/>
    <w:rsid w:val="00982E33"/>
    <w:rsid w:val="00983525"/>
    <w:rsid w:val="009844CE"/>
    <w:rsid w:val="00984590"/>
    <w:rsid w:val="00984F92"/>
    <w:rsid w:val="00984FB7"/>
    <w:rsid w:val="009855CB"/>
    <w:rsid w:val="00985932"/>
    <w:rsid w:val="009865F3"/>
    <w:rsid w:val="009868FC"/>
    <w:rsid w:val="00986D6A"/>
    <w:rsid w:val="00990013"/>
    <w:rsid w:val="00990D44"/>
    <w:rsid w:val="00991E94"/>
    <w:rsid w:val="00992712"/>
    <w:rsid w:val="00993E7E"/>
    <w:rsid w:val="009945E4"/>
    <w:rsid w:val="0099490A"/>
    <w:rsid w:val="0099690A"/>
    <w:rsid w:val="00997136"/>
    <w:rsid w:val="0099718D"/>
    <w:rsid w:val="009971A7"/>
    <w:rsid w:val="009A2051"/>
    <w:rsid w:val="009A33BE"/>
    <w:rsid w:val="009A3F67"/>
    <w:rsid w:val="009A6E9B"/>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841"/>
    <w:rsid w:val="009C607A"/>
    <w:rsid w:val="009C6929"/>
    <w:rsid w:val="009C6A52"/>
    <w:rsid w:val="009C6AF9"/>
    <w:rsid w:val="009C72C2"/>
    <w:rsid w:val="009C78CF"/>
    <w:rsid w:val="009D183B"/>
    <w:rsid w:val="009D20C4"/>
    <w:rsid w:val="009D2378"/>
    <w:rsid w:val="009D267D"/>
    <w:rsid w:val="009D30C1"/>
    <w:rsid w:val="009D3356"/>
    <w:rsid w:val="009D3709"/>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1C4A"/>
    <w:rsid w:val="009E2B95"/>
    <w:rsid w:val="009E2F5D"/>
    <w:rsid w:val="009E3347"/>
    <w:rsid w:val="009E34FA"/>
    <w:rsid w:val="009E3D69"/>
    <w:rsid w:val="009E3DB9"/>
    <w:rsid w:val="009E4B0C"/>
    <w:rsid w:val="009E4B72"/>
    <w:rsid w:val="009E646B"/>
    <w:rsid w:val="009E67C9"/>
    <w:rsid w:val="009E7198"/>
    <w:rsid w:val="009E7B07"/>
    <w:rsid w:val="009F0232"/>
    <w:rsid w:val="009F050C"/>
    <w:rsid w:val="009F0DA0"/>
    <w:rsid w:val="009F1587"/>
    <w:rsid w:val="009F2380"/>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CC3"/>
    <w:rsid w:val="00A06A2F"/>
    <w:rsid w:val="00A06D1F"/>
    <w:rsid w:val="00A06F57"/>
    <w:rsid w:val="00A06FB2"/>
    <w:rsid w:val="00A073BA"/>
    <w:rsid w:val="00A07A56"/>
    <w:rsid w:val="00A1031F"/>
    <w:rsid w:val="00A10D42"/>
    <w:rsid w:val="00A1186C"/>
    <w:rsid w:val="00A12515"/>
    <w:rsid w:val="00A12661"/>
    <w:rsid w:val="00A12D31"/>
    <w:rsid w:val="00A12F8B"/>
    <w:rsid w:val="00A1334A"/>
    <w:rsid w:val="00A13C0F"/>
    <w:rsid w:val="00A13E82"/>
    <w:rsid w:val="00A15589"/>
    <w:rsid w:val="00A164A6"/>
    <w:rsid w:val="00A165FE"/>
    <w:rsid w:val="00A16EFC"/>
    <w:rsid w:val="00A17A7F"/>
    <w:rsid w:val="00A205C2"/>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881"/>
    <w:rsid w:val="00A3359F"/>
    <w:rsid w:val="00A33736"/>
    <w:rsid w:val="00A33F3B"/>
    <w:rsid w:val="00A352E3"/>
    <w:rsid w:val="00A35434"/>
    <w:rsid w:val="00A35446"/>
    <w:rsid w:val="00A3583F"/>
    <w:rsid w:val="00A3592E"/>
    <w:rsid w:val="00A367EE"/>
    <w:rsid w:val="00A36936"/>
    <w:rsid w:val="00A36CB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2DDF"/>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1C37"/>
    <w:rsid w:val="00A72E3D"/>
    <w:rsid w:val="00A72EE1"/>
    <w:rsid w:val="00A73B00"/>
    <w:rsid w:val="00A745A0"/>
    <w:rsid w:val="00A746E4"/>
    <w:rsid w:val="00A761F4"/>
    <w:rsid w:val="00A77448"/>
    <w:rsid w:val="00A77669"/>
    <w:rsid w:val="00A77B65"/>
    <w:rsid w:val="00A77EC2"/>
    <w:rsid w:val="00A8007D"/>
    <w:rsid w:val="00A80488"/>
    <w:rsid w:val="00A80761"/>
    <w:rsid w:val="00A80DC8"/>
    <w:rsid w:val="00A812F5"/>
    <w:rsid w:val="00A814C5"/>
    <w:rsid w:val="00A81C20"/>
    <w:rsid w:val="00A81C21"/>
    <w:rsid w:val="00A82953"/>
    <w:rsid w:val="00A82B2C"/>
    <w:rsid w:val="00A8339C"/>
    <w:rsid w:val="00A833A8"/>
    <w:rsid w:val="00A83D36"/>
    <w:rsid w:val="00A8427B"/>
    <w:rsid w:val="00A84B23"/>
    <w:rsid w:val="00A84B4C"/>
    <w:rsid w:val="00A85897"/>
    <w:rsid w:val="00A86CC7"/>
    <w:rsid w:val="00A86E22"/>
    <w:rsid w:val="00A87174"/>
    <w:rsid w:val="00A87279"/>
    <w:rsid w:val="00A87E95"/>
    <w:rsid w:val="00A900FE"/>
    <w:rsid w:val="00A92C9A"/>
    <w:rsid w:val="00A9370A"/>
    <w:rsid w:val="00A9440E"/>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6E32"/>
    <w:rsid w:val="00AA7023"/>
    <w:rsid w:val="00AB00F1"/>
    <w:rsid w:val="00AB0CE7"/>
    <w:rsid w:val="00AB1043"/>
    <w:rsid w:val="00AB11B8"/>
    <w:rsid w:val="00AB1AAE"/>
    <w:rsid w:val="00AB22DC"/>
    <w:rsid w:val="00AB3569"/>
    <w:rsid w:val="00AB45BF"/>
    <w:rsid w:val="00AB511E"/>
    <w:rsid w:val="00AB5502"/>
    <w:rsid w:val="00AB5C16"/>
    <w:rsid w:val="00AB5C8E"/>
    <w:rsid w:val="00AB628D"/>
    <w:rsid w:val="00AB66EA"/>
    <w:rsid w:val="00AB714B"/>
    <w:rsid w:val="00AC00B1"/>
    <w:rsid w:val="00AC0229"/>
    <w:rsid w:val="00AC088E"/>
    <w:rsid w:val="00AC12CF"/>
    <w:rsid w:val="00AC154D"/>
    <w:rsid w:val="00AC2548"/>
    <w:rsid w:val="00AC3C32"/>
    <w:rsid w:val="00AC3DB8"/>
    <w:rsid w:val="00AC66DE"/>
    <w:rsid w:val="00AC7DD1"/>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98A"/>
    <w:rsid w:val="00AE5C7F"/>
    <w:rsid w:val="00AE612D"/>
    <w:rsid w:val="00AF1629"/>
    <w:rsid w:val="00AF2172"/>
    <w:rsid w:val="00AF345A"/>
    <w:rsid w:val="00AF34EE"/>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0D14"/>
    <w:rsid w:val="00B31114"/>
    <w:rsid w:val="00B313D0"/>
    <w:rsid w:val="00B3156A"/>
    <w:rsid w:val="00B315E1"/>
    <w:rsid w:val="00B315F4"/>
    <w:rsid w:val="00B317DD"/>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1F4"/>
    <w:rsid w:val="00B50446"/>
    <w:rsid w:val="00B5051E"/>
    <w:rsid w:val="00B51B10"/>
    <w:rsid w:val="00B523E5"/>
    <w:rsid w:val="00B528A3"/>
    <w:rsid w:val="00B52E31"/>
    <w:rsid w:val="00B5349D"/>
    <w:rsid w:val="00B534E9"/>
    <w:rsid w:val="00B54031"/>
    <w:rsid w:val="00B54BDD"/>
    <w:rsid w:val="00B54ECC"/>
    <w:rsid w:val="00B54EE3"/>
    <w:rsid w:val="00B5501D"/>
    <w:rsid w:val="00B55733"/>
    <w:rsid w:val="00B558B6"/>
    <w:rsid w:val="00B55AEC"/>
    <w:rsid w:val="00B55C20"/>
    <w:rsid w:val="00B56166"/>
    <w:rsid w:val="00B565A9"/>
    <w:rsid w:val="00B5681F"/>
    <w:rsid w:val="00B56F11"/>
    <w:rsid w:val="00B57010"/>
    <w:rsid w:val="00B60E54"/>
    <w:rsid w:val="00B6152A"/>
    <w:rsid w:val="00B61A36"/>
    <w:rsid w:val="00B6219D"/>
    <w:rsid w:val="00B6283D"/>
    <w:rsid w:val="00B62B0D"/>
    <w:rsid w:val="00B62E87"/>
    <w:rsid w:val="00B635E2"/>
    <w:rsid w:val="00B636E6"/>
    <w:rsid w:val="00B64DB8"/>
    <w:rsid w:val="00B65087"/>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386"/>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95C"/>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B76"/>
    <w:rsid w:val="00BB0D35"/>
    <w:rsid w:val="00BB13C5"/>
    <w:rsid w:val="00BB1812"/>
    <w:rsid w:val="00BB23CB"/>
    <w:rsid w:val="00BB2532"/>
    <w:rsid w:val="00BB2650"/>
    <w:rsid w:val="00BB2686"/>
    <w:rsid w:val="00BB37EA"/>
    <w:rsid w:val="00BB3A96"/>
    <w:rsid w:val="00BB4D08"/>
    <w:rsid w:val="00BB51D8"/>
    <w:rsid w:val="00BB6A68"/>
    <w:rsid w:val="00BB739C"/>
    <w:rsid w:val="00BB7905"/>
    <w:rsid w:val="00BC0108"/>
    <w:rsid w:val="00BC088B"/>
    <w:rsid w:val="00BC1305"/>
    <w:rsid w:val="00BC1C76"/>
    <w:rsid w:val="00BC2587"/>
    <w:rsid w:val="00BC2854"/>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C9D"/>
    <w:rsid w:val="00BE4773"/>
    <w:rsid w:val="00BE4FDC"/>
    <w:rsid w:val="00BE5DFA"/>
    <w:rsid w:val="00BE5E08"/>
    <w:rsid w:val="00BE6056"/>
    <w:rsid w:val="00BE6217"/>
    <w:rsid w:val="00BE7C10"/>
    <w:rsid w:val="00BF01B9"/>
    <w:rsid w:val="00BF0D7C"/>
    <w:rsid w:val="00BF1235"/>
    <w:rsid w:val="00BF1F39"/>
    <w:rsid w:val="00BF2AD9"/>
    <w:rsid w:val="00BF2FDA"/>
    <w:rsid w:val="00BF5877"/>
    <w:rsid w:val="00BF68A1"/>
    <w:rsid w:val="00BF71B2"/>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10E"/>
    <w:rsid w:val="00C2196F"/>
    <w:rsid w:val="00C219E2"/>
    <w:rsid w:val="00C21D0A"/>
    <w:rsid w:val="00C22D5B"/>
    <w:rsid w:val="00C22D64"/>
    <w:rsid w:val="00C22F22"/>
    <w:rsid w:val="00C2345B"/>
    <w:rsid w:val="00C2365F"/>
    <w:rsid w:val="00C23BF3"/>
    <w:rsid w:val="00C23DFE"/>
    <w:rsid w:val="00C23FDB"/>
    <w:rsid w:val="00C24B6B"/>
    <w:rsid w:val="00C25A02"/>
    <w:rsid w:val="00C268F6"/>
    <w:rsid w:val="00C26961"/>
    <w:rsid w:val="00C26C87"/>
    <w:rsid w:val="00C2779B"/>
    <w:rsid w:val="00C27A33"/>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4DB6"/>
    <w:rsid w:val="00C45268"/>
    <w:rsid w:val="00C455CD"/>
    <w:rsid w:val="00C45BBF"/>
    <w:rsid w:val="00C46708"/>
    <w:rsid w:val="00C468D2"/>
    <w:rsid w:val="00C474EF"/>
    <w:rsid w:val="00C47B12"/>
    <w:rsid w:val="00C500D2"/>
    <w:rsid w:val="00C50922"/>
    <w:rsid w:val="00C51440"/>
    <w:rsid w:val="00C52089"/>
    <w:rsid w:val="00C536E7"/>
    <w:rsid w:val="00C53E87"/>
    <w:rsid w:val="00C54E60"/>
    <w:rsid w:val="00C55CDE"/>
    <w:rsid w:val="00C565E5"/>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298C"/>
    <w:rsid w:val="00C732D8"/>
    <w:rsid w:val="00C7377B"/>
    <w:rsid w:val="00C737D7"/>
    <w:rsid w:val="00C73886"/>
    <w:rsid w:val="00C73BEE"/>
    <w:rsid w:val="00C73DC4"/>
    <w:rsid w:val="00C74D41"/>
    <w:rsid w:val="00C756FD"/>
    <w:rsid w:val="00C75775"/>
    <w:rsid w:val="00C75C57"/>
    <w:rsid w:val="00C75E60"/>
    <w:rsid w:val="00C76261"/>
    <w:rsid w:val="00C76E4E"/>
    <w:rsid w:val="00C80261"/>
    <w:rsid w:val="00C808D5"/>
    <w:rsid w:val="00C810FC"/>
    <w:rsid w:val="00C812F8"/>
    <w:rsid w:val="00C83651"/>
    <w:rsid w:val="00C83754"/>
    <w:rsid w:val="00C83F2B"/>
    <w:rsid w:val="00C84998"/>
    <w:rsid w:val="00C855DB"/>
    <w:rsid w:val="00C85B9D"/>
    <w:rsid w:val="00C8664F"/>
    <w:rsid w:val="00C9056B"/>
    <w:rsid w:val="00C9111E"/>
    <w:rsid w:val="00C91446"/>
    <w:rsid w:val="00C919AB"/>
    <w:rsid w:val="00C92681"/>
    <w:rsid w:val="00C94994"/>
    <w:rsid w:val="00C94C04"/>
    <w:rsid w:val="00C94ED1"/>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35C4"/>
    <w:rsid w:val="00CA403B"/>
    <w:rsid w:val="00CA476E"/>
    <w:rsid w:val="00CA4B98"/>
    <w:rsid w:val="00CA4BFA"/>
    <w:rsid w:val="00CA5463"/>
    <w:rsid w:val="00CA5A6D"/>
    <w:rsid w:val="00CB1AC1"/>
    <w:rsid w:val="00CB1B93"/>
    <w:rsid w:val="00CB26F2"/>
    <w:rsid w:val="00CB2BAE"/>
    <w:rsid w:val="00CB3166"/>
    <w:rsid w:val="00CB40D4"/>
    <w:rsid w:val="00CB638D"/>
    <w:rsid w:val="00CB6900"/>
    <w:rsid w:val="00CB6EB4"/>
    <w:rsid w:val="00CB7439"/>
    <w:rsid w:val="00CB748E"/>
    <w:rsid w:val="00CB7C3A"/>
    <w:rsid w:val="00CC0FC3"/>
    <w:rsid w:val="00CC1406"/>
    <w:rsid w:val="00CC154C"/>
    <w:rsid w:val="00CC19BA"/>
    <w:rsid w:val="00CC1DB2"/>
    <w:rsid w:val="00CC25C8"/>
    <w:rsid w:val="00CC2D5A"/>
    <w:rsid w:val="00CC367C"/>
    <w:rsid w:val="00CC3FEE"/>
    <w:rsid w:val="00CC416D"/>
    <w:rsid w:val="00CC45E5"/>
    <w:rsid w:val="00CC466F"/>
    <w:rsid w:val="00CC55E8"/>
    <w:rsid w:val="00CC5DF0"/>
    <w:rsid w:val="00CC66BB"/>
    <w:rsid w:val="00CC6D5C"/>
    <w:rsid w:val="00CC71C6"/>
    <w:rsid w:val="00CC7477"/>
    <w:rsid w:val="00CC7E7D"/>
    <w:rsid w:val="00CD0231"/>
    <w:rsid w:val="00CD04B5"/>
    <w:rsid w:val="00CD0968"/>
    <w:rsid w:val="00CD1491"/>
    <w:rsid w:val="00CD2580"/>
    <w:rsid w:val="00CD3218"/>
    <w:rsid w:val="00CD3739"/>
    <w:rsid w:val="00CD3AE0"/>
    <w:rsid w:val="00CD3B16"/>
    <w:rsid w:val="00CD3B6F"/>
    <w:rsid w:val="00CD3FB2"/>
    <w:rsid w:val="00CD4B83"/>
    <w:rsid w:val="00CD5020"/>
    <w:rsid w:val="00CD58BA"/>
    <w:rsid w:val="00CD6145"/>
    <w:rsid w:val="00CD64DE"/>
    <w:rsid w:val="00CD6D50"/>
    <w:rsid w:val="00CD7638"/>
    <w:rsid w:val="00CD7E95"/>
    <w:rsid w:val="00CE049D"/>
    <w:rsid w:val="00CE0D1A"/>
    <w:rsid w:val="00CE123E"/>
    <w:rsid w:val="00CE140B"/>
    <w:rsid w:val="00CE2476"/>
    <w:rsid w:val="00CE25CA"/>
    <w:rsid w:val="00CE2CBA"/>
    <w:rsid w:val="00CE302C"/>
    <w:rsid w:val="00CE31BD"/>
    <w:rsid w:val="00CE449A"/>
    <w:rsid w:val="00CE451E"/>
    <w:rsid w:val="00CE4619"/>
    <w:rsid w:val="00CE4BF2"/>
    <w:rsid w:val="00CE5169"/>
    <w:rsid w:val="00CE5E91"/>
    <w:rsid w:val="00CE5FBE"/>
    <w:rsid w:val="00CF01EA"/>
    <w:rsid w:val="00CF10EF"/>
    <w:rsid w:val="00CF1F53"/>
    <w:rsid w:val="00CF1FAE"/>
    <w:rsid w:val="00CF3BED"/>
    <w:rsid w:val="00CF4A6D"/>
    <w:rsid w:val="00CF593F"/>
    <w:rsid w:val="00CF5B89"/>
    <w:rsid w:val="00CF6459"/>
    <w:rsid w:val="00CF6510"/>
    <w:rsid w:val="00CF65E5"/>
    <w:rsid w:val="00CF66B8"/>
    <w:rsid w:val="00CF6971"/>
    <w:rsid w:val="00CF6D04"/>
    <w:rsid w:val="00CF7327"/>
    <w:rsid w:val="00CF779F"/>
    <w:rsid w:val="00CF7C57"/>
    <w:rsid w:val="00D000D1"/>
    <w:rsid w:val="00D0041D"/>
    <w:rsid w:val="00D0074A"/>
    <w:rsid w:val="00D00AC1"/>
    <w:rsid w:val="00D00D3F"/>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79"/>
    <w:rsid w:val="00D113FF"/>
    <w:rsid w:val="00D11E7B"/>
    <w:rsid w:val="00D12C52"/>
    <w:rsid w:val="00D12D84"/>
    <w:rsid w:val="00D12F80"/>
    <w:rsid w:val="00D14D31"/>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4D9D"/>
    <w:rsid w:val="00D35BC6"/>
    <w:rsid w:val="00D3635F"/>
    <w:rsid w:val="00D36532"/>
    <w:rsid w:val="00D366AA"/>
    <w:rsid w:val="00D367F9"/>
    <w:rsid w:val="00D377B5"/>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1FA2"/>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0FC"/>
    <w:rsid w:val="00D743AB"/>
    <w:rsid w:val="00D74799"/>
    <w:rsid w:val="00D74FDC"/>
    <w:rsid w:val="00D7501F"/>
    <w:rsid w:val="00D7536B"/>
    <w:rsid w:val="00D75AD5"/>
    <w:rsid w:val="00D81033"/>
    <w:rsid w:val="00D81136"/>
    <w:rsid w:val="00D815F0"/>
    <w:rsid w:val="00D81DB6"/>
    <w:rsid w:val="00D8200C"/>
    <w:rsid w:val="00D82C07"/>
    <w:rsid w:val="00D82CE9"/>
    <w:rsid w:val="00D8317A"/>
    <w:rsid w:val="00D84964"/>
    <w:rsid w:val="00D84AEE"/>
    <w:rsid w:val="00D8502A"/>
    <w:rsid w:val="00D850ED"/>
    <w:rsid w:val="00D85E53"/>
    <w:rsid w:val="00D865D9"/>
    <w:rsid w:val="00D86B99"/>
    <w:rsid w:val="00D874E3"/>
    <w:rsid w:val="00D90CED"/>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365"/>
    <w:rsid w:val="00DB16DB"/>
    <w:rsid w:val="00DB2AE9"/>
    <w:rsid w:val="00DB2C6D"/>
    <w:rsid w:val="00DB3037"/>
    <w:rsid w:val="00DB45FD"/>
    <w:rsid w:val="00DB48F6"/>
    <w:rsid w:val="00DB4D86"/>
    <w:rsid w:val="00DB516F"/>
    <w:rsid w:val="00DB6A81"/>
    <w:rsid w:val="00DB77AF"/>
    <w:rsid w:val="00DB7F38"/>
    <w:rsid w:val="00DC09F8"/>
    <w:rsid w:val="00DC0D1A"/>
    <w:rsid w:val="00DC199F"/>
    <w:rsid w:val="00DC1C5C"/>
    <w:rsid w:val="00DC2465"/>
    <w:rsid w:val="00DC252B"/>
    <w:rsid w:val="00DC2811"/>
    <w:rsid w:val="00DC458D"/>
    <w:rsid w:val="00DC4BE1"/>
    <w:rsid w:val="00DC5054"/>
    <w:rsid w:val="00DC596B"/>
    <w:rsid w:val="00DC5F95"/>
    <w:rsid w:val="00DC78C5"/>
    <w:rsid w:val="00DC78FE"/>
    <w:rsid w:val="00DC7910"/>
    <w:rsid w:val="00DC7CCB"/>
    <w:rsid w:val="00DD016C"/>
    <w:rsid w:val="00DD054C"/>
    <w:rsid w:val="00DD0B1B"/>
    <w:rsid w:val="00DD0CEE"/>
    <w:rsid w:val="00DD1994"/>
    <w:rsid w:val="00DD1BAF"/>
    <w:rsid w:val="00DD2585"/>
    <w:rsid w:val="00DD2826"/>
    <w:rsid w:val="00DD2D97"/>
    <w:rsid w:val="00DD32BB"/>
    <w:rsid w:val="00DD3AC7"/>
    <w:rsid w:val="00DD3C71"/>
    <w:rsid w:val="00DD3CA3"/>
    <w:rsid w:val="00DD3CB3"/>
    <w:rsid w:val="00DD3D23"/>
    <w:rsid w:val="00DD424A"/>
    <w:rsid w:val="00DD476F"/>
    <w:rsid w:val="00DD4E98"/>
    <w:rsid w:val="00DD53B6"/>
    <w:rsid w:val="00DD5490"/>
    <w:rsid w:val="00DD58B8"/>
    <w:rsid w:val="00DD5EFB"/>
    <w:rsid w:val="00DD618F"/>
    <w:rsid w:val="00DD6784"/>
    <w:rsid w:val="00DD71CD"/>
    <w:rsid w:val="00DD7A5E"/>
    <w:rsid w:val="00DD7A78"/>
    <w:rsid w:val="00DE00F6"/>
    <w:rsid w:val="00DE1132"/>
    <w:rsid w:val="00DE1694"/>
    <w:rsid w:val="00DE1E31"/>
    <w:rsid w:val="00DE2C26"/>
    <w:rsid w:val="00DE2CFB"/>
    <w:rsid w:val="00DE414D"/>
    <w:rsid w:val="00DE5048"/>
    <w:rsid w:val="00DE5EAD"/>
    <w:rsid w:val="00DE68DD"/>
    <w:rsid w:val="00DE77DC"/>
    <w:rsid w:val="00DF0FAE"/>
    <w:rsid w:val="00DF1506"/>
    <w:rsid w:val="00DF1F74"/>
    <w:rsid w:val="00DF206D"/>
    <w:rsid w:val="00DF2FA1"/>
    <w:rsid w:val="00DF4178"/>
    <w:rsid w:val="00DF45E0"/>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3EB4"/>
    <w:rsid w:val="00E043FA"/>
    <w:rsid w:val="00E0468C"/>
    <w:rsid w:val="00E04ACE"/>
    <w:rsid w:val="00E04E12"/>
    <w:rsid w:val="00E06103"/>
    <w:rsid w:val="00E06633"/>
    <w:rsid w:val="00E069C1"/>
    <w:rsid w:val="00E0725D"/>
    <w:rsid w:val="00E07973"/>
    <w:rsid w:val="00E1063D"/>
    <w:rsid w:val="00E10676"/>
    <w:rsid w:val="00E10E12"/>
    <w:rsid w:val="00E119EA"/>
    <w:rsid w:val="00E11DFA"/>
    <w:rsid w:val="00E123BB"/>
    <w:rsid w:val="00E12B19"/>
    <w:rsid w:val="00E12DB1"/>
    <w:rsid w:val="00E13363"/>
    <w:rsid w:val="00E1374F"/>
    <w:rsid w:val="00E13856"/>
    <w:rsid w:val="00E13E2F"/>
    <w:rsid w:val="00E143AB"/>
    <w:rsid w:val="00E14C82"/>
    <w:rsid w:val="00E14DC7"/>
    <w:rsid w:val="00E15278"/>
    <w:rsid w:val="00E156FD"/>
    <w:rsid w:val="00E1582A"/>
    <w:rsid w:val="00E158E9"/>
    <w:rsid w:val="00E15B98"/>
    <w:rsid w:val="00E16411"/>
    <w:rsid w:val="00E16654"/>
    <w:rsid w:val="00E17B49"/>
    <w:rsid w:val="00E17DE3"/>
    <w:rsid w:val="00E17F03"/>
    <w:rsid w:val="00E2102F"/>
    <w:rsid w:val="00E214A1"/>
    <w:rsid w:val="00E21787"/>
    <w:rsid w:val="00E21CDD"/>
    <w:rsid w:val="00E21E11"/>
    <w:rsid w:val="00E233B1"/>
    <w:rsid w:val="00E233C9"/>
    <w:rsid w:val="00E23438"/>
    <w:rsid w:val="00E24415"/>
    <w:rsid w:val="00E24D01"/>
    <w:rsid w:val="00E25521"/>
    <w:rsid w:val="00E25794"/>
    <w:rsid w:val="00E25917"/>
    <w:rsid w:val="00E261E0"/>
    <w:rsid w:val="00E26580"/>
    <w:rsid w:val="00E2721C"/>
    <w:rsid w:val="00E27B4B"/>
    <w:rsid w:val="00E311CE"/>
    <w:rsid w:val="00E31BB4"/>
    <w:rsid w:val="00E31D2B"/>
    <w:rsid w:val="00E31E30"/>
    <w:rsid w:val="00E31E40"/>
    <w:rsid w:val="00E33520"/>
    <w:rsid w:val="00E33741"/>
    <w:rsid w:val="00E33D3D"/>
    <w:rsid w:val="00E34263"/>
    <w:rsid w:val="00E35060"/>
    <w:rsid w:val="00E35EC1"/>
    <w:rsid w:val="00E35F95"/>
    <w:rsid w:val="00E3623E"/>
    <w:rsid w:val="00E369E0"/>
    <w:rsid w:val="00E36F87"/>
    <w:rsid w:val="00E36FAF"/>
    <w:rsid w:val="00E37775"/>
    <w:rsid w:val="00E37879"/>
    <w:rsid w:val="00E37E3F"/>
    <w:rsid w:val="00E4029A"/>
    <w:rsid w:val="00E410B5"/>
    <w:rsid w:val="00E41A0A"/>
    <w:rsid w:val="00E41DFA"/>
    <w:rsid w:val="00E4205C"/>
    <w:rsid w:val="00E42264"/>
    <w:rsid w:val="00E42D1E"/>
    <w:rsid w:val="00E433EA"/>
    <w:rsid w:val="00E43435"/>
    <w:rsid w:val="00E4394F"/>
    <w:rsid w:val="00E44850"/>
    <w:rsid w:val="00E44A2E"/>
    <w:rsid w:val="00E455A1"/>
    <w:rsid w:val="00E45841"/>
    <w:rsid w:val="00E45DF0"/>
    <w:rsid w:val="00E45F05"/>
    <w:rsid w:val="00E46A3A"/>
    <w:rsid w:val="00E47A30"/>
    <w:rsid w:val="00E50E09"/>
    <w:rsid w:val="00E52D23"/>
    <w:rsid w:val="00E538E8"/>
    <w:rsid w:val="00E540CA"/>
    <w:rsid w:val="00E5440E"/>
    <w:rsid w:val="00E54462"/>
    <w:rsid w:val="00E54583"/>
    <w:rsid w:val="00E55F46"/>
    <w:rsid w:val="00E5633C"/>
    <w:rsid w:val="00E56E97"/>
    <w:rsid w:val="00E56EE4"/>
    <w:rsid w:val="00E60661"/>
    <w:rsid w:val="00E60A17"/>
    <w:rsid w:val="00E616DA"/>
    <w:rsid w:val="00E621FE"/>
    <w:rsid w:val="00E62CBA"/>
    <w:rsid w:val="00E63920"/>
    <w:rsid w:val="00E648F7"/>
    <w:rsid w:val="00E64CC9"/>
    <w:rsid w:val="00E65099"/>
    <w:rsid w:val="00E65E40"/>
    <w:rsid w:val="00E6690D"/>
    <w:rsid w:val="00E67861"/>
    <w:rsid w:val="00E67D3C"/>
    <w:rsid w:val="00E702B9"/>
    <w:rsid w:val="00E71269"/>
    <w:rsid w:val="00E71EAE"/>
    <w:rsid w:val="00E72CD5"/>
    <w:rsid w:val="00E735E9"/>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506"/>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A7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3F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0EFF"/>
    <w:rsid w:val="00ED18EC"/>
    <w:rsid w:val="00ED2378"/>
    <w:rsid w:val="00ED29A6"/>
    <w:rsid w:val="00ED35F3"/>
    <w:rsid w:val="00ED3C6C"/>
    <w:rsid w:val="00ED525B"/>
    <w:rsid w:val="00ED5337"/>
    <w:rsid w:val="00ED59E7"/>
    <w:rsid w:val="00ED638C"/>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255D"/>
    <w:rsid w:val="00EF39CA"/>
    <w:rsid w:val="00EF4735"/>
    <w:rsid w:val="00EF58D9"/>
    <w:rsid w:val="00EF58F2"/>
    <w:rsid w:val="00EF60C8"/>
    <w:rsid w:val="00EF6733"/>
    <w:rsid w:val="00EF6AD7"/>
    <w:rsid w:val="00F006A9"/>
    <w:rsid w:val="00F009EB"/>
    <w:rsid w:val="00F00F0F"/>
    <w:rsid w:val="00F01700"/>
    <w:rsid w:val="00F017FB"/>
    <w:rsid w:val="00F01F7A"/>
    <w:rsid w:val="00F0218A"/>
    <w:rsid w:val="00F02736"/>
    <w:rsid w:val="00F02A35"/>
    <w:rsid w:val="00F02DE0"/>
    <w:rsid w:val="00F030A2"/>
    <w:rsid w:val="00F0344E"/>
    <w:rsid w:val="00F03930"/>
    <w:rsid w:val="00F04327"/>
    <w:rsid w:val="00F04DD4"/>
    <w:rsid w:val="00F053FC"/>
    <w:rsid w:val="00F05564"/>
    <w:rsid w:val="00F06302"/>
    <w:rsid w:val="00F06444"/>
    <w:rsid w:val="00F079CC"/>
    <w:rsid w:val="00F104BA"/>
    <w:rsid w:val="00F127F0"/>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A7C"/>
    <w:rsid w:val="00F26E77"/>
    <w:rsid w:val="00F26F0E"/>
    <w:rsid w:val="00F2789C"/>
    <w:rsid w:val="00F310A3"/>
    <w:rsid w:val="00F31B8A"/>
    <w:rsid w:val="00F31FDD"/>
    <w:rsid w:val="00F323A8"/>
    <w:rsid w:val="00F334EB"/>
    <w:rsid w:val="00F339B3"/>
    <w:rsid w:val="00F34104"/>
    <w:rsid w:val="00F34DC1"/>
    <w:rsid w:val="00F34DEA"/>
    <w:rsid w:val="00F353FC"/>
    <w:rsid w:val="00F35DBE"/>
    <w:rsid w:val="00F36B23"/>
    <w:rsid w:val="00F370C9"/>
    <w:rsid w:val="00F37101"/>
    <w:rsid w:val="00F377CE"/>
    <w:rsid w:val="00F40094"/>
    <w:rsid w:val="00F40646"/>
    <w:rsid w:val="00F41B3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38C4"/>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5A95"/>
    <w:rsid w:val="00F66D81"/>
    <w:rsid w:val="00F67C3E"/>
    <w:rsid w:val="00F70281"/>
    <w:rsid w:val="00F707C2"/>
    <w:rsid w:val="00F707EE"/>
    <w:rsid w:val="00F710EA"/>
    <w:rsid w:val="00F711DC"/>
    <w:rsid w:val="00F71CBD"/>
    <w:rsid w:val="00F73249"/>
    <w:rsid w:val="00F73A00"/>
    <w:rsid w:val="00F73CCB"/>
    <w:rsid w:val="00F74615"/>
    <w:rsid w:val="00F74CF0"/>
    <w:rsid w:val="00F75115"/>
    <w:rsid w:val="00F75D29"/>
    <w:rsid w:val="00F75F03"/>
    <w:rsid w:val="00F77624"/>
    <w:rsid w:val="00F80108"/>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26AE"/>
    <w:rsid w:val="00F937E1"/>
    <w:rsid w:val="00F93EFB"/>
    <w:rsid w:val="00F94647"/>
    <w:rsid w:val="00F94E54"/>
    <w:rsid w:val="00F9524E"/>
    <w:rsid w:val="00F958CB"/>
    <w:rsid w:val="00F95BEE"/>
    <w:rsid w:val="00F95E73"/>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A6F"/>
    <w:rsid w:val="00FC2C91"/>
    <w:rsid w:val="00FC3400"/>
    <w:rsid w:val="00FC3459"/>
    <w:rsid w:val="00FC387F"/>
    <w:rsid w:val="00FC4C6D"/>
    <w:rsid w:val="00FC4DC2"/>
    <w:rsid w:val="00FC4F3E"/>
    <w:rsid w:val="00FC525C"/>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CFD"/>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56"/>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77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B93"/>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1FA0F-65B8-449F-B8EC-8191ECE5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14</Pages>
  <Words>5864</Words>
  <Characters>32252</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38</cp:revision>
  <cp:lastPrinted>2022-06-24T19:43:00Z</cp:lastPrinted>
  <dcterms:created xsi:type="dcterms:W3CDTF">2023-09-04T20:48:00Z</dcterms:created>
  <dcterms:modified xsi:type="dcterms:W3CDTF">2023-10-23T20:31:00Z</dcterms:modified>
</cp:coreProperties>
</file>