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8C266E" w14:textId="77777777" w:rsidR="002F5A66" w:rsidRDefault="00377C69" w:rsidP="00740B61">
      <w:pPr>
        <w:tabs>
          <w:tab w:val="left" w:pos="2127"/>
        </w:tabs>
        <w:spacing w:after="120"/>
        <w:ind w:left="3969"/>
        <w:rPr>
          <w:rFonts w:ascii="Century Gothic" w:eastAsia="Century Gothic" w:hAnsi="Century Gothic" w:cs="Century Gothic"/>
          <w:sz w:val="24"/>
          <w:szCs w:val="24"/>
        </w:rPr>
      </w:pPr>
      <w:bookmarkStart w:id="0" w:name="_heading=h.gjdgxs" w:colFirst="0" w:colLast="0"/>
      <w:bookmarkEnd w:id="0"/>
      <w:r>
        <w:rPr>
          <w:rFonts w:ascii="Century Gothic" w:eastAsia="Century Gothic" w:hAnsi="Century Gothic" w:cs="Century Gothic"/>
          <w:b/>
          <w:sz w:val="24"/>
          <w:szCs w:val="24"/>
        </w:rPr>
        <w:t>RECURSO DE REVISIÓN: 069/2023</w:t>
      </w:r>
    </w:p>
    <w:p w14:paraId="42AB3230" w14:textId="77777777" w:rsidR="002F5A66" w:rsidRDefault="00377C69" w:rsidP="00740B61">
      <w:pPr>
        <w:spacing w:after="120"/>
        <w:ind w:left="3969"/>
        <w:jc w:val="both"/>
        <w:rPr>
          <w:rFonts w:ascii="Century Gothic" w:eastAsia="Century Gothic" w:hAnsi="Century Gothic" w:cs="Century Gothic"/>
          <w:b/>
          <w:sz w:val="24"/>
          <w:szCs w:val="24"/>
        </w:rPr>
      </w:pPr>
      <w:r>
        <w:rPr>
          <w:rFonts w:ascii="Century Gothic" w:eastAsia="Century Gothic" w:hAnsi="Century Gothic" w:cs="Century Gothic"/>
          <w:b/>
          <w:sz w:val="24"/>
          <w:szCs w:val="24"/>
        </w:rPr>
        <w:t>EXPEDIENTE: 0115/2020 DE LA PRIMERA SALA UNITARIA DEL TRIBUNAL DE JUSTICIA ADMINISTRATIVA Y COMBATE A LA CORRUPCIÓN DEL ESTADO DE OAXACA</w:t>
      </w:r>
    </w:p>
    <w:p w14:paraId="3CB12851" w14:textId="0E3675A5" w:rsidR="002F5A66" w:rsidRDefault="00377C69" w:rsidP="00740B61">
      <w:pPr>
        <w:spacing w:after="120"/>
        <w:ind w:left="3969"/>
        <w:jc w:val="both"/>
        <w:rPr>
          <w:rFonts w:ascii="Century Gothic" w:eastAsia="Century Gothic" w:hAnsi="Century Gothic" w:cs="Century Gothic"/>
          <w:b/>
          <w:sz w:val="24"/>
          <w:szCs w:val="24"/>
        </w:rPr>
      </w:pPr>
      <w:r>
        <w:rPr>
          <w:rFonts w:ascii="Century Gothic" w:eastAsia="Century Gothic" w:hAnsi="Century Gothic" w:cs="Century Gothic"/>
          <w:b/>
          <w:sz w:val="24"/>
          <w:szCs w:val="24"/>
        </w:rPr>
        <w:t xml:space="preserve">RECURRENTE: </w:t>
      </w:r>
      <w:r w:rsidR="00074FC3">
        <w:rPr>
          <w:rFonts w:ascii="Century Gothic" w:eastAsia="Century Gothic" w:hAnsi="Century Gothic" w:cs="Century Gothic"/>
          <w:bCs/>
          <w:sz w:val="24"/>
          <w:szCs w:val="24"/>
        </w:rPr>
        <w:t>**********</w:t>
      </w:r>
    </w:p>
    <w:p w14:paraId="73646CD6" w14:textId="77777777" w:rsidR="002F5A66" w:rsidRDefault="00377C69" w:rsidP="00740B61">
      <w:pPr>
        <w:spacing w:after="120"/>
        <w:ind w:left="3969"/>
        <w:jc w:val="both"/>
        <w:rPr>
          <w:rFonts w:ascii="Century Gothic" w:eastAsia="Century Gothic" w:hAnsi="Century Gothic" w:cs="Century Gothic"/>
          <w:b/>
          <w:sz w:val="24"/>
          <w:szCs w:val="24"/>
        </w:rPr>
      </w:pPr>
      <w:r>
        <w:rPr>
          <w:rFonts w:ascii="Century Gothic" w:eastAsia="Century Gothic" w:hAnsi="Century Gothic" w:cs="Century Gothic"/>
          <w:b/>
          <w:sz w:val="24"/>
          <w:szCs w:val="24"/>
        </w:rPr>
        <w:t xml:space="preserve">PONENTE: </w:t>
      </w:r>
      <w:r w:rsidRPr="00740B61">
        <w:rPr>
          <w:rFonts w:ascii="Century Gothic" w:eastAsia="Century Gothic" w:hAnsi="Century Gothic" w:cs="Century Gothic"/>
          <w:bCs/>
          <w:sz w:val="24"/>
          <w:szCs w:val="24"/>
        </w:rPr>
        <w:t>MAGISTRADA CRUZ ITZEL ESPINOSA ROJAS</w:t>
      </w:r>
    </w:p>
    <w:p w14:paraId="6EB03D88" w14:textId="77777777" w:rsidR="002F5A66" w:rsidRDefault="002F5A66">
      <w:pPr>
        <w:spacing w:after="120" w:line="240" w:lineRule="auto"/>
        <w:ind w:left="2124"/>
        <w:jc w:val="both"/>
        <w:rPr>
          <w:rFonts w:ascii="Century Gothic" w:eastAsia="Century Gothic" w:hAnsi="Century Gothic" w:cs="Century Gothic"/>
          <w:b/>
          <w:sz w:val="8"/>
          <w:szCs w:val="8"/>
        </w:rPr>
      </w:pPr>
    </w:p>
    <w:p w14:paraId="7A358AE8" w14:textId="0CD1DE13" w:rsidR="002F5A66" w:rsidRDefault="00377C69" w:rsidP="003642C4">
      <w:pPr>
        <w:spacing w:line="360" w:lineRule="auto"/>
        <w:ind w:firstLine="708"/>
        <w:jc w:val="both"/>
        <w:rPr>
          <w:rFonts w:ascii="Century Gothic" w:eastAsia="Century Gothic" w:hAnsi="Century Gothic" w:cs="Century Gothic"/>
          <w:b/>
          <w:sz w:val="24"/>
          <w:szCs w:val="24"/>
        </w:rPr>
      </w:pPr>
      <w:r>
        <w:rPr>
          <w:rFonts w:ascii="Century Gothic" w:eastAsia="Century Gothic" w:hAnsi="Century Gothic" w:cs="Century Gothic"/>
          <w:b/>
          <w:sz w:val="24"/>
          <w:szCs w:val="24"/>
        </w:rPr>
        <w:t xml:space="preserve">OAXACA DE JUÁREZ, OAXACA, </w:t>
      </w:r>
      <w:r w:rsidR="00625DCE">
        <w:rPr>
          <w:rFonts w:ascii="Century Gothic" w:eastAsia="Century Gothic" w:hAnsi="Century Gothic" w:cs="Century Gothic"/>
          <w:b/>
          <w:sz w:val="24"/>
          <w:szCs w:val="24"/>
        </w:rPr>
        <w:t>A VEINTIUNO</w:t>
      </w:r>
      <w:r>
        <w:rPr>
          <w:rFonts w:ascii="Century Gothic" w:eastAsia="Century Gothic" w:hAnsi="Century Gothic" w:cs="Century Gothic"/>
          <w:b/>
          <w:sz w:val="24"/>
          <w:szCs w:val="24"/>
        </w:rPr>
        <w:t xml:space="preserve"> DE SEPTIEMBRE DE DOS MIL VEINTITRÉS. - - - - - - - - - - - - - - - - - - - - - - - - - - - - - - - - - - - - - - - - -</w:t>
      </w:r>
    </w:p>
    <w:p w14:paraId="731ED3E6" w14:textId="69AD1400" w:rsidR="002F5A66" w:rsidRDefault="00377C69">
      <w:pPr>
        <w:spacing w:before="240" w:line="360" w:lineRule="auto"/>
        <w:ind w:firstLine="708"/>
        <w:jc w:val="both"/>
        <w:rPr>
          <w:rFonts w:ascii="Century Gothic" w:eastAsia="Century Gothic" w:hAnsi="Century Gothic" w:cs="Century Gothic"/>
          <w:sz w:val="24"/>
          <w:szCs w:val="24"/>
        </w:rPr>
      </w:pPr>
      <w:bookmarkStart w:id="1" w:name="_heading=h.30j0zll" w:colFirst="0" w:colLast="0"/>
      <w:bookmarkEnd w:id="1"/>
      <w:r>
        <w:rPr>
          <w:rFonts w:ascii="Century Gothic" w:eastAsia="Century Gothic" w:hAnsi="Century Gothic" w:cs="Century Gothic"/>
          <w:sz w:val="24"/>
          <w:szCs w:val="24"/>
        </w:rPr>
        <w:t>1.</w:t>
      </w:r>
      <w:r>
        <w:rPr>
          <w:rFonts w:ascii="Century Gothic" w:eastAsia="Century Gothic" w:hAnsi="Century Gothic" w:cs="Century Gothic"/>
          <w:b/>
          <w:sz w:val="24"/>
          <w:szCs w:val="24"/>
        </w:rPr>
        <w:t xml:space="preserve"> ÚNICO. Remisión del recurso</w:t>
      </w:r>
      <w:r>
        <w:rPr>
          <w:rFonts w:ascii="Century Gothic" w:eastAsia="Century Gothic" w:hAnsi="Century Gothic" w:cs="Century Gothic"/>
          <w:sz w:val="24"/>
          <w:szCs w:val="24"/>
        </w:rPr>
        <w:t xml:space="preserve">. Por recibido el cuaderno de revisión </w:t>
      </w:r>
      <w:r>
        <w:rPr>
          <w:rFonts w:ascii="Century Gothic" w:eastAsia="Century Gothic" w:hAnsi="Century Gothic" w:cs="Century Gothic"/>
          <w:b/>
          <w:sz w:val="24"/>
          <w:szCs w:val="24"/>
        </w:rPr>
        <w:t>069/2023</w:t>
      </w:r>
      <w:r>
        <w:rPr>
          <w:rFonts w:ascii="Century Gothic" w:eastAsia="Century Gothic" w:hAnsi="Century Gothic" w:cs="Century Gothic"/>
          <w:sz w:val="24"/>
          <w:szCs w:val="24"/>
        </w:rPr>
        <w:t>, que remite la Secretaría General de Acuerdos, con motivo del recurso de revisión interpuesto por</w:t>
      </w:r>
      <w:r w:rsidR="00074FC3">
        <w:rPr>
          <w:rFonts w:ascii="Century Gothic" w:eastAsia="Century Gothic" w:hAnsi="Century Gothic" w:cs="Century Gothic"/>
          <w:b/>
          <w:sz w:val="24"/>
          <w:szCs w:val="24"/>
        </w:rPr>
        <w:t xml:space="preserve"> </w:t>
      </w:r>
      <w:r w:rsidR="00074FC3">
        <w:rPr>
          <w:rFonts w:ascii="Century Gothic" w:eastAsia="Century Gothic" w:hAnsi="Century Gothic" w:cs="Century Gothic"/>
          <w:bCs/>
          <w:sz w:val="24"/>
          <w:szCs w:val="24"/>
        </w:rPr>
        <w:t>**********</w:t>
      </w:r>
      <w:r>
        <w:rPr>
          <w:rFonts w:ascii="Century Gothic" w:eastAsia="Century Gothic" w:hAnsi="Century Gothic" w:cs="Century Gothic"/>
          <w:sz w:val="24"/>
          <w:szCs w:val="24"/>
        </w:rPr>
        <w:t>, en contra de la sentencia de cinco de diciembre de dos mil veintidós dictada por la Primera Sala Unitaria en el expediente 0115/2020, relativo a la negativa ficta promovida por</w:t>
      </w:r>
      <w:r w:rsidR="00074FC3">
        <w:rPr>
          <w:rFonts w:ascii="Century Gothic" w:eastAsia="Century Gothic" w:hAnsi="Century Gothic" w:cs="Century Gothic"/>
          <w:bCs/>
          <w:sz w:val="24"/>
          <w:szCs w:val="24"/>
        </w:rPr>
        <w:t>**********</w:t>
      </w:r>
      <w:r>
        <w:rPr>
          <w:rFonts w:ascii="Century Gothic" w:eastAsia="Century Gothic" w:hAnsi="Century Gothic" w:cs="Century Gothic"/>
          <w:sz w:val="24"/>
          <w:szCs w:val="24"/>
        </w:rPr>
        <w:t>, en contra del Secretario de Vialidad y Transporte del Estado de Oaxaca</w:t>
      </w:r>
      <w:r>
        <w:rPr>
          <w:rFonts w:ascii="Century Gothic" w:eastAsia="Century Gothic" w:hAnsi="Century Gothic" w:cs="Century Gothic"/>
          <w:b/>
          <w:sz w:val="24"/>
          <w:szCs w:val="24"/>
        </w:rPr>
        <w:t xml:space="preserve">, </w:t>
      </w:r>
      <w:r>
        <w:rPr>
          <w:rFonts w:ascii="Century Gothic" w:eastAsia="Century Gothic" w:hAnsi="Century Gothic" w:cs="Century Gothic"/>
          <w:sz w:val="24"/>
          <w:szCs w:val="24"/>
        </w:rPr>
        <w:t xml:space="preserve">y otra autoridad; por lo que con fundamento en los artículos 236 y 238 de la Ley de Procedimiento y Justicia Administrativa para el Estado de Oaxaca y 23, fracciones I y IV de la Ley Orgánica del Tribunal de Justicia Administrativa y Combate a la Corrupción del Estado de Oaxaca, se procede a dictar resolución en los siguientes términos: - - - - - - </w:t>
      </w:r>
      <w:r w:rsidR="00625DCE">
        <w:rPr>
          <w:rFonts w:ascii="Century Gothic" w:eastAsia="Century Gothic" w:hAnsi="Century Gothic" w:cs="Century Gothic"/>
          <w:sz w:val="24"/>
          <w:szCs w:val="24"/>
        </w:rPr>
        <w:t>- - -  - - - - - - - - - - - - - - - - - - - - - - - - - - - - - - - - - -</w:t>
      </w:r>
    </w:p>
    <w:p w14:paraId="00B414DF" w14:textId="77777777" w:rsidR="002F5A66" w:rsidRDefault="00377C69">
      <w:pPr>
        <w:tabs>
          <w:tab w:val="center" w:pos="4418"/>
          <w:tab w:val="left" w:pos="6330"/>
        </w:tabs>
        <w:spacing w:line="360" w:lineRule="auto"/>
        <w:jc w:val="center"/>
        <w:rPr>
          <w:rFonts w:ascii="Century Gothic" w:eastAsia="Century Gothic" w:hAnsi="Century Gothic" w:cs="Century Gothic"/>
          <w:b/>
        </w:rPr>
      </w:pPr>
      <w:r>
        <w:rPr>
          <w:rFonts w:ascii="Century Gothic" w:eastAsia="Century Gothic" w:hAnsi="Century Gothic" w:cs="Century Gothic"/>
          <w:b/>
        </w:rPr>
        <w:t>GLOSARIO</w:t>
      </w:r>
    </w:p>
    <w:tbl>
      <w:tblPr>
        <w:tblStyle w:val="a"/>
        <w:tblW w:w="826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256"/>
        <w:gridCol w:w="5005"/>
      </w:tblGrid>
      <w:tr w:rsidR="002F5A66" w14:paraId="3E8C8004" w14:textId="77777777">
        <w:tc>
          <w:tcPr>
            <w:tcW w:w="3256" w:type="dxa"/>
            <w:vAlign w:val="center"/>
          </w:tcPr>
          <w:p w14:paraId="17915B4C" w14:textId="77777777" w:rsidR="002F5A66" w:rsidRDefault="00377C69">
            <w:pPr>
              <w:tabs>
                <w:tab w:val="center" w:pos="4418"/>
                <w:tab w:val="left" w:pos="6330"/>
              </w:tabs>
              <w:jc w:val="center"/>
              <w:rPr>
                <w:rFonts w:ascii="Century Gothic" w:eastAsia="Century Gothic" w:hAnsi="Century Gothic" w:cs="Century Gothic"/>
                <w:b/>
                <w:i/>
              </w:rPr>
            </w:pPr>
            <w:r>
              <w:rPr>
                <w:rFonts w:ascii="Century Gothic" w:eastAsia="Century Gothic" w:hAnsi="Century Gothic" w:cs="Century Gothic"/>
                <w:b/>
                <w:i/>
              </w:rPr>
              <w:t>Constitución Federal:</w:t>
            </w:r>
          </w:p>
        </w:tc>
        <w:tc>
          <w:tcPr>
            <w:tcW w:w="5005" w:type="dxa"/>
            <w:vAlign w:val="center"/>
          </w:tcPr>
          <w:p w14:paraId="3E683380" w14:textId="77777777" w:rsidR="002F5A66" w:rsidRDefault="00377C69">
            <w:pPr>
              <w:tabs>
                <w:tab w:val="center" w:pos="4418"/>
                <w:tab w:val="left" w:pos="6330"/>
              </w:tabs>
              <w:jc w:val="center"/>
              <w:rPr>
                <w:rFonts w:ascii="Century Gothic" w:eastAsia="Century Gothic" w:hAnsi="Century Gothic" w:cs="Century Gothic"/>
              </w:rPr>
            </w:pPr>
            <w:r>
              <w:rPr>
                <w:rFonts w:ascii="Century Gothic" w:eastAsia="Century Gothic" w:hAnsi="Century Gothic" w:cs="Century Gothic"/>
              </w:rPr>
              <w:t>Constitución Política de los Estados Unidos Mexicanos.</w:t>
            </w:r>
          </w:p>
        </w:tc>
      </w:tr>
      <w:tr w:rsidR="002F5A66" w14:paraId="6C4A23C7" w14:textId="77777777">
        <w:tc>
          <w:tcPr>
            <w:tcW w:w="3256" w:type="dxa"/>
            <w:vAlign w:val="center"/>
          </w:tcPr>
          <w:p w14:paraId="2F17F8C3" w14:textId="77777777" w:rsidR="002F5A66" w:rsidRDefault="00377C69">
            <w:pPr>
              <w:tabs>
                <w:tab w:val="center" w:pos="4418"/>
                <w:tab w:val="left" w:pos="6330"/>
              </w:tabs>
              <w:jc w:val="center"/>
              <w:rPr>
                <w:rFonts w:ascii="Century Gothic" w:eastAsia="Century Gothic" w:hAnsi="Century Gothic" w:cs="Century Gothic"/>
                <w:b/>
                <w:i/>
              </w:rPr>
            </w:pPr>
            <w:r>
              <w:rPr>
                <w:rFonts w:ascii="Century Gothic" w:eastAsia="Century Gothic" w:hAnsi="Century Gothic" w:cs="Century Gothic"/>
                <w:b/>
                <w:i/>
              </w:rPr>
              <w:t>Constitución Local:</w:t>
            </w:r>
          </w:p>
        </w:tc>
        <w:tc>
          <w:tcPr>
            <w:tcW w:w="5005" w:type="dxa"/>
            <w:vAlign w:val="center"/>
          </w:tcPr>
          <w:p w14:paraId="45AF2C7A" w14:textId="77777777" w:rsidR="002F5A66" w:rsidRDefault="00377C69">
            <w:pPr>
              <w:tabs>
                <w:tab w:val="center" w:pos="4418"/>
                <w:tab w:val="left" w:pos="6330"/>
              </w:tabs>
              <w:jc w:val="center"/>
              <w:rPr>
                <w:rFonts w:ascii="Century Gothic" w:eastAsia="Century Gothic" w:hAnsi="Century Gothic" w:cs="Century Gothic"/>
              </w:rPr>
            </w:pPr>
            <w:r>
              <w:rPr>
                <w:rFonts w:ascii="Century Gothic" w:eastAsia="Century Gothic" w:hAnsi="Century Gothic" w:cs="Century Gothic"/>
              </w:rPr>
              <w:t>Constitución Política del Estado Libre y Soberano de Oaxaca.</w:t>
            </w:r>
          </w:p>
        </w:tc>
      </w:tr>
      <w:tr w:rsidR="002F5A66" w14:paraId="1A59398E" w14:textId="77777777">
        <w:tc>
          <w:tcPr>
            <w:tcW w:w="3256" w:type="dxa"/>
            <w:vAlign w:val="center"/>
          </w:tcPr>
          <w:p w14:paraId="734B72DD" w14:textId="77777777" w:rsidR="002F5A66" w:rsidRDefault="00377C69">
            <w:pPr>
              <w:tabs>
                <w:tab w:val="center" w:pos="4418"/>
                <w:tab w:val="left" w:pos="6330"/>
              </w:tabs>
              <w:jc w:val="center"/>
              <w:rPr>
                <w:rFonts w:ascii="Century Gothic" w:eastAsia="Century Gothic" w:hAnsi="Century Gothic" w:cs="Century Gothic"/>
                <w:b/>
                <w:i/>
              </w:rPr>
            </w:pPr>
            <w:r>
              <w:rPr>
                <w:rFonts w:ascii="Century Gothic" w:eastAsia="Century Gothic" w:hAnsi="Century Gothic" w:cs="Century Gothic"/>
                <w:b/>
                <w:i/>
              </w:rPr>
              <w:t>Ley de Procedimiento:</w:t>
            </w:r>
          </w:p>
        </w:tc>
        <w:tc>
          <w:tcPr>
            <w:tcW w:w="5005" w:type="dxa"/>
            <w:vAlign w:val="center"/>
          </w:tcPr>
          <w:p w14:paraId="308285F1" w14:textId="77777777" w:rsidR="002F5A66" w:rsidRDefault="00377C69">
            <w:pPr>
              <w:tabs>
                <w:tab w:val="center" w:pos="4418"/>
                <w:tab w:val="left" w:pos="6330"/>
              </w:tabs>
              <w:jc w:val="center"/>
              <w:rPr>
                <w:rFonts w:ascii="Century Gothic" w:eastAsia="Century Gothic" w:hAnsi="Century Gothic" w:cs="Century Gothic"/>
              </w:rPr>
            </w:pPr>
            <w:r>
              <w:rPr>
                <w:rFonts w:ascii="Century Gothic" w:eastAsia="Century Gothic" w:hAnsi="Century Gothic" w:cs="Century Gothic"/>
              </w:rPr>
              <w:t>Ley de Procedimiento y Justicia Administrativa para el Estado de Oaxaca.</w:t>
            </w:r>
          </w:p>
        </w:tc>
      </w:tr>
      <w:tr w:rsidR="002F5A66" w14:paraId="67DFBD7A" w14:textId="77777777">
        <w:tc>
          <w:tcPr>
            <w:tcW w:w="3256" w:type="dxa"/>
            <w:vAlign w:val="center"/>
          </w:tcPr>
          <w:p w14:paraId="6C01CF9B" w14:textId="77777777" w:rsidR="002F5A66" w:rsidRDefault="00377C69">
            <w:pPr>
              <w:tabs>
                <w:tab w:val="center" w:pos="4418"/>
                <w:tab w:val="left" w:pos="6330"/>
              </w:tabs>
              <w:jc w:val="center"/>
              <w:rPr>
                <w:rFonts w:ascii="Century Gothic" w:eastAsia="Century Gothic" w:hAnsi="Century Gothic" w:cs="Century Gothic"/>
                <w:b/>
                <w:i/>
              </w:rPr>
            </w:pPr>
            <w:r>
              <w:rPr>
                <w:rFonts w:ascii="Century Gothic" w:eastAsia="Century Gothic" w:hAnsi="Century Gothic" w:cs="Century Gothic"/>
                <w:b/>
                <w:i/>
              </w:rPr>
              <w:t>Secretaría de Movilidad:</w:t>
            </w:r>
          </w:p>
        </w:tc>
        <w:tc>
          <w:tcPr>
            <w:tcW w:w="5005" w:type="dxa"/>
            <w:vAlign w:val="center"/>
          </w:tcPr>
          <w:p w14:paraId="1C86510A" w14:textId="77777777" w:rsidR="002F5A66" w:rsidRDefault="00377C69">
            <w:pPr>
              <w:tabs>
                <w:tab w:val="center" w:pos="4418"/>
                <w:tab w:val="left" w:pos="6330"/>
              </w:tabs>
              <w:jc w:val="center"/>
              <w:rPr>
                <w:rFonts w:ascii="Century Gothic" w:eastAsia="Century Gothic" w:hAnsi="Century Gothic" w:cs="Century Gothic"/>
                <w:b/>
              </w:rPr>
            </w:pPr>
            <w:r>
              <w:rPr>
                <w:rFonts w:ascii="Century Gothic" w:eastAsia="Century Gothic" w:hAnsi="Century Gothic" w:cs="Century Gothic"/>
              </w:rPr>
              <w:t>Secretaría de Movilidad del Estado de Oaxaca</w:t>
            </w:r>
          </w:p>
        </w:tc>
      </w:tr>
    </w:tbl>
    <w:p w14:paraId="0D74F127" w14:textId="77777777" w:rsidR="002F5A66" w:rsidRDefault="002F5A66">
      <w:pPr>
        <w:spacing w:line="360" w:lineRule="auto"/>
        <w:jc w:val="center"/>
        <w:rPr>
          <w:rFonts w:ascii="Century Gothic" w:eastAsia="Century Gothic" w:hAnsi="Century Gothic" w:cs="Century Gothic"/>
          <w:b/>
          <w:sz w:val="24"/>
          <w:szCs w:val="24"/>
        </w:rPr>
      </w:pPr>
    </w:p>
    <w:p w14:paraId="5A5413FF" w14:textId="77777777" w:rsidR="002F5A66" w:rsidRDefault="00377C69">
      <w:pPr>
        <w:spacing w:line="360" w:lineRule="auto"/>
        <w:jc w:val="center"/>
        <w:rPr>
          <w:rFonts w:ascii="Century Gothic" w:eastAsia="Century Gothic" w:hAnsi="Century Gothic" w:cs="Century Gothic"/>
          <w:b/>
          <w:sz w:val="24"/>
          <w:szCs w:val="24"/>
        </w:rPr>
      </w:pPr>
      <w:r>
        <w:rPr>
          <w:rFonts w:ascii="Century Gothic" w:eastAsia="Century Gothic" w:hAnsi="Century Gothic" w:cs="Century Gothic"/>
          <w:b/>
          <w:sz w:val="24"/>
          <w:szCs w:val="24"/>
        </w:rPr>
        <w:t>R E S U L T A N D O</w:t>
      </w:r>
    </w:p>
    <w:p w14:paraId="66900BA1" w14:textId="77777777" w:rsidR="002F5A66" w:rsidRDefault="00377C69">
      <w:pPr>
        <w:spacing w:line="360" w:lineRule="auto"/>
        <w:ind w:firstLine="708"/>
        <w:jc w:val="both"/>
        <w:rPr>
          <w:rFonts w:ascii="Century Gothic" w:eastAsia="Century Gothic" w:hAnsi="Century Gothic" w:cs="Century Gothic"/>
          <w:b/>
          <w:sz w:val="24"/>
          <w:szCs w:val="24"/>
        </w:rPr>
      </w:pPr>
      <w:r>
        <w:rPr>
          <w:rFonts w:ascii="Century Gothic" w:eastAsia="Century Gothic" w:hAnsi="Century Gothic" w:cs="Century Gothic"/>
          <w:b/>
          <w:sz w:val="24"/>
          <w:szCs w:val="24"/>
        </w:rPr>
        <w:t>PRIMERO. Antecedentes</w:t>
      </w:r>
      <w:r>
        <w:rPr>
          <w:rFonts w:ascii="Century Gothic" w:eastAsia="Century Gothic" w:hAnsi="Century Gothic" w:cs="Century Gothic"/>
          <w:sz w:val="24"/>
          <w:szCs w:val="24"/>
        </w:rPr>
        <w:t>. - - - - - - - - - - - - - - - - - - - - - - - - - - - - - -</w:t>
      </w:r>
    </w:p>
    <w:p w14:paraId="3F1B1234" w14:textId="3EED1E59" w:rsidR="002F5A66" w:rsidRDefault="00377C69">
      <w:pPr>
        <w:numPr>
          <w:ilvl w:val="0"/>
          <w:numId w:val="2"/>
        </w:numPr>
        <w:pBdr>
          <w:top w:val="nil"/>
          <w:left w:val="nil"/>
          <w:bottom w:val="nil"/>
          <w:right w:val="nil"/>
          <w:between w:val="nil"/>
        </w:pBdr>
        <w:spacing w:after="120" w:line="360" w:lineRule="auto"/>
        <w:ind w:left="0" w:hanging="357"/>
        <w:jc w:val="both"/>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lastRenderedPageBreak/>
        <w:t>El diecisiete de octubre de dos mil diecinueve, la ciudadana</w:t>
      </w:r>
      <w:r w:rsidR="00074FC3">
        <w:rPr>
          <w:rFonts w:ascii="Century Gothic" w:eastAsia="Century Gothic" w:hAnsi="Century Gothic" w:cs="Century Gothic"/>
          <w:color w:val="000000"/>
          <w:sz w:val="24"/>
          <w:szCs w:val="24"/>
        </w:rPr>
        <w:t xml:space="preserve"> </w:t>
      </w:r>
      <w:r w:rsidR="00074FC3">
        <w:rPr>
          <w:rFonts w:ascii="Century Gothic" w:eastAsia="Century Gothic" w:hAnsi="Century Gothic" w:cs="Century Gothic"/>
          <w:bCs/>
          <w:sz w:val="24"/>
          <w:szCs w:val="24"/>
        </w:rPr>
        <w:t>**********</w:t>
      </w:r>
      <w:r>
        <w:rPr>
          <w:rFonts w:ascii="Century Gothic" w:eastAsia="Century Gothic" w:hAnsi="Century Gothic" w:cs="Century Gothic"/>
          <w:color w:val="000000"/>
          <w:sz w:val="24"/>
          <w:szCs w:val="24"/>
        </w:rPr>
        <w:t>, presenta ante este Tribunal escrito solicitando que se declara la nulidad de la negativa ficta.</w:t>
      </w:r>
    </w:p>
    <w:p w14:paraId="0C963241" w14:textId="66687292" w:rsidR="002F5A66" w:rsidRDefault="00377C69">
      <w:pPr>
        <w:numPr>
          <w:ilvl w:val="0"/>
          <w:numId w:val="2"/>
        </w:numPr>
        <w:pBdr>
          <w:top w:val="nil"/>
          <w:left w:val="nil"/>
          <w:bottom w:val="nil"/>
          <w:right w:val="nil"/>
          <w:between w:val="nil"/>
        </w:pBdr>
        <w:spacing w:after="120" w:line="360" w:lineRule="auto"/>
        <w:ind w:left="0" w:hanging="357"/>
        <w:jc w:val="both"/>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 xml:space="preserve">Por acuerdo de dieciocho de octubre de dos mil diecinueve, admite la demanda y admite las pruebas documentales consistentes en: 1.- Copia certificada de credencial para votar expedida por el Instituto Nacional Electoral, a favor de la actora; 2.- Escrito de veinticinco de septiembre de dos mil quince, de la solicitud de renovación de  concesión del acuerdo </w:t>
      </w:r>
      <w:r w:rsidR="00074FC3">
        <w:rPr>
          <w:rFonts w:ascii="Century Gothic" w:eastAsia="Century Gothic" w:hAnsi="Century Gothic" w:cs="Century Gothic"/>
          <w:bCs/>
          <w:sz w:val="24"/>
          <w:szCs w:val="24"/>
        </w:rPr>
        <w:t>**********</w:t>
      </w:r>
      <w:r>
        <w:rPr>
          <w:rFonts w:ascii="Century Gothic" w:eastAsia="Century Gothic" w:hAnsi="Century Gothic" w:cs="Century Gothic"/>
          <w:color w:val="000000"/>
          <w:sz w:val="24"/>
          <w:szCs w:val="24"/>
        </w:rPr>
        <w:t>, a nombre de la C.</w:t>
      </w:r>
      <w:r w:rsidR="00074FC3" w:rsidRPr="00074FC3">
        <w:rPr>
          <w:rFonts w:ascii="Century Gothic" w:eastAsia="Century Gothic" w:hAnsi="Century Gothic" w:cs="Century Gothic"/>
          <w:bCs/>
          <w:sz w:val="24"/>
          <w:szCs w:val="24"/>
        </w:rPr>
        <w:t xml:space="preserve"> </w:t>
      </w:r>
      <w:r w:rsidR="00074FC3">
        <w:rPr>
          <w:rFonts w:ascii="Century Gothic" w:eastAsia="Century Gothic" w:hAnsi="Century Gothic" w:cs="Century Gothic"/>
          <w:bCs/>
          <w:sz w:val="24"/>
          <w:szCs w:val="24"/>
        </w:rPr>
        <w:t>**********</w:t>
      </w:r>
      <w:r>
        <w:rPr>
          <w:rFonts w:ascii="Century Gothic" w:eastAsia="Century Gothic" w:hAnsi="Century Gothic" w:cs="Century Gothic"/>
          <w:color w:val="000000"/>
          <w:sz w:val="24"/>
          <w:szCs w:val="24"/>
        </w:rPr>
        <w:t xml:space="preserve">; 3. Copia simple del acuerdo de concesión </w:t>
      </w:r>
      <w:r w:rsidR="00074FC3">
        <w:rPr>
          <w:rFonts w:ascii="Century Gothic" w:eastAsia="Century Gothic" w:hAnsi="Century Gothic" w:cs="Century Gothic"/>
          <w:bCs/>
          <w:sz w:val="24"/>
          <w:szCs w:val="24"/>
        </w:rPr>
        <w:t>**********</w:t>
      </w:r>
      <w:r>
        <w:rPr>
          <w:rFonts w:ascii="Century Gothic" w:eastAsia="Century Gothic" w:hAnsi="Century Gothic" w:cs="Century Gothic"/>
          <w:color w:val="000000"/>
          <w:sz w:val="24"/>
          <w:szCs w:val="24"/>
        </w:rPr>
        <w:t xml:space="preserve"> a nombre de</w:t>
      </w:r>
      <w:r w:rsidR="00074FC3">
        <w:rPr>
          <w:rFonts w:ascii="Century Gothic" w:eastAsia="Century Gothic" w:hAnsi="Century Gothic" w:cs="Century Gothic"/>
          <w:color w:val="000000"/>
          <w:sz w:val="24"/>
          <w:szCs w:val="24"/>
        </w:rPr>
        <w:t xml:space="preserve"> </w:t>
      </w:r>
      <w:r w:rsidR="00074FC3">
        <w:rPr>
          <w:rFonts w:ascii="Century Gothic" w:eastAsia="Century Gothic" w:hAnsi="Century Gothic" w:cs="Century Gothic"/>
          <w:bCs/>
          <w:sz w:val="24"/>
          <w:szCs w:val="24"/>
        </w:rPr>
        <w:t>**********</w:t>
      </w:r>
      <w:r>
        <w:rPr>
          <w:rFonts w:ascii="Century Gothic" w:eastAsia="Century Gothic" w:hAnsi="Century Gothic" w:cs="Century Gothic"/>
          <w:color w:val="000000"/>
          <w:sz w:val="24"/>
          <w:szCs w:val="24"/>
        </w:rPr>
        <w:t>, con fecha de expedición treinta de noviembre de dos mil diez; 4.- Acuse de solicitud de copia certificada de acuerdo de concesión</w:t>
      </w:r>
      <w:r w:rsidR="00877C43">
        <w:rPr>
          <w:rFonts w:ascii="Century Gothic" w:eastAsia="Century Gothic" w:hAnsi="Century Gothic" w:cs="Century Gothic"/>
          <w:color w:val="000000"/>
          <w:sz w:val="24"/>
          <w:szCs w:val="24"/>
        </w:rPr>
        <w:t xml:space="preserve"> </w:t>
      </w:r>
      <w:r w:rsidR="00877C43">
        <w:rPr>
          <w:rFonts w:ascii="Century Gothic" w:eastAsia="Century Gothic" w:hAnsi="Century Gothic" w:cs="Century Gothic"/>
          <w:bCs/>
          <w:sz w:val="24"/>
          <w:szCs w:val="24"/>
        </w:rPr>
        <w:t>**********</w:t>
      </w:r>
      <w:r>
        <w:rPr>
          <w:rFonts w:ascii="Century Gothic" w:eastAsia="Century Gothic" w:hAnsi="Century Gothic" w:cs="Century Gothic"/>
          <w:color w:val="000000"/>
          <w:sz w:val="24"/>
          <w:szCs w:val="24"/>
        </w:rPr>
        <w:t>, de fecha de recibido veintitrés de agosto del presente año; 5.- Copia certificada de factura del vehículo marca</w:t>
      </w:r>
      <w:r w:rsidR="00877C43">
        <w:rPr>
          <w:rFonts w:ascii="Century Gothic" w:eastAsia="Century Gothic" w:hAnsi="Century Gothic" w:cs="Century Gothic"/>
          <w:color w:val="000000"/>
          <w:sz w:val="24"/>
          <w:szCs w:val="24"/>
        </w:rPr>
        <w:t xml:space="preserve"> </w:t>
      </w:r>
      <w:r w:rsidR="00877C43">
        <w:rPr>
          <w:rFonts w:ascii="Century Gothic" w:eastAsia="Century Gothic" w:hAnsi="Century Gothic" w:cs="Century Gothic"/>
          <w:bCs/>
          <w:sz w:val="24"/>
          <w:szCs w:val="24"/>
        </w:rPr>
        <w:t>**********</w:t>
      </w:r>
      <w:r>
        <w:rPr>
          <w:rFonts w:ascii="Century Gothic" w:eastAsia="Century Gothic" w:hAnsi="Century Gothic" w:cs="Century Gothic"/>
          <w:color w:val="000000"/>
          <w:sz w:val="24"/>
          <w:szCs w:val="24"/>
        </w:rPr>
        <w:t xml:space="preserve">, con capacidad para </w:t>
      </w:r>
      <w:r w:rsidR="00877C43">
        <w:rPr>
          <w:rFonts w:ascii="Century Gothic" w:eastAsia="Century Gothic" w:hAnsi="Century Gothic" w:cs="Century Gothic"/>
          <w:bCs/>
          <w:sz w:val="24"/>
          <w:szCs w:val="24"/>
        </w:rPr>
        <w:t>**********</w:t>
      </w:r>
      <w:r w:rsidR="00877C43">
        <w:rPr>
          <w:rFonts w:ascii="Century Gothic" w:eastAsia="Century Gothic" w:hAnsi="Century Gothic" w:cs="Century Gothic"/>
          <w:bCs/>
          <w:sz w:val="24"/>
          <w:szCs w:val="24"/>
        </w:rPr>
        <w:t xml:space="preserve"> </w:t>
      </w:r>
      <w:r>
        <w:rPr>
          <w:rFonts w:ascii="Century Gothic" w:eastAsia="Century Gothic" w:hAnsi="Century Gothic" w:cs="Century Gothic"/>
          <w:color w:val="000000"/>
          <w:sz w:val="24"/>
          <w:szCs w:val="24"/>
        </w:rPr>
        <w:t xml:space="preserve">personas, con número de serie </w:t>
      </w:r>
      <w:r w:rsidR="00877C43">
        <w:rPr>
          <w:rFonts w:ascii="Century Gothic" w:eastAsia="Century Gothic" w:hAnsi="Century Gothic" w:cs="Century Gothic"/>
          <w:bCs/>
          <w:sz w:val="24"/>
          <w:szCs w:val="24"/>
        </w:rPr>
        <w:t>**********</w:t>
      </w:r>
      <w:r>
        <w:rPr>
          <w:rFonts w:ascii="Century Gothic" w:eastAsia="Century Gothic" w:hAnsi="Century Gothic" w:cs="Century Gothic"/>
          <w:color w:val="000000"/>
          <w:sz w:val="24"/>
          <w:szCs w:val="24"/>
        </w:rPr>
        <w:t xml:space="preserve"> y número de motor</w:t>
      </w:r>
      <w:r w:rsidR="00877C43">
        <w:rPr>
          <w:rFonts w:ascii="Century Gothic" w:eastAsia="Century Gothic" w:hAnsi="Century Gothic" w:cs="Century Gothic"/>
          <w:color w:val="000000"/>
          <w:sz w:val="24"/>
          <w:szCs w:val="24"/>
        </w:rPr>
        <w:t xml:space="preserve"> </w:t>
      </w:r>
      <w:r w:rsidR="00877C43">
        <w:rPr>
          <w:rFonts w:ascii="Century Gothic" w:eastAsia="Century Gothic" w:hAnsi="Century Gothic" w:cs="Century Gothic"/>
          <w:bCs/>
          <w:sz w:val="24"/>
          <w:szCs w:val="24"/>
        </w:rPr>
        <w:t>**********</w:t>
      </w:r>
      <w:r>
        <w:rPr>
          <w:rFonts w:ascii="Century Gothic" w:eastAsia="Century Gothic" w:hAnsi="Century Gothic" w:cs="Century Gothic"/>
          <w:color w:val="000000"/>
          <w:sz w:val="24"/>
          <w:szCs w:val="24"/>
        </w:rPr>
        <w:t>, 6. Copia certificada de factura de vehículo marca</w:t>
      </w:r>
      <w:r w:rsidR="00877C43">
        <w:rPr>
          <w:rFonts w:ascii="Century Gothic" w:eastAsia="Century Gothic" w:hAnsi="Century Gothic" w:cs="Century Gothic"/>
          <w:color w:val="000000"/>
          <w:sz w:val="24"/>
          <w:szCs w:val="24"/>
        </w:rPr>
        <w:t xml:space="preserve"> </w:t>
      </w:r>
      <w:r w:rsidR="00877C43">
        <w:rPr>
          <w:rFonts w:ascii="Century Gothic" w:eastAsia="Century Gothic" w:hAnsi="Century Gothic" w:cs="Century Gothic"/>
          <w:bCs/>
          <w:sz w:val="24"/>
          <w:szCs w:val="24"/>
        </w:rPr>
        <w:t>**********</w:t>
      </w:r>
      <w:r>
        <w:rPr>
          <w:rFonts w:ascii="Century Gothic" w:eastAsia="Century Gothic" w:hAnsi="Century Gothic" w:cs="Century Gothic"/>
          <w:color w:val="000000"/>
          <w:sz w:val="24"/>
          <w:szCs w:val="24"/>
        </w:rPr>
        <w:t xml:space="preserve">, con capacidad para cinco persona, número de serie </w:t>
      </w:r>
      <w:r w:rsidR="00877C43">
        <w:rPr>
          <w:rFonts w:ascii="Century Gothic" w:eastAsia="Century Gothic" w:hAnsi="Century Gothic" w:cs="Century Gothic"/>
          <w:bCs/>
          <w:sz w:val="24"/>
          <w:szCs w:val="24"/>
        </w:rPr>
        <w:t>**********</w:t>
      </w:r>
      <w:r>
        <w:rPr>
          <w:rFonts w:ascii="Century Gothic" w:eastAsia="Century Gothic" w:hAnsi="Century Gothic" w:cs="Century Gothic"/>
          <w:color w:val="000000"/>
          <w:sz w:val="24"/>
          <w:szCs w:val="24"/>
        </w:rPr>
        <w:t xml:space="preserve"> y número de motor</w:t>
      </w:r>
      <w:r w:rsidR="00877C43">
        <w:rPr>
          <w:rFonts w:ascii="Century Gothic" w:eastAsia="Century Gothic" w:hAnsi="Century Gothic" w:cs="Century Gothic"/>
          <w:color w:val="000000"/>
          <w:sz w:val="24"/>
          <w:szCs w:val="24"/>
        </w:rPr>
        <w:t xml:space="preserve"> </w:t>
      </w:r>
      <w:r w:rsidR="00877C43">
        <w:rPr>
          <w:rFonts w:ascii="Century Gothic" w:eastAsia="Century Gothic" w:hAnsi="Century Gothic" w:cs="Century Gothic"/>
          <w:bCs/>
          <w:sz w:val="24"/>
          <w:szCs w:val="24"/>
        </w:rPr>
        <w:t>**********</w:t>
      </w:r>
      <w:r>
        <w:rPr>
          <w:rFonts w:ascii="Century Gothic" w:eastAsia="Century Gothic" w:hAnsi="Century Gothic" w:cs="Century Gothic"/>
          <w:color w:val="000000"/>
          <w:sz w:val="24"/>
          <w:szCs w:val="24"/>
        </w:rPr>
        <w:t>; 7.- Copia certificada de seguro del vehículo marca</w:t>
      </w:r>
      <w:r w:rsidR="00877C43">
        <w:rPr>
          <w:rFonts w:ascii="Century Gothic" w:eastAsia="Century Gothic" w:hAnsi="Century Gothic" w:cs="Century Gothic"/>
          <w:color w:val="000000"/>
          <w:sz w:val="24"/>
          <w:szCs w:val="24"/>
        </w:rPr>
        <w:t xml:space="preserve"> </w:t>
      </w:r>
      <w:r w:rsidR="00877C43">
        <w:rPr>
          <w:rFonts w:ascii="Century Gothic" w:eastAsia="Century Gothic" w:hAnsi="Century Gothic" w:cs="Century Gothic"/>
          <w:bCs/>
          <w:sz w:val="24"/>
          <w:szCs w:val="24"/>
        </w:rPr>
        <w:t>**********</w:t>
      </w:r>
      <w:r>
        <w:rPr>
          <w:rFonts w:ascii="Century Gothic" w:eastAsia="Century Gothic" w:hAnsi="Century Gothic" w:cs="Century Gothic"/>
          <w:color w:val="000000"/>
          <w:sz w:val="24"/>
          <w:szCs w:val="24"/>
        </w:rPr>
        <w:t xml:space="preserve">, con capacidad para cinco persona, número de serie </w:t>
      </w:r>
      <w:r w:rsidR="00877C43">
        <w:rPr>
          <w:rFonts w:ascii="Century Gothic" w:eastAsia="Century Gothic" w:hAnsi="Century Gothic" w:cs="Century Gothic"/>
          <w:bCs/>
          <w:sz w:val="24"/>
          <w:szCs w:val="24"/>
        </w:rPr>
        <w:t>**********</w:t>
      </w:r>
      <w:r w:rsidR="00877C43">
        <w:rPr>
          <w:rFonts w:ascii="Century Gothic" w:eastAsia="Century Gothic" w:hAnsi="Century Gothic" w:cs="Century Gothic"/>
          <w:bCs/>
          <w:sz w:val="24"/>
          <w:szCs w:val="24"/>
        </w:rPr>
        <w:t xml:space="preserve"> </w:t>
      </w:r>
      <w:r>
        <w:rPr>
          <w:rFonts w:ascii="Century Gothic" w:eastAsia="Century Gothic" w:hAnsi="Century Gothic" w:cs="Century Gothic"/>
          <w:color w:val="000000"/>
          <w:sz w:val="24"/>
          <w:szCs w:val="24"/>
        </w:rPr>
        <w:t>número de motor</w:t>
      </w:r>
      <w:r w:rsidR="00877C43">
        <w:rPr>
          <w:rFonts w:ascii="Century Gothic" w:eastAsia="Century Gothic" w:hAnsi="Century Gothic" w:cs="Century Gothic"/>
          <w:color w:val="000000"/>
          <w:sz w:val="24"/>
          <w:szCs w:val="24"/>
        </w:rPr>
        <w:t xml:space="preserve"> </w:t>
      </w:r>
      <w:r w:rsidR="00877C43">
        <w:rPr>
          <w:rFonts w:ascii="Century Gothic" w:eastAsia="Century Gothic" w:hAnsi="Century Gothic" w:cs="Century Gothic"/>
          <w:bCs/>
          <w:sz w:val="24"/>
          <w:szCs w:val="24"/>
        </w:rPr>
        <w:t>**********</w:t>
      </w:r>
      <w:r>
        <w:rPr>
          <w:rFonts w:ascii="Century Gothic" w:eastAsia="Century Gothic" w:hAnsi="Century Gothic" w:cs="Century Gothic"/>
          <w:color w:val="000000"/>
          <w:sz w:val="24"/>
          <w:szCs w:val="24"/>
        </w:rPr>
        <w:t xml:space="preserve">, expedido a favor de la actora, por la Empresa Aseguradora </w:t>
      </w:r>
      <w:r w:rsidR="00877C43">
        <w:rPr>
          <w:rFonts w:ascii="Century Gothic" w:eastAsia="Century Gothic" w:hAnsi="Century Gothic" w:cs="Century Gothic"/>
          <w:bCs/>
          <w:sz w:val="24"/>
          <w:szCs w:val="24"/>
        </w:rPr>
        <w:t>**********</w:t>
      </w:r>
      <w:r>
        <w:rPr>
          <w:rFonts w:ascii="Century Gothic" w:eastAsia="Century Gothic" w:hAnsi="Century Gothic" w:cs="Century Gothic"/>
          <w:color w:val="000000"/>
          <w:sz w:val="24"/>
          <w:szCs w:val="24"/>
        </w:rPr>
        <w:t xml:space="preserve">; 8.- Constancia de prestación de servicios expedida por el Presidente Municipal del Ayuntamiento Constitucional de Tlalixtac de Cabrera, Oaxaca, de fecha siete de diciembre de dos mil diecisiete; 9.- Constancia de prestación de servicios expedida por el Presidente Municipal del Ayuntamiento Constitucional de Tlalixtac de Cabrera, Oaxaca, de fecha veinte de julio de dos mil dieciocho; 10.- Constancia de prestación de servicios expedida por el Presidente Municipal del Ayuntamiento Constitucional de Tlalixtac de Cabrera, Oaxaca, de fecha catorce de junio de dos mil diecinueve; además, la </w:t>
      </w:r>
      <w:proofErr w:type="spellStart"/>
      <w:r>
        <w:rPr>
          <w:rFonts w:ascii="Century Gothic" w:eastAsia="Century Gothic" w:hAnsi="Century Gothic" w:cs="Century Gothic"/>
          <w:color w:val="000000"/>
          <w:sz w:val="24"/>
          <w:szCs w:val="24"/>
        </w:rPr>
        <w:t>presuncional</w:t>
      </w:r>
      <w:proofErr w:type="spellEnd"/>
      <w:r>
        <w:rPr>
          <w:rFonts w:ascii="Century Gothic" w:eastAsia="Century Gothic" w:hAnsi="Century Gothic" w:cs="Century Gothic"/>
          <w:color w:val="000000"/>
          <w:sz w:val="24"/>
          <w:szCs w:val="24"/>
        </w:rPr>
        <w:t xml:space="preserve"> legal y humana, así como la instrumental de actuaciones; por último, le corre traslado a las autoridades demandadas y ordena formar el cuaderno de suspensión. (foja 21)</w:t>
      </w:r>
    </w:p>
    <w:p w14:paraId="7912A786" w14:textId="77777777" w:rsidR="002F5A66" w:rsidRDefault="00377C69">
      <w:pPr>
        <w:numPr>
          <w:ilvl w:val="0"/>
          <w:numId w:val="2"/>
        </w:numPr>
        <w:pBdr>
          <w:top w:val="nil"/>
          <w:left w:val="nil"/>
          <w:bottom w:val="nil"/>
          <w:right w:val="nil"/>
          <w:between w:val="nil"/>
        </w:pBdr>
        <w:spacing w:after="120" w:line="360" w:lineRule="auto"/>
        <w:ind w:left="0" w:hanging="357"/>
        <w:jc w:val="both"/>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 xml:space="preserve">El </w:t>
      </w:r>
      <w:proofErr w:type="gramStart"/>
      <w:r>
        <w:rPr>
          <w:rFonts w:ascii="Century Gothic" w:eastAsia="Century Gothic" w:hAnsi="Century Gothic" w:cs="Century Gothic"/>
          <w:color w:val="000000"/>
          <w:sz w:val="24"/>
          <w:szCs w:val="24"/>
        </w:rPr>
        <w:t>Director</w:t>
      </w:r>
      <w:proofErr w:type="gramEnd"/>
      <w:r>
        <w:rPr>
          <w:rFonts w:ascii="Century Gothic" w:eastAsia="Century Gothic" w:hAnsi="Century Gothic" w:cs="Century Gothic"/>
          <w:color w:val="000000"/>
          <w:sz w:val="24"/>
          <w:szCs w:val="24"/>
        </w:rPr>
        <w:t xml:space="preserve"> Jurídico de la Secretaría de Movilidad, presentó el veintidós y veintisiete de noviembre de dos mil diecinueve, dos escritos ante la Oficialía de Partes, contestando la demanda de la actora. (fojas 27 y 33)</w:t>
      </w:r>
    </w:p>
    <w:p w14:paraId="5BB1BD8F" w14:textId="77777777" w:rsidR="002F5A66" w:rsidRDefault="00377C69">
      <w:pPr>
        <w:numPr>
          <w:ilvl w:val="0"/>
          <w:numId w:val="2"/>
        </w:numPr>
        <w:pBdr>
          <w:top w:val="nil"/>
          <w:left w:val="nil"/>
          <w:bottom w:val="nil"/>
          <w:right w:val="nil"/>
          <w:between w:val="nil"/>
        </w:pBdr>
        <w:spacing w:after="120" w:line="360" w:lineRule="auto"/>
        <w:ind w:left="0" w:hanging="357"/>
        <w:jc w:val="both"/>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 xml:space="preserve">Por acuerdo de ocho de enero de dos mil veinte, se le tuvo al Director Jurídico de la Secretaría de Movilidad justificando su personalidad, compareciendo en representación de las otras autoridades </w:t>
      </w:r>
      <w:r>
        <w:rPr>
          <w:rFonts w:ascii="Century Gothic" w:eastAsia="Century Gothic" w:hAnsi="Century Gothic" w:cs="Century Gothic"/>
          <w:color w:val="000000"/>
          <w:sz w:val="24"/>
          <w:szCs w:val="24"/>
        </w:rPr>
        <w:lastRenderedPageBreak/>
        <w:t xml:space="preserve">demandadas, señalando domicilio para recibir notificaciones, contestando la demanda, admitiéndole las pruebas ofrecidas por su parte consistentes en: 1.- Copia certificada del memorándum SEMOVI/SRCT/URC/243/2019 de catorce de noviembre de dos mil diecinueve, suscrito por el Jefe de la Unidad de Registro y Control de la Secretaría de Movilidad del Estado; 2.- Copia certificada del memorándum SEMOVI/UI/840/2019 de quince de noviembre de dos mil diecinueve, suscrito por el Jefe de la Unidad de Informática de la Secretaría de Movilidad del Estado; además, la </w:t>
      </w:r>
      <w:proofErr w:type="spellStart"/>
      <w:r>
        <w:rPr>
          <w:rFonts w:ascii="Century Gothic" w:eastAsia="Century Gothic" w:hAnsi="Century Gothic" w:cs="Century Gothic"/>
          <w:color w:val="000000"/>
          <w:sz w:val="24"/>
          <w:szCs w:val="24"/>
        </w:rPr>
        <w:t>presuncional</w:t>
      </w:r>
      <w:proofErr w:type="spellEnd"/>
      <w:r>
        <w:rPr>
          <w:rFonts w:ascii="Century Gothic" w:eastAsia="Century Gothic" w:hAnsi="Century Gothic" w:cs="Century Gothic"/>
          <w:color w:val="000000"/>
          <w:sz w:val="24"/>
          <w:szCs w:val="24"/>
        </w:rPr>
        <w:t xml:space="preserve"> legal y humana, así como la instrumental de actuaciones; por último ordenó correrle traslado a su contraparte. (foja 39)</w:t>
      </w:r>
    </w:p>
    <w:p w14:paraId="4CC1F6C8" w14:textId="77777777" w:rsidR="002F5A66" w:rsidRDefault="00377C69">
      <w:pPr>
        <w:numPr>
          <w:ilvl w:val="0"/>
          <w:numId w:val="2"/>
        </w:numPr>
        <w:pBdr>
          <w:top w:val="nil"/>
          <w:left w:val="nil"/>
          <w:bottom w:val="nil"/>
          <w:right w:val="nil"/>
          <w:between w:val="nil"/>
        </w:pBdr>
        <w:spacing w:after="120" w:line="360" w:lineRule="auto"/>
        <w:ind w:left="0" w:hanging="357"/>
        <w:jc w:val="both"/>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Por acuerdo de quince de diciembre de dos mil veintiuno, se ordenó a la actuaria adscrita, se constituyera en el domicilio de la parte actora para que de manera personal le notificara el acuerdo de ocho de enero de dos mil veinte, para que, en el plazo de cinco días hábiles, produzca si a sus intereses conviniere la ampliación de su demanda, así como también el acuerdo de fecha nueve de octubre de dos mil veinte. (foja 50)</w:t>
      </w:r>
    </w:p>
    <w:p w14:paraId="48253CB5" w14:textId="05030357" w:rsidR="002F5A66" w:rsidRDefault="00377C69">
      <w:pPr>
        <w:numPr>
          <w:ilvl w:val="0"/>
          <w:numId w:val="2"/>
        </w:numPr>
        <w:pBdr>
          <w:top w:val="nil"/>
          <w:left w:val="nil"/>
          <w:bottom w:val="nil"/>
          <w:right w:val="nil"/>
          <w:between w:val="nil"/>
        </w:pBdr>
        <w:spacing w:after="120" w:line="360" w:lineRule="auto"/>
        <w:ind w:left="0" w:hanging="357"/>
        <w:jc w:val="both"/>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 xml:space="preserve">Por acuerdo de veintiocho de octubre de dos mil veintidós, la autoridad advirtió que el plazo para que ampliara su demanda actora feneció, sin que existiera promoción o escrito donde lo efectuara, se le tuvo por precluido el derecho de </w:t>
      </w:r>
      <w:r w:rsidR="00074FC3">
        <w:rPr>
          <w:rFonts w:ascii="Century Gothic" w:eastAsia="Century Gothic" w:hAnsi="Century Gothic" w:cs="Century Gothic"/>
          <w:bCs/>
          <w:sz w:val="24"/>
          <w:szCs w:val="24"/>
        </w:rPr>
        <w:t xml:space="preserve">********** </w:t>
      </w:r>
      <w:r>
        <w:rPr>
          <w:rFonts w:ascii="Century Gothic" w:eastAsia="Century Gothic" w:hAnsi="Century Gothic" w:cs="Century Gothic"/>
          <w:color w:val="000000"/>
          <w:sz w:val="24"/>
          <w:szCs w:val="24"/>
        </w:rPr>
        <w:t>para ampliar; por último, cierra la etapa de instrucción y fija fecha para la celebración de la Audiencia de ley. (foja 54)</w:t>
      </w:r>
    </w:p>
    <w:p w14:paraId="5796D4BA" w14:textId="77777777" w:rsidR="002F5A66" w:rsidRDefault="00377C69">
      <w:pPr>
        <w:numPr>
          <w:ilvl w:val="0"/>
          <w:numId w:val="2"/>
        </w:numPr>
        <w:pBdr>
          <w:top w:val="nil"/>
          <w:left w:val="nil"/>
          <w:bottom w:val="nil"/>
          <w:right w:val="nil"/>
          <w:between w:val="nil"/>
        </w:pBdr>
        <w:spacing w:after="120" w:line="360" w:lineRule="auto"/>
        <w:ind w:left="0" w:hanging="357"/>
        <w:jc w:val="both"/>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El veintinueve de noviembre del dos mil veintidós, se celebra la audiencia final, se abre el periodo de desahogo de pruebas para las partes y se inicia el periodo de alegatos, donde se agregan los que formuló la parte demandada, no así los de la actora en virtud que no presentó alegatos. (foja 66)</w:t>
      </w:r>
    </w:p>
    <w:p w14:paraId="506BCFC4" w14:textId="77777777" w:rsidR="002F5A66" w:rsidRDefault="00377C69">
      <w:pPr>
        <w:numPr>
          <w:ilvl w:val="0"/>
          <w:numId w:val="2"/>
        </w:numPr>
        <w:pBdr>
          <w:top w:val="nil"/>
          <w:left w:val="nil"/>
          <w:bottom w:val="nil"/>
          <w:right w:val="nil"/>
          <w:between w:val="nil"/>
        </w:pBdr>
        <w:spacing w:after="120" w:line="360" w:lineRule="auto"/>
        <w:ind w:left="0" w:hanging="357"/>
        <w:jc w:val="both"/>
        <w:rPr>
          <w:rFonts w:ascii="Century Gothic" w:eastAsia="Century Gothic" w:hAnsi="Century Gothic" w:cs="Century Gothic"/>
          <w:color w:val="000000"/>
          <w:sz w:val="24"/>
          <w:szCs w:val="24"/>
        </w:rPr>
      </w:pPr>
      <w:r>
        <w:rPr>
          <w:rFonts w:ascii="Century Gothic" w:eastAsia="Century Gothic" w:hAnsi="Century Gothic" w:cs="Century Gothic"/>
          <w:sz w:val="24"/>
          <w:szCs w:val="24"/>
        </w:rPr>
        <w:t>La Primera Sala Unitaria emite sentencia el cinco de diciembre de dos mil veintidós en el expediente 0115/2020, declarando la nulidad de la negativa ficta recaída en el escrito de veinticinco de septiembre del dos mil quince, para el efecto que la autoridad demandada emita una contestación.</w:t>
      </w:r>
      <w:r>
        <w:rPr>
          <w:rFonts w:ascii="Century Gothic" w:eastAsia="Century Gothic" w:hAnsi="Century Gothic" w:cs="Century Gothic"/>
          <w:color w:val="000000"/>
          <w:sz w:val="24"/>
          <w:szCs w:val="24"/>
        </w:rPr>
        <w:t xml:space="preserve"> (foja 67)</w:t>
      </w:r>
    </w:p>
    <w:p w14:paraId="530E7721" w14:textId="77777777" w:rsidR="002F5A66" w:rsidRDefault="002F5A66">
      <w:pPr>
        <w:pBdr>
          <w:top w:val="nil"/>
          <w:left w:val="nil"/>
          <w:bottom w:val="nil"/>
          <w:right w:val="nil"/>
          <w:between w:val="nil"/>
        </w:pBdr>
        <w:spacing w:after="0" w:line="360" w:lineRule="auto"/>
        <w:jc w:val="both"/>
        <w:rPr>
          <w:rFonts w:ascii="Century Gothic" w:eastAsia="Century Gothic" w:hAnsi="Century Gothic" w:cs="Century Gothic"/>
          <w:color w:val="000000"/>
          <w:sz w:val="24"/>
          <w:szCs w:val="24"/>
        </w:rPr>
      </w:pPr>
    </w:p>
    <w:p w14:paraId="6CFD2086" w14:textId="77777777" w:rsidR="002F5A66" w:rsidRDefault="002F5A66">
      <w:pPr>
        <w:pBdr>
          <w:top w:val="nil"/>
          <w:left w:val="nil"/>
          <w:bottom w:val="nil"/>
          <w:right w:val="nil"/>
          <w:between w:val="nil"/>
        </w:pBdr>
        <w:spacing w:after="0" w:line="360" w:lineRule="auto"/>
        <w:jc w:val="both"/>
        <w:rPr>
          <w:rFonts w:ascii="Century Gothic" w:eastAsia="Century Gothic" w:hAnsi="Century Gothic" w:cs="Century Gothic"/>
          <w:color w:val="000000"/>
          <w:sz w:val="24"/>
          <w:szCs w:val="24"/>
        </w:rPr>
      </w:pPr>
    </w:p>
    <w:p w14:paraId="45D5B854" w14:textId="77777777" w:rsidR="002F5A66" w:rsidRDefault="002F5A66">
      <w:pPr>
        <w:pBdr>
          <w:top w:val="nil"/>
          <w:left w:val="nil"/>
          <w:bottom w:val="nil"/>
          <w:right w:val="nil"/>
          <w:between w:val="nil"/>
        </w:pBdr>
        <w:spacing w:after="0" w:line="360" w:lineRule="auto"/>
        <w:jc w:val="both"/>
        <w:rPr>
          <w:rFonts w:ascii="Century Gothic" w:eastAsia="Century Gothic" w:hAnsi="Century Gothic" w:cs="Century Gothic"/>
          <w:color w:val="000000"/>
          <w:sz w:val="24"/>
          <w:szCs w:val="24"/>
        </w:rPr>
      </w:pPr>
    </w:p>
    <w:p w14:paraId="330D4DE7" w14:textId="77777777" w:rsidR="002F5A66" w:rsidRDefault="00377C69">
      <w:pPr>
        <w:spacing w:line="360" w:lineRule="auto"/>
        <w:ind w:firstLine="708"/>
        <w:jc w:val="both"/>
        <w:rPr>
          <w:rFonts w:ascii="Century Gothic" w:eastAsia="Century Gothic" w:hAnsi="Century Gothic" w:cs="Century Gothic"/>
          <w:b/>
          <w:sz w:val="24"/>
          <w:szCs w:val="24"/>
        </w:rPr>
      </w:pPr>
      <w:r>
        <w:rPr>
          <w:rFonts w:ascii="Century Gothic" w:eastAsia="Century Gothic" w:hAnsi="Century Gothic" w:cs="Century Gothic"/>
          <w:b/>
          <w:sz w:val="24"/>
          <w:szCs w:val="24"/>
        </w:rPr>
        <w:t xml:space="preserve">SEGUNDO. Determinación recurrida. </w:t>
      </w:r>
    </w:p>
    <w:p w14:paraId="2072532A" w14:textId="0817EADB" w:rsidR="002F5A66" w:rsidRDefault="00377C69">
      <w:pPr>
        <w:spacing w:line="360" w:lineRule="auto"/>
        <w:ind w:firstLine="708"/>
        <w:jc w:val="both"/>
        <w:rPr>
          <w:rFonts w:ascii="Century Gothic" w:eastAsia="Century Gothic" w:hAnsi="Century Gothic" w:cs="Century Gothic"/>
          <w:color w:val="000000"/>
          <w:sz w:val="24"/>
          <w:szCs w:val="24"/>
        </w:rPr>
      </w:pPr>
      <w:r>
        <w:rPr>
          <w:rFonts w:ascii="Century Gothic" w:eastAsia="Century Gothic" w:hAnsi="Century Gothic" w:cs="Century Gothic"/>
          <w:sz w:val="24"/>
          <w:szCs w:val="24"/>
        </w:rPr>
        <w:lastRenderedPageBreak/>
        <w:t xml:space="preserve">2. Inconforme con </w:t>
      </w:r>
      <w:r>
        <w:rPr>
          <w:rFonts w:ascii="Century Gothic" w:eastAsia="Century Gothic" w:hAnsi="Century Gothic" w:cs="Century Gothic"/>
          <w:color w:val="000000"/>
          <w:sz w:val="24"/>
          <w:szCs w:val="24"/>
        </w:rPr>
        <w:t xml:space="preserve">la sentencia </w:t>
      </w:r>
      <w:r>
        <w:rPr>
          <w:rFonts w:ascii="Century Gothic" w:eastAsia="Century Gothic" w:hAnsi="Century Gothic" w:cs="Century Gothic"/>
          <w:sz w:val="24"/>
          <w:szCs w:val="24"/>
        </w:rPr>
        <w:t>de</w:t>
      </w:r>
      <w:r>
        <w:rPr>
          <w:rFonts w:ascii="Century Gothic" w:eastAsia="Century Gothic" w:hAnsi="Century Gothic" w:cs="Century Gothic"/>
          <w:b/>
          <w:sz w:val="24"/>
          <w:szCs w:val="24"/>
        </w:rPr>
        <w:t xml:space="preserve"> </w:t>
      </w:r>
      <w:r>
        <w:rPr>
          <w:rFonts w:ascii="Century Gothic" w:eastAsia="Century Gothic" w:hAnsi="Century Gothic" w:cs="Century Gothic"/>
          <w:sz w:val="24"/>
          <w:szCs w:val="24"/>
        </w:rPr>
        <w:t>cinco de diciembre de dos mil veintidós, dictada por la Primera Sala Unitaria en el expediente 0115/2020, la ciudadana</w:t>
      </w:r>
      <w:r w:rsidR="00074FC3">
        <w:rPr>
          <w:rFonts w:ascii="Century Gothic" w:eastAsia="Century Gothic" w:hAnsi="Century Gothic" w:cs="Century Gothic"/>
          <w:b/>
          <w:sz w:val="24"/>
          <w:szCs w:val="24"/>
        </w:rPr>
        <w:t xml:space="preserve"> </w:t>
      </w:r>
      <w:r w:rsidR="00074FC3">
        <w:rPr>
          <w:rFonts w:ascii="Century Gothic" w:eastAsia="Century Gothic" w:hAnsi="Century Gothic" w:cs="Century Gothic"/>
          <w:bCs/>
          <w:sz w:val="24"/>
          <w:szCs w:val="24"/>
        </w:rPr>
        <w:t>**********</w:t>
      </w:r>
      <w:r>
        <w:rPr>
          <w:rFonts w:ascii="Century Gothic" w:eastAsia="Century Gothic" w:hAnsi="Century Gothic" w:cs="Century Gothic"/>
          <w:sz w:val="24"/>
          <w:szCs w:val="24"/>
        </w:rPr>
        <w:t xml:space="preserve">, </w:t>
      </w:r>
      <w:r>
        <w:rPr>
          <w:rFonts w:ascii="Century Gothic" w:eastAsia="Century Gothic" w:hAnsi="Century Gothic" w:cs="Century Gothic"/>
          <w:color w:val="000000"/>
          <w:sz w:val="24"/>
          <w:szCs w:val="24"/>
        </w:rPr>
        <w:t xml:space="preserve">por escrito fechado y recibido el veintisiete de enero de dos mil veintitrés, en el que solicita que la autoridad de segunda instancia </w:t>
      </w:r>
      <w:r>
        <w:rPr>
          <w:rFonts w:ascii="Century Gothic" w:eastAsia="Century Gothic" w:hAnsi="Century Gothic" w:cs="Century Gothic"/>
          <w:sz w:val="24"/>
          <w:szCs w:val="24"/>
        </w:rPr>
        <w:t>resuelva respecto a la renovación de su concesión</w:t>
      </w:r>
      <w:r>
        <w:rPr>
          <w:rFonts w:ascii="Century Gothic" w:eastAsia="Century Gothic" w:hAnsi="Century Gothic" w:cs="Century Gothic"/>
          <w:color w:val="000000"/>
          <w:sz w:val="24"/>
          <w:szCs w:val="24"/>
        </w:rPr>
        <w:t>.</w:t>
      </w:r>
    </w:p>
    <w:p w14:paraId="5CED273B" w14:textId="77777777" w:rsidR="002F5A66" w:rsidRDefault="00377C69">
      <w:pPr>
        <w:spacing w:before="240" w:line="360" w:lineRule="auto"/>
        <w:ind w:left="851" w:right="616"/>
        <w:jc w:val="center"/>
        <w:rPr>
          <w:rFonts w:ascii="Century Gothic" w:eastAsia="Century Gothic" w:hAnsi="Century Gothic" w:cs="Century Gothic"/>
          <w:b/>
          <w:sz w:val="24"/>
          <w:szCs w:val="24"/>
        </w:rPr>
      </w:pPr>
      <w:r>
        <w:rPr>
          <w:rFonts w:ascii="Century Gothic" w:eastAsia="Century Gothic" w:hAnsi="Century Gothic" w:cs="Century Gothic"/>
          <w:b/>
          <w:sz w:val="24"/>
          <w:szCs w:val="24"/>
        </w:rPr>
        <w:t>C O N S I D E R A N D O</w:t>
      </w:r>
    </w:p>
    <w:p w14:paraId="1106EC63" w14:textId="77777777" w:rsidR="002F5A66" w:rsidRDefault="00377C69">
      <w:pPr>
        <w:spacing w:before="240" w:line="360" w:lineRule="auto"/>
        <w:ind w:firstLine="708"/>
        <w:jc w:val="both"/>
        <w:rPr>
          <w:rFonts w:ascii="Century Gothic" w:eastAsia="Century Gothic" w:hAnsi="Century Gothic" w:cs="Century Gothic"/>
          <w:b/>
          <w:sz w:val="24"/>
          <w:szCs w:val="24"/>
        </w:rPr>
      </w:pPr>
      <w:bookmarkStart w:id="2" w:name="_heading=h.1fob9te" w:colFirst="0" w:colLast="0"/>
      <w:bookmarkEnd w:id="2"/>
      <w:r>
        <w:rPr>
          <w:rFonts w:ascii="Century Gothic" w:eastAsia="Century Gothic" w:hAnsi="Century Gothic" w:cs="Century Gothic"/>
          <w:b/>
          <w:sz w:val="24"/>
          <w:szCs w:val="24"/>
        </w:rPr>
        <w:t xml:space="preserve">PRIMERO. Jurisdicción y Competencia. </w:t>
      </w:r>
    </w:p>
    <w:p w14:paraId="51A73F4C" w14:textId="77777777" w:rsidR="002F5A66" w:rsidRDefault="00377C69">
      <w:pPr>
        <w:spacing w:before="240" w:line="360" w:lineRule="auto"/>
        <w:ind w:firstLine="708"/>
        <w:jc w:val="both"/>
        <w:rPr>
          <w:rFonts w:ascii="Century Gothic" w:eastAsia="Century Gothic" w:hAnsi="Century Gothic" w:cs="Century Gothic"/>
          <w:sz w:val="24"/>
          <w:szCs w:val="24"/>
        </w:rPr>
      </w:pPr>
      <w:r>
        <w:rPr>
          <w:rFonts w:ascii="Century Gothic" w:eastAsia="Century Gothic" w:hAnsi="Century Gothic" w:cs="Century Gothic"/>
          <w:sz w:val="24"/>
          <w:szCs w:val="24"/>
        </w:rPr>
        <w:t>3. El</w:t>
      </w:r>
      <w:r>
        <w:rPr>
          <w:rFonts w:ascii="Century Gothic" w:eastAsia="Century Gothic" w:hAnsi="Century Gothic" w:cs="Century Gothic"/>
          <w:b/>
          <w:sz w:val="24"/>
          <w:szCs w:val="24"/>
        </w:rPr>
        <w:t xml:space="preserve"> </w:t>
      </w:r>
      <w:r>
        <w:rPr>
          <w:rFonts w:ascii="Century Gothic" w:eastAsia="Century Gothic" w:hAnsi="Century Gothic" w:cs="Century Gothic"/>
          <w:sz w:val="24"/>
          <w:szCs w:val="24"/>
        </w:rPr>
        <w:t>Tribunal de Justicia Administrativa y Combate a la Corrupción del Estado de Oaxaca,</w:t>
      </w:r>
      <w:r>
        <w:rPr>
          <w:rFonts w:ascii="Century Gothic" w:eastAsia="Century Gothic" w:hAnsi="Century Gothic" w:cs="Century Gothic"/>
          <w:b/>
          <w:sz w:val="24"/>
          <w:szCs w:val="24"/>
        </w:rPr>
        <w:t xml:space="preserve"> </w:t>
      </w:r>
      <w:r>
        <w:rPr>
          <w:rFonts w:ascii="Century Gothic" w:eastAsia="Century Gothic" w:hAnsi="Century Gothic" w:cs="Century Gothic"/>
          <w:sz w:val="24"/>
          <w:szCs w:val="24"/>
        </w:rPr>
        <w:t xml:space="preserve">ejerce jurisdicción y esta Sala Superior es competente para conocer del presente asunto, conforme a lo dispuesto por los artículos 114 </w:t>
      </w:r>
      <w:proofErr w:type="spellStart"/>
      <w:r>
        <w:rPr>
          <w:rFonts w:ascii="Century Gothic" w:eastAsia="Century Gothic" w:hAnsi="Century Gothic" w:cs="Century Gothic"/>
          <w:sz w:val="24"/>
          <w:szCs w:val="24"/>
        </w:rPr>
        <w:t>Quáter</w:t>
      </w:r>
      <w:proofErr w:type="spellEnd"/>
      <w:r>
        <w:rPr>
          <w:rFonts w:ascii="Century Gothic" w:eastAsia="Century Gothic" w:hAnsi="Century Gothic" w:cs="Century Gothic"/>
          <w:sz w:val="24"/>
          <w:szCs w:val="24"/>
          <w:vertAlign w:val="superscript"/>
        </w:rPr>
        <w:footnoteReference w:id="1"/>
      </w:r>
      <w:r>
        <w:rPr>
          <w:rFonts w:ascii="Century Gothic" w:eastAsia="Century Gothic" w:hAnsi="Century Gothic" w:cs="Century Gothic"/>
          <w:sz w:val="24"/>
          <w:szCs w:val="24"/>
        </w:rPr>
        <w:t xml:space="preserve"> de la Constitución Política del Estado Libre y Soberano de Oaxaca; </w:t>
      </w:r>
      <w:r w:rsidR="007A45B6">
        <w:rPr>
          <w:rFonts w:ascii="Century Gothic" w:eastAsia="Century Gothic" w:hAnsi="Century Gothic" w:cs="Century Gothic"/>
          <w:color w:val="000000"/>
          <w:sz w:val="24"/>
          <w:szCs w:val="24"/>
        </w:rPr>
        <w:t xml:space="preserve">1, 2, 4 fracción V, 22, 23 fracciones I y IV, 24, fracción I y 26 de la </w:t>
      </w:r>
      <w:r w:rsidR="007A45B6">
        <w:rPr>
          <w:rFonts w:ascii="Century Gothic" w:eastAsia="Century Gothic" w:hAnsi="Century Gothic" w:cs="Century Gothic"/>
          <w:sz w:val="24"/>
          <w:szCs w:val="24"/>
        </w:rPr>
        <w:t>Ley Orgánica del Tribunal de Justicia Administrativa y Combate a la Corrupción del Estado de Oaxaca</w:t>
      </w:r>
      <w:r>
        <w:rPr>
          <w:rFonts w:ascii="Century Gothic" w:eastAsia="Century Gothic" w:hAnsi="Century Gothic" w:cs="Century Gothic"/>
          <w:color w:val="000000"/>
          <w:sz w:val="24"/>
          <w:szCs w:val="24"/>
        </w:rPr>
        <w:t>, vigente</w:t>
      </w:r>
      <w:r>
        <w:rPr>
          <w:rFonts w:ascii="Century Gothic" w:eastAsia="Century Gothic" w:hAnsi="Century Gothic" w:cs="Century Gothic"/>
          <w:sz w:val="24"/>
          <w:szCs w:val="24"/>
        </w:rPr>
        <w:t xml:space="preserve">; 120, 125, 127, 129,130, fracción l, 131, 201, 236 fracción VII y 238 de la Ley de Procedimiento y Justicia Administrativa para el Estado de Oaxaca, dado que se trata de un recurso de revisión interpuesto en contra de la sentencia de cinco de diciembre de dos mil veintidós, dictada por la entonces Primera Sala Unitaria en el juicio de nulidad </w:t>
      </w:r>
      <w:r>
        <w:rPr>
          <w:rFonts w:ascii="Century Gothic" w:eastAsia="Century Gothic" w:hAnsi="Century Gothic" w:cs="Century Gothic"/>
          <w:b/>
          <w:sz w:val="24"/>
          <w:szCs w:val="24"/>
        </w:rPr>
        <w:t>0115/2020.</w:t>
      </w:r>
      <w:r>
        <w:rPr>
          <w:rFonts w:ascii="Century Gothic" w:eastAsia="Century Gothic" w:hAnsi="Century Gothic" w:cs="Century Gothic"/>
          <w:sz w:val="24"/>
          <w:szCs w:val="24"/>
        </w:rPr>
        <w:t xml:space="preserve">- - - - - - - </w:t>
      </w:r>
    </w:p>
    <w:p w14:paraId="18341C55" w14:textId="77777777" w:rsidR="002F5A66" w:rsidRDefault="00377C69">
      <w:pPr>
        <w:spacing w:before="240" w:line="360" w:lineRule="auto"/>
        <w:ind w:firstLine="708"/>
        <w:jc w:val="both"/>
        <w:rPr>
          <w:rFonts w:ascii="Century Gothic" w:eastAsia="Century Gothic" w:hAnsi="Century Gothic" w:cs="Century Gothic"/>
          <w:b/>
          <w:sz w:val="24"/>
          <w:szCs w:val="24"/>
        </w:rPr>
      </w:pPr>
      <w:r>
        <w:rPr>
          <w:rFonts w:ascii="Century Gothic" w:eastAsia="Century Gothic" w:hAnsi="Century Gothic" w:cs="Century Gothic"/>
          <w:b/>
          <w:sz w:val="24"/>
          <w:szCs w:val="24"/>
        </w:rPr>
        <w:t xml:space="preserve">SEGUNDO. Requisitos de procedencia. </w:t>
      </w:r>
    </w:p>
    <w:p w14:paraId="222F9490" w14:textId="77777777" w:rsidR="002F5A66" w:rsidRDefault="00377C69">
      <w:pPr>
        <w:spacing w:before="240" w:line="360" w:lineRule="auto"/>
        <w:ind w:firstLine="708"/>
        <w:jc w:val="both"/>
        <w:rPr>
          <w:rFonts w:ascii="Century Gothic" w:eastAsia="Century Gothic" w:hAnsi="Century Gothic" w:cs="Century Gothic"/>
          <w:sz w:val="24"/>
          <w:szCs w:val="24"/>
        </w:rPr>
      </w:pPr>
      <w:r>
        <w:rPr>
          <w:rFonts w:ascii="Century Gothic" w:eastAsia="Century Gothic" w:hAnsi="Century Gothic" w:cs="Century Gothic"/>
          <w:sz w:val="24"/>
          <w:szCs w:val="24"/>
        </w:rPr>
        <w:t>4. Se tienen por satisfechos los requisitos de procedencia previstos en los artículos 236, 237 de la Ley de Procedimiento y Justicia Administrativa para el Estado de Oaxaca.</w:t>
      </w:r>
    </w:p>
    <w:p w14:paraId="16632E2F" w14:textId="77777777" w:rsidR="002F5A66" w:rsidRDefault="00377C69">
      <w:pPr>
        <w:numPr>
          <w:ilvl w:val="0"/>
          <w:numId w:val="3"/>
        </w:numPr>
        <w:pBdr>
          <w:top w:val="nil"/>
          <w:left w:val="nil"/>
          <w:bottom w:val="nil"/>
          <w:right w:val="nil"/>
          <w:between w:val="nil"/>
        </w:pBdr>
        <w:spacing w:before="240" w:after="120" w:line="360" w:lineRule="auto"/>
        <w:ind w:left="567"/>
        <w:jc w:val="both"/>
        <w:rPr>
          <w:rFonts w:ascii="Century Gothic" w:eastAsia="Century Gothic" w:hAnsi="Century Gothic" w:cs="Century Gothic"/>
          <w:color w:val="000000"/>
          <w:sz w:val="24"/>
          <w:szCs w:val="24"/>
        </w:rPr>
      </w:pPr>
      <w:r>
        <w:rPr>
          <w:rFonts w:ascii="Century Gothic" w:eastAsia="Century Gothic" w:hAnsi="Century Gothic" w:cs="Century Gothic"/>
          <w:b/>
          <w:color w:val="000000"/>
          <w:sz w:val="24"/>
          <w:szCs w:val="24"/>
        </w:rPr>
        <w:t xml:space="preserve">Forma. </w:t>
      </w:r>
      <w:r>
        <w:rPr>
          <w:rFonts w:ascii="Century Gothic" w:eastAsia="Century Gothic" w:hAnsi="Century Gothic" w:cs="Century Gothic"/>
          <w:color w:val="000000"/>
          <w:sz w:val="24"/>
          <w:szCs w:val="24"/>
        </w:rPr>
        <w:t>Se observa que el</w:t>
      </w:r>
      <w:r>
        <w:rPr>
          <w:rFonts w:ascii="Century Gothic" w:eastAsia="Century Gothic" w:hAnsi="Century Gothic" w:cs="Century Gothic"/>
          <w:b/>
          <w:color w:val="000000"/>
          <w:sz w:val="24"/>
          <w:szCs w:val="24"/>
        </w:rPr>
        <w:t xml:space="preserve"> </w:t>
      </w:r>
      <w:r>
        <w:rPr>
          <w:rFonts w:ascii="Century Gothic" w:eastAsia="Century Gothic" w:hAnsi="Century Gothic" w:cs="Century Gothic"/>
          <w:color w:val="000000"/>
          <w:sz w:val="24"/>
          <w:szCs w:val="24"/>
        </w:rPr>
        <w:t>recurso se efectuó conforme a los lineamientos que exige el artículo 236 de la Ley de Procedimiento y Justicia Administrativa para el Estado de Oaxaca, ya que se presentó por escrito, con la expresión de agravios ante la Sala que dictó la sentencia que se impugna.</w:t>
      </w:r>
    </w:p>
    <w:p w14:paraId="75EF7AB1" w14:textId="77777777" w:rsidR="002F5A66" w:rsidRDefault="00377C69">
      <w:pPr>
        <w:numPr>
          <w:ilvl w:val="0"/>
          <w:numId w:val="3"/>
        </w:numPr>
        <w:pBdr>
          <w:top w:val="nil"/>
          <w:left w:val="nil"/>
          <w:bottom w:val="nil"/>
          <w:right w:val="nil"/>
          <w:between w:val="nil"/>
        </w:pBdr>
        <w:spacing w:after="120" w:line="360" w:lineRule="auto"/>
        <w:ind w:left="567" w:hanging="357"/>
        <w:jc w:val="both"/>
        <w:rPr>
          <w:rFonts w:ascii="Century Gothic" w:eastAsia="Century Gothic" w:hAnsi="Century Gothic" w:cs="Century Gothic"/>
          <w:color w:val="000000"/>
          <w:sz w:val="24"/>
          <w:szCs w:val="24"/>
        </w:rPr>
      </w:pPr>
      <w:r>
        <w:rPr>
          <w:rFonts w:ascii="Century Gothic" w:eastAsia="Century Gothic" w:hAnsi="Century Gothic" w:cs="Century Gothic"/>
          <w:b/>
          <w:color w:val="000000"/>
          <w:sz w:val="24"/>
          <w:szCs w:val="24"/>
        </w:rPr>
        <w:lastRenderedPageBreak/>
        <w:t xml:space="preserve">Oportunidad. </w:t>
      </w:r>
      <w:r>
        <w:rPr>
          <w:rFonts w:ascii="Century Gothic" w:eastAsia="Century Gothic" w:hAnsi="Century Gothic" w:cs="Century Gothic"/>
          <w:color w:val="000000"/>
          <w:sz w:val="24"/>
          <w:szCs w:val="24"/>
        </w:rPr>
        <w:t>Se cumple tal requisito, toda vez que el acto impugnado fue notificado a la recurrente, el viernes veinte de enero de dos mil veintitrés, en tanto el correspondiente recurso se interpuso el día veintisiete de enero del presente año, siendo éste dentro del plazo de cinco días previsto en el artículo 237 de la Ley de Procedimiento y Justicia Administrativa para el Estado de Oaxaca, en virtud que el lunes veintitrés del mes en cita surtió efectos y empezando a correr el conteo a partir del día martes veinticuatro hasta el lunes treinta de enero de dos mil veintitrés (sin ser contados los días veintiuno, veintidós, veintiocho y veintinueve por ser sábado y domingo, al ser considerados inhábiles por la Ley).</w:t>
      </w:r>
    </w:p>
    <w:p w14:paraId="7F42CC49" w14:textId="77777777" w:rsidR="002F5A66" w:rsidRDefault="00377C69">
      <w:pPr>
        <w:numPr>
          <w:ilvl w:val="0"/>
          <w:numId w:val="3"/>
        </w:numPr>
        <w:pBdr>
          <w:top w:val="nil"/>
          <w:left w:val="nil"/>
          <w:bottom w:val="nil"/>
          <w:right w:val="nil"/>
          <w:between w:val="nil"/>
        </w:pBdr>
        <w:spacing w:after="120" w:line="360" w:lineRule="auto"/>
        <w:ind w:left="567" w:hanging="357"/>
        <w:jc w:val="both"/>
        <w:rPr>
          <w:rFonts w:ascii="Century Gothic" w:eastAsia="Century Gothic" w:hAnsi="Century Gothic" w:cs="Century Gothic"/>
          <w:color w:val="000000"/>
          <w:sz w:val="24"/>
          <w:szCs w:val="24"/>
        </w:rPr>
      </w:pPr>
      <w:r>
        <w:rPr>
          <w:rFonts w:ascii="Century Gothic" w:eastAsia="Century Gothic" w:hAnsi="Century Gothic" w:cs="Century Gothic"/>
          <w:b/>
          <w:color w:val="000000"/>
          <w:sz w:val="24"/>
          <w:szCs w:val="24"/>
        </w:rPr>
        <w:t xml:space="preserve">Legitimación. </w:t>
      </w:r>
      <w:r>
        <w:rPr>
          <w:rFonts w:ascii="Century Gothic" w:eastAsia="Century Gothic" w:hAnsi="Century Gothic" w:cs="Century Gothic"/>
          <w:color w:val="000000"/>
          <w:sz w:val="24"/>
          <w:szCs w:val="24"/>
        </w:rPr>
        <w:t>El presente recurso fue interpuesto por parte legítima. Ello, porque de conformidad con señalado en el artículo 236, segundo párrafo, de la Ley de Procedimiento y Justicia Administrativa para el Estado de Oaxaca, el recurso de revisión en que se actúa, puede ser impugnado por una de las partes.</w:t>
      </w:r>
    </w:p>
    <w:p w14:paraId="40A4139E" w14:textId="77777777" w:rsidR="002F5A66" w:rsidRDefault="00377C69">
      <w:pPr>
        <w:numPr>
          <w:ilvl w:val="0"/>
          <w:numId w:val="3"/>
        </w:numPr>
        <w:pBdr>
          <w:top w:val="nil"/>
          <w:left w:val="nil"/>
          <w:bottom w:val="nil"/>
          <w:right w:val="nil"/>
          <w:between w:val="nil"/>
        </w:pBdr>
        <w:spacing w:after="120" w:line="360" w:lineRule="auto"/>
        <w:ind w:left="567" w:hanging="357"/>
        <w:jc w:val="both"/>
        <w:rPr>
          <w:rFonts w:ascii="Century Gothic" w:eastAsia="Century Gothic" w:hAnsi="Century Gothic" w:cs="Century Gothic"/>
          <w:color w:val="000000"/>
          <w:sz w:val="24"/>
          <w:szCs w:val="24"/>
        </w:rPr>
      </w:pPr>
      <w:r>
        <w:rPr>
          <w:rFonts w:ascii="Century Gothic" w:eastAsia="Century Gothic" w:hAnsi="Century Gothic" w:cs="Century Gothic"/>
          <w:b/>
          <w:color w:val="000000"/>
          <w:sz w:val="24"/>
          <w:szCs w:val="24"/>
        </w:rPr>
        <w:t xml:space="preserve">Idoneidad. </w:t>
      </w:r>
      <w:r>
        <w:rPr>
          <w:rFonts w:ascii="Century Gothic" w:eastAsia="Century Gothic" w:hAnsi="Century Gothic" w:cs="Century Gothic"/>
          <w:color w:val="000000"/>
          <w:sz w:val="24"/>
          <w:szCs w:val="24"/>
        </w:rPr>
        <w:t>Ahora, por lo que hace a este requisito, éste se cumple, en virtud que la determinación de la Sala Unitaria de Primera Instancia que fue recurrida es contra la sentencia que decidió la cuestión planteada; por ende, se encuentra dentro de ese catálogo que enlista el numeral 236 fracción VII, de la Ley de Procedimiento y Justicia Administrativa para el Estado de Oaxaca, por lo cual procede el recurso de revisión.</w:t>
      </w:r>
    </w:p>
    <w:p w14:paraId="71915B0E" w14:textId="77777777" w:rsidR="002F5A66" w:rsidRDefault="00377C69">
      <w:pPr>
        <w:spacing w:before="240" w:line="360" w:lineRule="auto"/>
        <w:ind w:firstLine="708"/>
        <w:jc w:val="both"/>
        <w:rPr>
          <w:rFonts w:ascii="Century Gothic" w:eastAsia="Century Gothic" w:hAnsi="Century Gothic" w:cs="Century Gothic"/>
          <w:b/>
          <w:sz w:val="24"/>
          <w:szCs w:val="24"/>
        </w:rPr>
      </w:pPr>
      <w:r>
        <w:rPr>
          <w:rFonts w:ascii="Century Gothic" w:eastAsia="Century Gothic" w:hAnsi="Century Gothic" w:cs="Century Gothic"/>
          <w:b/>
          <w:sz w:val="24"/>
          <w:szCs w:val="24"/>
        </w:rPr>
        <w:t>TERCERO. Agravios.</w:t>
      </w:r>
    </w:p>
    <w:p w14:paraId="705F0CF0" w14:textId="77777777" w:rsidR="002F5A66" w:rsidRDefault="00377C69">
      <w:pPr>
        <w:spacing w:before="240" w:line="360" w:lineRule="auto"/>
        <w:ind w:firstLine="708"/>
        <w:jc w:val="both"/>
        <w:rPr>
          <w:rFonts w:ascii="Century Gothic" w:eastAsia="Century Gothic" w:hAnsi="Century Gothic" w:cs="Century Gothic"/>
          <w:sz w:val="24"/>
          <w:szCs w:val="24"/>
        </w:rPr>
      </w:pPr>
      <w:r>
        <w:rPr>
          <w:rFonts w:ascii="Century Gothic" w:eastAsia="Century Gothic" w:hAnsi="Century Gothic" w:cs="Century Gothic"/>
          <w:sz w:val="24"/>
          <w:szCs w:val="24"/>
        </w:rPr>
        <w:t>5. De las pretensiones hechas valer por la recurrente en el escrito respectivo de agravios y por la autoridad en el oficio respectivo de contestación, debe decirse que su transcripción queda al prudente arbitrio, por lo que, tomando en consideración las características especiales del caso, no hay necesidad de verterlos en su literalidad, además de que no se vulnera la disposición, expresa que imponga tal obligación, ni se transgrede derecho alguno, ya que se estudiarán y se les darán respuesta. Sirve de apoyo a lo anterior, la Jurisprudencia 2a./J. 58/2010 de número de registro 164618 emitida por la Segunda Sala de la Suprema Corte de Justicia de la Nación, publicada en el Semanario Judicial de la Federación y su Gaceta, en la Novena Época, Tomo XXXI, mayo de 2010, página 830, materia común, de rubro y texto siguientes:</w:t>
      </w:r>
    </w:p>
    <w:p w14:paraId="09803FE9" w14:textId="77777777" w:rsidR="002F5A66" w:rsidRDefault="00377C69">
      <w:pPr>
        <w:spacing w:after="0"/>
        <w:ind w:left="993" w:right="474"/>
        <w:jc w:val="both"/>
        <w:rPr>
          <w:rFonts w:ascii="Century Gothic" w:eastAsia="Century Gothic" w:hAnsi="Century Gothic" w:cs="Century Gothic"/>
          <w:b/>
          <w:i/>
        </w:rPr>
      </w:pPr>
      <w:r>
        <w:rPr>
          <w:rFonts w:ascii="Century Gothic" w:eastAsia="Century Gothic" w:hAnsi="Century Gothic" w:cs="Century Gothic"/>
          <w:b/>
        </w:rPr>
        <w:lastRenderedPageBreak/>
        <w:t>“</w:t>
      </w:r>
      <w:r>
        <w:rPr>
          <w:rFonts w:ascii="Century Gothic" w:eastAsia="Century Gothic" w:hAnsi="Century Gothic" w:cs="Century Gothic"/>
          <w:b/>
          <w:i/>
        </w:rPr>
        <w:t>CONCEPTOS DE VIOLACIÓN O AGRAVIOS. PARA CUMPLIR CON LOS PRINCIPIOS DE CONGRUENCIA Y EXHAUSTIVIDAD EN LAS SENTENCIAS DE AMPARO ES INNECESARIA SU TRANSCRIPCIÓN”.</w:t>
      </w:r>
      <w:r>
        <w:rPr>
          <w:rFonts w:ascii="Century Gothic" w:eastAsia="Century Gothic" w:hAnsi="Century Gothic" w:cs="Century Gothic"/>
          <w:b/>
          <w:i/>
          <w:vertAlign w:val="superscript"/>
        </w:rPr>
        <w:footnoteReference w:id="2"/>
      </w:r>
    </w:p>
    <w:p w14:paraId="182096B4" w14:textId="77777777" w:rsidR="002F5A66" w:rsidRDefault="00377C69">
      <w:pPr>
        <w:pBdr>
          <w:top w:val="nil"/>
          <w:left w:val="nil"/>
          <w:bottom w:val="nil"/>
          <w:right w:val="nil"/>
          <w:between w:val="nil"/>
        </w:pBdr>
        <w:spacing w:before="240" w:after="240" w:line="360" w:lineRule="auto"/>
        <w:jc w:val="both"/>
        <w:rPr>
          <w:rFonts w:ascii="Century Gothic" w:eastAsia="Century Gothic" w:hAnsi="Century Gothic" w:cs="Century Gothic"/>
          <w:color w:val="000000"/>
          <w:sz w:val="24"/>
          <w:szCs w:val="24"/>
        </w:rPr>
      </w:pPr>
      <w:bookmarkStart w:id="3" w:name="_heading=h.3znysh7" w:colFirst="0" w:colLast="0"/>
      <w:bookmarkEnd w:id="3"/>
      <w:r>
        <w:rPr>
          <w:rFonts w:ascii="Century Gothic" w:eastAsia="Century Gothic" w:hAnsi="Century Gothic" w:cs="Century Gothic"/>
          <w:color w:val="000000"/>
          <w:sz w:val="24"/>
          <w:szCs w:val="24"/>
        </w:rPr>
        <w:t xml:space="preserve">6. Ahora bien, de lo expuesto por la recurrente en esencia señala que la sentencia de cinco de diciembre de dos mil veintidós, </w:t>
      </w:r>
      <w:r>
        <w:rPr>
          <w:rFonts w:ascii="Century Gothic" w:eastAsia="Century Gothic" w:hAnsi="Century Gothic" w:cs="Century Gothic"/>
          <w:sz w:val="24"/>
          <w:szCs w:val="24"/>
        </w:rPr>
        <w:t>deja en total estado de indefensión al esperar respuesta a su solicitud respecto a la renovación de su concesión</w:t>
      </w:r>
      <w:r>
        <w:rPr>
          <w:rFonts w:ascii="Century Gothic" w:eastAsia="Century Gothic" w:hAnsi="Century Gothic" w:cs="Century Gothic"/>
          <w:color w:val="000000"/>
          <w:sz w:val="24"/>
          <w:szCs w:val="24"/>
        </w:rPr>
        <w:t>, por lo siguiente</w:t>
      </w:r>
      <w:r>
        <w:rPr>
          <w:rFonts w:ascii="Century Gothic" w:eastAsia="Century Gothic" w:hAnsi="Century Gothic" w:cs="Century Gothic"/>
          <w:b/>
          <w:color w:val="000000"/>
          <w:sz w:val="24"/>
          <w:szCs w:val="24"/>
        </w:rPr>
        <w:t xml:space="preserve">: </w:t>
      </w:r>
      <w:r>
        <w:rPr>
          <w:rFonts w:ascii="Century Gothic" w:eastAsia="Century Gothic" w:hAnsi="Century Gothic" w:cs="Century Gothic"/>
          <w:color w:val="000000"/>
          <w:sz w:val="24"/>
          <w:szCs w:val="24"/>
        </w:rPr>
        <w:t xml:space="preserve">- - - - - - - - - - - - - - - - - - - - - - </w:t>
      </w:r>
    </w:p>
    <w:p w14:paraId="35422EB0" w14:textId="77777777" w:rsidR="002F5A66" w:rsidRDefault="00377C69">
      <w:pPr>
        <w:numPr>
          <w:ilvl w:val="0"/>
          <w:numId w:val="4"/>
        </w:numPr>
        <w:pBdr>
          <w:top w:val="nil"/>
          <w:left w:val="nil"/>
          <w:bottom w:val="nil"/>
          <w:right w:val="nil"/>
          <w:between w:val="nil"/>
        </w:pBdr>
        <w:spacing w:line="360" w:lineRule="auto"/>
        <w:ind w:left="426" w:right="332"/>
        <w:jc w:val="both"/>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En su agravio refiere que la Secretaria de Movilidad y Transporte, como requisito le pidió el original de su concesión, del cual le entregó un acuse de recibido, después alega y manifiesta que no existe, por lo que al no contemplar e interpretar sus elementos de prueba que obran en autos del presente, siendo ya que durante el presente juicio exhibió su documentación que anexó a cada trámite solicitado ante la Secretaría de Movilidad y la cual ha sido omisa en responder en breve término y por escrito.</w:t>
      </w:r>
    </w:p>
    <w:p w14:paraId="4705F1B9" w14:textId="77777777" w:rsidR="002F5A66" w:rsidRDefault="00377C69">
      <w:pPr>
        <w:numPr>
          <w:ilvl w:val="0"/>
          <w:numId w:val="4"/>
        </w:numPr>
        <w:pBdr>
          <w:top w:val="nil"/>
          <w:left w:val="nil"/>
          <w:bottom w:val="nil"/>
          <w:right w:val="nil"/>
          <w:between w:val="nil"/>
        </w:pBdr>
        <w:spacing w:line="360" w:lineRule="auto"/>
        <w:ind w:left="426" w:right="332"/>
        <w:jc w:val="both"/>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Hace mención que la determinación de la Primera Sala no resuelve el fondo del presente asunto que es la renovación de concesión misma, al ser omiso en estudiar sus elementos de prueba exhibidos y la integridad de su demanda.</w:t>
      </w:r>
    </w:p>
    <w:p w14:paraId="4A17339A" w14:textId="77777777" w:rsidR="002F5A66" w:rsidRDefault="00377C69">
      <w:pPr>
        <w:numPr>
          <w:ilvl w:val="0"/>
          <w:numId w:val="4"/>
        </w:numPr>
        <w:pBdr>
          <w:top w:val="nil"/>
          <w:left w:val="nil"/>
          <w:bottom w:val="nil"/>
          <w:right w:val="nil"/>
          <w:between w:val="nil"/>
        </w:pBdr>
        <w:spacing w:line="360" w:lineRule="auto"/>
        <w:ind w:left="426" w:right="332"/>
        <w:jc w:val="both"/>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Señala que el argumento de la Primera Sala de Primera Instancia resulta infundado dado a que se expuso el motivo por el cual no se ingresó el original de su concesión, ya que refirió en su demanda que éste obra en la Secretaría de Movilidad del Estado de Oaxaca, y ahora ésta negando la existencia de ellos pese a exhibir acuses de la misma de recepción de trámite.</w:t>
      </w:r>
    </w:p>
    <w:p w14:paraId="77237C46" w14:textId="77777777" w:rsidR="002F5A66" w:rsidRDefault="00377C69">
      <w:pPr>
        <w:numPr>
          <w:ilvl w:val="0"/>
          <w:numId w:val="4"/>
        </w:numPr>
        <w:pBdr>
          <w:top w:val="nil"/>
          <w:left w:val="nil"/>
          <w:bottom w:val="nil"/>
          <w:right w:val="nil"/>
          <w:between w:val="nil"/>
        </w:pBdr>
        <w:spacing w:line="360" w:lineRule="auto"/>
        <w:ind w:left="426" w:right="332"/>
        <w:jc w:val="both"/>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 xml:space="preserve"> Refiere que la Secretaria de Contraloría del Estado de Oaxaca (hoy Secretaría de Honestidad, Transparencia y Función Pública del Poder Ejecutivo del Estado de Oaxaca )</w:t>
      </w:r>
      <w:r>
        <w:rPr>
          <w:rFonts w:ascii="Century Gothic" w:eastAsia="Century Gothic" w:hAnsi="Century Gothic" w:cs="Century Gothic"/>
          <w:b/>
          <w:color w:val="000000"/>
          <w:sz w:val="24"/>
          <w:szCs w:val="24"/>
        </w:rPr>
        <w:t xml:space="preserve"> </w:t>
      </w:r>
      <w:r>
        <w:rPr>
          <w:rFonts w:ascii="Century Gothic" w:eastAsia="Century Gothic" w:hAnsi="Century Gothic" w:cs="Century Gothic"/>
          <w:color w:val="000000"/>
          <w:sz w:val="24"/>
          <w:szCs w:val="24"/>
        </w:rPr>
        <w:t xml:space="preserve">realizó una auditoria en la Secretaria de Movilidad auditoria 17/SASO-B/2017 en la cual se observó y recabaron información sobre los trámites existentes, en el </w:t>
      </w:r>
      <w:r>
        <w:rPr>
          <w:rFonts w:ascii="Century Gothic" w:eastAsia="Century Gothic" w:hAnsi="Century Gothic" w:cs="Century Gothic"/>
          <w:color w:val="000000"/>
          <w:sz w:val="24"/>
          <w:szCs w:val="24"/>
        </w:rPr>
        <w:lastRenderedPageBreak/>
        <w:t>cual por el año de observación mi trámite ya estaba ingresado, y para que se corrobore su dicho que se le solicite a la Secretaria de Contraloría información respecto al folio-0932 de fecha seis de diciembre del año dos mil diecisiete, papeleta que dice que exhibió de igual forma en su demanda inicial,  siendo así que no se analizó la documentación exhibida y únicamente consideró la contestación por parte de la Secretaria de Movilidad.</w:t>
      </w:r>
    </w:p>
    <w:p w14:paraId="276387C3" w14:textId="77777777" w:rsidR="002F5A66" w:rsidRDefault="00377C69">
      <w:pPr>
        <w:spacing w:before="240" w:after="0" w:line="360" w:lineRule="auto"/>
        <w:ind w:firstLine="709"/>
        <w:jc w:val="both"/>
        <w:rPr>
          <w:rFonts w:ascii="Century Gothic" w:eastAsia="Century Gothic" w:hAnsi="Century Gothic" w:cs="Century Gothic"/>
          <w:sz w:val="24"/>
          <w:szCs w:val="24"/>
        </w:rPr>
      </w:pPr>
      <w:r>
        <w:rPr>
          <w:rFonts w:ascii="Century Gothic" w:eastAsia="Century Gothic" w:hAnsi="Century Gothic" w:cs="Century Gothic"/>
          <w:b/>
          <w:sz w:val="24"/>
          <w:szCs w:val="24"/>
        </w:rPr>
        <w:t>CUARTO. Estudio de los agravios</w:t>
      </w:r>
      <w:r>
        <w:rPr>
          <w:rFonts w:ascii="Century Gothic" w:eastAsia="Century Gothic" w:hAnsi="Century Gothic" w:cs="Century Gothic"/>
          <w:sz w:val="24"/>
          <w:szCs w:val="24"/>
        </w:rPr>
        <w:t>.</w:t>
      </w:r>
    </w:p>
    <w:p w14:paraId="305C00E8" w14:textId="77777777" w:rsidR="002F5A66" w:rsidRDefault="00377C69">
      <w:pPr>
        <w:spacing w:before="240" w:after="0" w:line="360" w:lineRule="auto"/>
        <w:ind w:firstLine="709"/>
        <w:jc w:val="both"/>
        <w:rPr>
          <w:rFonts w:ascii="Century Gothic" w:eastAsia="Century Gothic" w:hAnsi="Century Gothic" w:cs="Century Gothic"/>
          <w:sz w:val="24"/>
          <w:szCs w:val="24"/>
        </w:rPr>
      </w:pPr>
      <w:r>
        <w:rPr>
          <w:rFonts w:ascii="Century Gothic" w:eastAsia="Century Gothic" w:hAnsi="Century Gothic" w:cs="Century Gothic"/>
          <w:sz w:val="24"/>
          <w:szCs w:val="24"/>
        </w:rPr>
        <w:t>7.</w:t>
      </w:r>
      <w:r>
        <w:rPr>
          <w:rFonts w:ascii="Century Gothic" w:eastAsia="Century Gothic" w:hAnsi="Century Gothic" w:cs="Century Gothic"/>
          <w:b/>
          <w:sz w:val="24"/>
          <w:szCs w:val="24"/>
        </w:rPr>
        <w:t xml:space="preserve"> </w:t>
      </w:r>
      <w:r>
        <w:rPr>
          <w:rFonts w:ascii="Century Gothic" w:eastAsia="Century Gothic" w:hAnsi="Century Gothic" w:cs="Century Gothic"/>
          <w:sz w:val="24"/>
          <w:szCs w:val="24"/>
        </w:rPr>
        <w:t xml:space="preserve">Por razón de método, los agravios y contestación de los mismos, se efectuará por los incisos que se les asignaron ocupándose de todos los motivos de disenso, esto es, que no omita estudiar alguno, y al analizar éstos se resolverá sobre el fondo señalado de los mismos. - - - - - - - - - - - - - </w:t>
      </w:r>
    </w:p>
    <w:p w14:paraId="549B9F8B" w14:textId="77777777" w:rsidR="002F5A66" w:rsidRDefault="00377C69">
      <w:pPr>
        <w:numPr>
          <w:ilvl w:val="0"/>
          <w:numId w:val="1"/>
        </w:numPr>
        <w:pBdr>
          <w:top w:val="nil"/>
          <w:left w:val="nil"/>
          <w:bottom w:val="nil"/>
          <w:right w:val="nil"/>
          <w:between w:val="nil"/>
        </w:pBdr>
        <w:spacing w:before="240" w:line="360" w:lineRule="auto"/>
        <w:ind w:left="426" w:right="49"/>
        <w:jc w:val="both"/>
        <w:rPr>
          <w:rFonts w:ascii="Century Gothic" w:eastAsia="Century Gothic" w:hAnsi="Century Gothic" w:cs="Century Gothic"/>
          <w:b/>
          <w:color w:val="000000"/>
          <w:sz w:val="24"/>
          <w:szCs w:val="24"/>
        </w:rPr>
      </w:pPr>
      <w:r>
        <w:rPr>
          <w:rFonts w:ascii="Century Gothic" w:eastAsia="Century Gothic" w:hAnsi="Century Gothic" w:cs="Century Gothic"/>
          <w:b/>
          <w:color w:val="000000"/>
          <w:sz w:val="24"/>
          <w:szCs w:val="24"/>
        </w:rPr>
        <w:t xml:space="preserve">Agravio con el inciso A) </w:t>
      </w:r>
    </w:p>
    <w:p w14:paraId="71447A79" w14:textId="77777777" w:rsidR="002F5A66" w:rsidRDefault="00377C69">
      <w:pPr>
        <w:spacing w:before="240" w:after="0" w:line="360" w:lineRule="auto"/>
        <w:ind w:firstLine="709"/>
        <w:jc w:val="both"/>
        <w:rPr>
          <w:rFonts w:ascii="Century Gothic" w:eastAsia="Century Gothic" w:hAnsi="Century Gothic" w:cs="Century Gothic"/>
          <w:color w:val="000000"/>
          <w:sz w:val="24"/>
          <w:szCs w:val="24"/>
        </w:rPr>
      </w:pPr>
      <w:r>
        <w:rPr>
          <w:rFonts w:ascii="Century Gothic" w:eastAsia="Century Gothic" w:hAnsi="Century Gothic" w:cs="Century Gothic"/>
          <w:sz w:val="24"/>
          <w:szCs w:val="24"/>
        </w:rPr>
        <w:t xml:space="preserve">8. Del argumento previamente sintetizado, se puede llegar a la conclusión que el agravio hecho valer </w:t>
      </w:r>
      <w:r>
        <w:rPr>
          <w:rFonts w:ascii="Century Gothic" w:eastAsia="Century Gothic" w:hAnsi="Century Gothic" w:cs="Century Gothic"/>
          <w:b/>
          <w:sz w:val="24"/>
          <w:szCs w:val="24"/>
        </w:rPr>
        <w:t>es infundado</w:t>
      </w:r>
      <w:r>
        <w:rPr>
          <w:rFonts w:ascii="Century Gothic" w:eastAsia="Century Gothic" w:hAnsi="Century Gothic" w:cs="Century Gothic"/>
          <w:sz w:val="24"/>
          <w:szCs w:val="24"/>
        </w:rPr>
        <w:t xml:space="preserve"> en virtud que, al momento de resolver la sentencia, respecto al </w:t>
      </w:r>
      <w:r>
        <w:rPr>
          <w:rFonts w:ascii="Century Gothic" w:eastAsia="Century Gothic" w:hAnsi="Century Gothic" w:cs="Century Gothic"/>
          <w:color w:val="000000"/>
          <w:sz w:val="24"/>
          <w:szCs w:val="24"/>
        </w:rPr>
        <w:t>acuse de recibido de su escrito de veinticinco de septiembre de dos mil quince, la autoridad de primera instancia no omitió su valoración, por el contrario, le otorgó pleno valor probatorio e incluso refirió que la autoridad demandada no acreditó medio de convicción alguno de haber dado contestación al escrito presentado por la actora, como se observa de la transcripción literal que a continuación se plasmará:</w:t>
      </w:r>
    </w:p>
    <w:p w14:paraId="6B1B7222" w14:textId="77777777" w:rsidR="002F5A66" w:rsidRDefault="00377C69">
      <w:pPr>
        <w:spacing w:before="240" w:after="0" w:line="360" w:lineRule="auto"/>
        <w:ind w:left="567" w:right="618"/>
        <w:jc w:val="both"/>
        <w:rPr>
          <w:rFonts w:ascii="Century Gothic" w:eastAsia="Century Gothic" w:hAnsi="Century Gothic" w:cs="Century Gothic"/>
          <w:i/>
        </w:rPr>
      </w:pPr>
      <w:r>
        <w:rPr>
          <w:rFonts w:ascii="Century Gothic" w:eastAsia="Century Gothic" w:hAnsi="Century Gothic" w:cs="Century Gothic"/>
          <w:i/>
        </w:rPr>
        <w:t xml:space="preserve">“…En tales términos, de una lectura integral del expediente natural a rubro indicado, se advierte que la parte actora ofreció como prueba el escrito libre de fecha veinticinco de septiembre de dos mil quince, dirigido al Secretario de Vialidad y Transporte del Estado de Oaxaca donde solicitaba la renovación de una concesión determinada por acuerdo número 8699 misma que supuestamente vencería el día treinta de noviembre de dos mil quince y que obra a foja ocho del presente expediente, </w:t>
      </w:r>
      <w:r>
        <w:rPr>
          <w:rFonts w:ascii="Century Gothic" w:eastAsia="Century Gothic" w:hAnsi="Century Gothic" w:cs="Century Gothic"/>
          <w:b/>
          <w:i/>
          <w:u w:val="single"/>
        </w:rPr>
        <w:t>misma que tiene pleno valor probatorio</w:t>
      </w:r>
      <w:r>
        <w:rPr>
          <w:rFonts w:ascii="Century Gothic" w:eastAsia="Century Gothic" w:hAnsi="Century Gothic" w:cs="Century Gothic"/>
          <w:i/>
        </w:rPr>
        <w:t xml:space="preserve"> en términos del artículo 203 fracción I de la Ley que rige este Tribunal.</w:t>
      </w:r>
    </w:p>
    <w:p w14:paraId="16F67E10" w14:textId="77777777" w:rsidR="002F5A66" w:rsidRDefault="00377C69">
      <w:pPr>
        <w:spacing w:before="240" w:after="0" w:line="360" w:lineRule="auto"/>
        <w:ind w:left="567" w:right="618" w:firstLine="709"/>
        <w:jc w:val="both"/>
        <w:rPr>
          <w:rFonts w:ascii="Century Gothic" w:eastAsia="Century Gothic" w:hAnsi="Century Gothic" w:cs="Century Gothic"/>
          <w:sz w:val="24"/>
          <w:szCs w:val="24"/>
        </w:rPr>
      </w:pPr>
      <w:r>
        <w:rPr>
          <w:rFonts w:ascii="Century Gothic" w:eastAsia="Century Gothic" w:hAnsi="Century Gothic" w:cs="Century Gothic"/>
          <w:i/>
        </w:rPr>
        <w:t xml:space="preserve">Ahora, </w:t>
      </w:r>
      <w:r>
        <w:rPr>
          <w:rFonts w:ascii="Century Gothic" w:eastAsia="Century Gothic" w:hAnsi="Century Gothic" w:cs="Century Gothic"/>
          <w:b/>
          <w:i/>
        </w:rPr>
        <w:t>la autoridad demandada</w:t>
      </w:r>
      <w:r>
        <w:rPr>
          <w:rFonts w:ascii="Century Gothic" w:eastAsia="Century Gothic" w:hAnsi="Century Gothic" w:cs="Century Gothic"/>
          <w:i/>
        </w:rPr>
        <w:t xml:space="preserve"> </w:t>
      </w:r>
      <w:r>
        <w:rPr>
          <w:rFonts w:ascii="Century Gothic" w:eastAsia="Century Gothic" w:hAnsi="Century Gothic" w:cs="Century Gothic"/>
          <w:b/>
          <w:i/>
          <w:u w:val="single"/>
        </w:rPr>
        <w:t>NO ACREDITA MEDIANTE MEDIO DE CONVICCIÓN ALGUNO haber dado contestación al escrito presentado por la parte actora el día veinticinco de septiembre de dos mil quince</w:t>
      </w:r>
      <w:r>
        <w:rPr>
          <w:rFonts w:ascii="Century Gothic" w:eastAsia="Century Gothic" w:hAnsi="Century Gothic" w:cs="Century Gothic"/>
          <w:i/>
        </w:rPr>
        <w:t xml:space="preserve">, a cuyo acuse de presentación se le concede pleno valor probatorio, pues contrario a la objeción realizada por la </w:t>
      </w:r>
      <w:r>
        <w:rPr>
          <w:rFonts w:ascii="Century Gothic" w:eastAsia="Century Gothic" w:hAnsi="Century Gothic" w:cs="Century Gothic"/>
          <w:i/>
        </w:rPr>
        <w:lastRenderedPageBreak/>
        <w:t>autoridad demandada</w:t>
      </w:r>
      <w:r>
        <w:rPr>
          <w:rFonts w:ascii="Century Gothic" w:eastAsia="Century Gothic" w:hAnsi="Century Gothic" w:cs="Century Gothic"/>
          <w:b/>
          <w:i/>
          <w:u w:val="single"/>
        </w:rPr>
        <w:t>, se advierte que el sello obra en original y que pertenece a la Secretaría de Vialidad y Transporte concretamente al departamento de Concesiones y Prórrogas</w:t>
      </w:r>
      <w:r>
        <w:rPr>
          <w:rFonts w:ascii="Century Gothic" w:eastAsia="Century Gothic" w:hAnsi="Century Gothic" w:cs="Century Gothic"/>
          <w:sz w:val="24"/>
          <w:szCs w:val="24"/>
        </w:rPr>
        <w:t>…”</w:t>
      </w:r>
    </w:p>
    <w:p w14:paraId="094EDB19" w14:textId="77777777" w:rsidR="002F5A66" w:rsidRDefault="00377C69">
      <w:pPr>
        <w:spacing w:before="240" w:after="0" w:line="360" w:lineRule="auto"/>
        <w:ind w:firstLine="709"/>
        <w:jc w:val="both"/>
        <w:rPr>
          <w:rFonts w:ascii="Century Gothic" w:eastAsia="Century Gothic" w:hAnsi="Century Gothic" w:cs="Century Gothic"/>
          <w:b/>
          <w:i/>
        </w:rPr>
      </w:pPr>
      <w:r>
        <w:rPr>
          <w:rFonts w:ascii="Century Gothic" w:eastAsia="Century Gothic" w:hAnsi="Century Gothic" w:cs="Century Gothic"/>
          <w:sz w:val="24"/>
          <w:szCs w:val="24"/>
        </w:rPr>
        <w:t>9. Para mayor abundamiento, debe resaltarse que el propósito de la resolución negativa ficta, es resolver la situación de incertidumbre jurídica provocada por la falta de respuesta de la autoridad.</w:t>
      </w:r>
    </w:p>
    <w:p w14:paraId="3137F2CC" w14:textId="7A9BBF5A" w:rsidR="002F5A66" w:rsidRDefault="00377C69">
      <w:pPr>
        <w:spacing w:before="120" w:after="0" w:line="360" w:lineRule="auto"/>
        <w:ind w:right="51" w:firstLine="709"/>
        <w:jc w:val="both"/>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10. Por lo tanto, del análisis a las constancias que integran el expediente que nos ocupa, que cuentan con </w:t>
      </w:r>
      <w:r>
        <w:rPr>
          <w:rFonts w:ascii="Century Gothic" w:eastAsia="Century Gothic" w:hAnsi="Century Gothic" w:cs="Century Gothic"/>
          <w:color w:val="000000"/>
          <w:sz w:val="24"/>
          <w:szCs w:val="24"/>
        </w:rPr>
        <w:t>pleno valor probatorio conforme lo establece el artículo 203, fracción I</w:t>
      </w:r>
      <w:r>
        <w:rPr>
          <w:rFonts w:ascii="Century Gothic" w:eastAsia="Century Gothic" w:hAnsi="Century Gothic" w:cs="Century Gothic"/>
          <w:color w:val="000000"/>
          <w:sz w:val="24"/>
          <w:szCs w:val="24"/>
          <w:vertAlign w:val="superscript"/>
        </w:rPr>
        <w:footnoteReference w:id="3"/>
      </w:r>
      <w:r>
        <w:rPr>
          <w:rFonts w:ascii="Century Gothic" w:eastAsia="Century Gothic" w:hAnsi="Century Gothic" w:cs="Century Gothic"/>
          <w:color w:val="000000"/>
          <w:sz w:val="24"/>
          <w:szCs w:val="24"/>
        </w:rPr>
        <w:t xml:space="preserve"> de la Ley de Procedimiento, en especial de la </w:t>
      </w:r>
      <w:r>
        <w:rPr>
          <w:rFonts w:ascii="Century Gothic" w:eastAsia="Century Gothic" w:hAnsi="Century Gothic" w:cs="Century Gothic"/>
          <w:sz w:val="24"/>
          <w:szCs w:val="24"/>
        </w:rPr>
        <w:t>sentencia de cinco de diciembre de dos mil veintidós, se obtiene, que la resolutora de Primera Instancia, acreditó la falta de respuesta a la petición de</w:t>
      </w:r>
      <w:r w:rsidR="00074FC3">
        <w:rPr>
          <w:rFonts w:ascii="Century Gothic" w:eastAsia="Century Gothic" w:hAnsi="Century Gothic" w:cs="Century Gothic"/>
          <w:sz w:val="24"/>
          <w:szCs w:val="24"/>
        </w:rPr>
        <w:t xml:space="preserve"> </w:t>
      </w:r>
      <w:r w:rsidR="00074FC3">
        <w:rPr>
          <w:rFonts w:ascii="Century Gothic" w:eastAsia="Century Gothic" w:hAnsi="Century Gothic" w:cs="Century Gothic"/>
          <w:bCs/>
          <w:sz w:val="24"/>
          <w:szCs w:val="24"/>
        </w:rPr>
        <w:t>**********</w:t>
      </w:r>
      <w:r>
        <w:rPr>
          <w:rFonts w:ascii="Century Gothic" w:eastAsia="Century Gothic" w:hAnsi="Century Gothic" w:cs="Century Gothic"/>
          <w:sz w:val="24"/>
          <w:szCs w:val="24"/>
        </w:rPr>
        <w:t>, y por ende la negativa ficta.</w:t>
      </w:r>
    </w:p>
    <w:p w14:paraId="4A6A5619" w14:textId="77777777" w:rsidR="002F5A66" w:rsidRDefault="00377C69">
      <w:pPr>
        <w:numPr>
          <w:ilvl w:val="0"/>
          <w:numId w:val="1"/>
        </w:numPr>
        <w:pBdr>
          <w:top w:val="nil"/>
          <w:left w:val="nil"/>
          <w:bottom w:val="nil"/>
          <w:right w:val="nil"/>
          <w:between w:val="nil"/>
        </w:pBdr>
        <w:spacing w:before="240" w:after="0" w:line="360" w:lineRule="auto"/>
        <w:ind w:left="567"/>
        <w:jc w:val="both"/>
        <w:rPr>
          <w:rFonts w:ascii="Century Gothic" w:eastAsia="Century Gothic" w:hAnsi="Century Gothic" w:cs="Century Gothic"/>
          <w:b/>
          <w:color w:val="000000"/>
          <w:sz w:val="24"/>
          <w:szCs w:val="24"/>
        </w:rPr>
      </w:pPr>
      <w:r>
        <w:rPr>
          <w:rFonts w:ascii="Century Gothic" w:eastAsia="Century Gothic" w:hAnsi="Century Gothic" w:cs="Century Gothic"/>
          <w:b/>
          <w:color w:val="000000"/>
          <w:sz w:val="24"/>
          <w:szCs w:val="24"/>
        </w:rPr>
        <w:t xml:space="preserve">Agravio con el inciso B) </w:t>
      </w:r>
    </w:p>
    <w:p w14:paraId="6C75DCB0" w14:textId="77777777" w:rsidR="002F5A66" w:rsidRDefault="00377C69">
      <w:pPr>
        <w:spacing w:before="240" w:after="0" w:line="360" w:lineRule="auto"/>
        <w:ind w:firstLine="709"/>
        <w:jc w:val="both"/>
        <w:rPr>
          <w:rFonts w:ascii="Century Gothic" w:eastAsia="Century Gothic" w:hAnsi="Century Gothic" w:cs="Century Gothic"/>
          <w:sz w:val="24"/>
          <w:szCs w:val="24"/>
        </w:rPr>
      </w:pPr>
      <w:r>
        <w:rPr>
          <w:rFonts w:ascii="Century Gothic" w:eastAsia="Century Gothic" w:hAnsi="Century Gothic" w:cs="Century Gothic"/>
          <w:sz w:val="24"/>
          <w:szCs w:val="24"/>
        </w:rPr>
        <w:t>11. Manifiesta que la determinación de la Primera Sala no resuelve el fondo del presente asunto que es la renovación de concesión misma, al ser omiso en estudiar sus elementos de prueba exhibidos y la integridad de su demanda.</w:t>
      </w:r>
    </w:p>
    <w:p w14:paraId="00A04374" w14:textId="77777777" w:rsidR="002F5A66" w:rsidRDefault="00377C69">
      <w:pPr>
        <w:spacing w:before="240" w:after="0" w:line="360" w:lineRule="auto"/>
        <w:ind w:firstLine="709"/>
        <w:jc w:val="both"/>
        <w:rPr>
          <w:rFonts w:ascii="Century Gothic" w:eastAsia="Century Gothic" w:hAnsi="Century Gothic" w:cs="Century Gothic"/>
          <w:color w:val="000000"/>
          <w:sz w:val="24"/>
          <w:szCs w:val="24"/>
        </w:rPr>
      </w:pPr>
      <w:r>
        <w:rPr>
          <w:rFonts w:ascii="Century Gothic" w:eastAsia="Century Gothic" w:hAnsi="Century Gothic" w:cs="Century Gothic"/>
          <w:sz w:val="24"/>
          <w:szCs w:val="24"/>
        </w:rPr>
        <w:t xml:space="preserve">12. De lo expuesto en su argumento, debe decírsele que el agravio hecho valer </w:t>
      </w:r>
      <w:r>
        <w:rPr>
          <w:rFonts w:ascii="Century Gothic" w:eastAsia="Century Gothic" w:hAnsi="Century Gothic" w:cs="Century Gothic"/>
          <w:b/>
          <w:sz w:val="24"/>
          <w:szCs w:val="24"/>
        </w:rPr>
        <w:t xml:space="preserve">es </w:t>
      </w:r>
      <w:r>
        <w:rPr>
          <w:rFonts w:ascii="Century Gothic" w:eastAsia="Century Gothic" w:hAnsi="Century Gothic" w:cs="Century Gothic"/>
          <w:b/>
          <w:color w:val="000000"/>
          <w:sz w:val="24"/>
          <w:szCs w:val="24"/>
        </w:rPr>
        <w:t>inoperante por deficiente</w:t>
      </w:r>
      <w:r>
        <w:rPr>
          <w:rFonts w:ascii="Century Gothic" w:eastAsia="Century Gothic" w:hAnsi="Century Gothic" w:cs="Century Gothic"/>
          <w:color w:val="000000"/>
          <w:sz w:val="24"/>
          <w:szCs w:val="24"/>
        </w:rPr>
        <w:t>, al no precisar el alcance probatorio de las pruebas cuya valoración se alega fueron omitidas de estudio, y, en tal virtud, determinar si la sentencia recurrida es ilegal o no; de tal suerte que los agravios expresados que no reunieron los mencionados requisitos</w:t>
      </w:r>
      <w:r>
        <w:rPr>
          <w:rFonts w:ascii="Century Gothic" w:eastAsia="Century Gothic" w:hAnsi="Century Gothic" w:cs="Century Gothic"/>
          <w:color w:val="000000"/>
          <w:sz w:val="24"/>
          <w:szCs w:val="24"/>
          <w:vertAlign w:val="superscript"/>
        </w:rPr>
        <w:footnoteReference w:id="4"/>
      </w:r>
      <w:r>
        <w:rPr>
          <w:rFonts w:ascii="Century Gothic" w:eastAsia="Century Gothic" w:hAnsi="Century Gothic" w:cs="Century Gothic"/>
          <w:color w:val="000000"/>
          <w:sz w:val="24"/>
          <w:szCs w:val="24"/>
        </w:rPr>
        <w:t>, además de no motivar su agravio con argumentos lógico-jurídicos tendientes a demostrar la contraposición de la determinación que se impugna, ya que lo único que reitera es lo hechos que plasmó en su demanda y que esto le causa una afectación.</w:t>
      </w:r>
    </w:p>
    <w:p w14:paraId="1F4861D4" w14:textId="77777777" w:rsidR="002F5A66" w:rsidRDefault="00377C69">
      <w:pPr>
        <w:numPr>
          <w:ilvl w:val="0"/>
          <w:numId w:val="1"/>
        </w:numPr>
        <w:pBdr>
          <w:top w:val="nil"/>
          <w:left w:val="nil"/>
          <w:bottom w:val="nil"/>
          <w:right w:val="nil"/>
          <w:between w:val="nil"/>
        </w:pBdr>
        <w:spacing w:before="240" w:after="0" w:line="360" w:lineRule="auto"/>
        <w:ind w:left="567"/>
        <w:jc w:val="both"/>
        <w:rPr>
          <w:rFonts w:ascii="Century Gothic" w:eastAsia="Century Gothic" w:hAnsi="Century Gothic" w:cs="Century Gothic"/>
          <w:b/>
          <w:color w:val="000000"/>
          <w:sz w:val="24"/>
          <w:szCs w:val="24"/>
        </w:rPr>
      </w:pPr>
      <w:r>
        <w:rPr>
          <w:rFonts w:ascii="Century Gothic" w:eastAsia="Century Gothic" w:hAnsi="Century Gothic" w:cs="Century Gothic"/>
          <w:b/>
          <w:color w:val="000000"/>
          <w:sz w:val="24"/>
          <w:szCs w:val="24"/>
        </w:rPr>
        <w:t xml:space="preserve">Agravio con el inciso C) </w:t>
      </w:r>
    </w:p>
    <w:p w14:paraId="36DDCDB2" w14:textId="77777777" w:rsidR="002F5A66" w:rsidRDefault="00377C69">
      <w:pPr>
        <w:spacing w:before="240" w:after="0" w:line="360" w:lineRule="auto"/>
        <w:ind w:firstLine="709"/>
        <w:jc w:val="both"/>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lastRenderedPageBreak/>
        <w:t>13. Señala que el argumento de la Primera Sala de Primera Instancia resulta infundado, dado a que se expuso el motivo por el cual no se ingresó el original de su concesión, ya que refirió en su demanda que éste obra en la Secretaría de Movilidad del Estado de Oaxaca, y ahora ésta negando la existencia de ellos pese a exhibir acuses de la misma de recepción de trámite y sólo se basó en la contestación que dio la autoridad demandada.</w:t>
      </w:r>
    </w:p>
    <w:p w14:paraId="7628F62C" w14:textId="5E4B9838" w:rsidR="002F5A66" w:rsidRDefault="00377C69">
      <w:pPr>
        <w:spacing w:before="240" w:after="0" w:line="360" w:lineRule="auto"/>
        <w:ind w:firstLine="709"/>
        <w:jc w:val="both"/>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 xml:space="preserve">14. De esta pretensión, debe decírsele que el resolutor estuvo lo correcto ya que, al momento de entrar al estudio de la procedencia de la renovación de la concesión, ya que del contenido se observa que señaló que la parte actora ofreció en copia simple el acuerdo de concesión </w:t>
      </w:r>
      <w:r w:rsidR="00877C43">
        <w:rPr>
          <w:rFonts w:ascii="Century Gothic" w:eastAsia="Century Gothic" w:hAnsi="Century Gothic" w:cs="Century Gothic"/>
          <w:bCs/>
          <w:sz w:val="24"/>
          <w:szCs w:val="24"/>
        </w:rPr>
        <w:t>**********</w:t>
      </w:r>
      <w:r>
        <w:rPr>
          <w:rFonts w:ascii="Century Gothic" w:eastAsia="Century Gothic" w:hAnsi="Century Gothic" w:cs="Century Gothic"/>
          <w:color w:val="000000"/>
          <w:sz w:val="24"/>
          <w:szCs w:val="24"/>
        </w:rPr>
        <w:t xml:space="preserve"> de fecha treinta de noviembre de dos mil diez, a la cual le otorgó valor probatorio indiciario, en virtud, que las copias simples carecen de pleno, al no tener la certeza de que realmente no sean documentos prefabricados.</w:t>
      </w:r>
    </w:p>
    <w:p w14:paraId="1C78E9AD" w14:textId="3BDA039E" w:rsidR="002F5A66" w:rsidRDefault="00377C69">
      <w:pPr>
        <w:spacing w:before="240" w:after="0" w:line="360" w:lineRule="auto"/>
        <w:ind w:firstLine="709"/>
        <w:jc w:val="both"/>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 xml:space="preserve">15. Ahora bien, no con referir que la Secretaría de Movilidad del Estado de Oaxaca los tiene, se da certeza que realmente se diga la verdad, máxime que no se exhibió acuse de documento en el que se haya realizado la entrega del original de la concesión </w:t>
      </w:r>
      <w:r w:rsidR="00877C43">
        <w:rPr>
          <w:rFonts w:ascii="Century Gothic" w:eastAsia="Century Gothic" w:hAnsi="Century Gothic" w:cs="Century Gothic"/>
          <w:bCs/>
          <w:sz w:val="24"/>
          <w:szCs w:val="24"/>
        </w:rPr>
        <w:t>**********</w:t>
      </w:r>
      <w:r>
        <w:rPr>
          <w:rFonts w:ascii="Century Gothic" w:eastAsia="Century Gothic" w:hAnsi="Century Gothic" w:cs="Century Gothic"/>
          <w:color w:val="000000"/>
          <w:sz w:val="24"/>
          <w:szCs w:val="24"/>
        </w:rPr>
        <w:t xml:space="preserve"> de treinta de noviembre de dos mil diez o en el que haya sido anexado como documento expresamente a la autoridad demandada. </w:t>
      </w:r>
    </w:p>
    <w:p w14:paraId="65A956B4" w14:textId="3BB234F2" w:rsidR="002F5A66" w:rsidRDefault="00377C69">
      <w:pPr>
        <w:spacing w:before="240" w:after="0" w:line="360" w:lineRule="auto"/>
        <w:ind w:firstLine="709"/>
        <w:jc w:val="both"/>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16. Máxime que también la Primera Instancia hizo referencia en la sentencia que, la parte demandada objetó el valor probatorio de la prueba ofrecida por</w:t>
      </w:r>
      <w:r w:rsidR="00074FC3">
        <w:rPr>
          <w:rFonts w:ascii="Century Gothic" w:eastAsia="Century Gothic" w:hAnsi="Century Gothic" w:cs="Century Gothic"/>
          <w:color w:val="000000"/>
          <w:sz w:val="24"/>
          <w:szCs w:val="24"/>
        </w:rPr>
        <w:t xml:space="preserve"> </w:t>
      </w:r>
      <w:r w:rsidR="00074FC3">
        <w:rPr>
          <w:rFonts w:ascii="Century Gothic" w:eastAsia="Century Gothic" w:hAnsi="Century Gothic" w:cs="Century Gothic"/>
          <w:bCs/>
          <w:sz w:val="24"/>
          <w:szCs w:val="24"/>
        </w:rPr>
        <w:t>**********</w:t>
      </w:r>
      <w:r>
        <w:rPr>
          <w:rFonts w:ascii="Century Gothic" w:eastAsia="Century Gothic" w:hAnsi="Century Gothic" w:cs="Century Gothic"/>
          <w:color w:val="000000"/>
          <w:sz w:val="24"/>
          <w:szCs w:val="24"/>
        </w:rPr>
        <w:t>, para acreditar que fuera titular de una concesión, y siendo que la parte actora no justifica por medio de convicción alguno que realmente fuera titular de una concesión en los términos que menciona, ni amplió su demanda pese a haber sido notificada oportunamente respecto a ese derecho, siendo esto verdadero, ya que de la lectura de las constancias no se observa que haya controvertido dicha objeción, si tuvo conocimiento de esto cuando se le corrió traslado de la contestación por parte de la autoridad demandada.</w:t>
      </w:r>
    </w:p>
    <w:p w14:paraId="2C7034D2" w14:textId="77777777" w:rsidR="002F5A66" w:rsidRDefault="00377C69">
      <w:pPr>
        <w:spacing w:before="240" w:after="0" w:line="360" w:lineRule="auto"/>
        <w:ind w:firstLine="709"/>
        <w:jc w:val="both"/>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 xml:space="preserve">17. Por todo lo que antecede y a razón de que no se tiene alguna probanza que demuestre que la resolutora erró al momento de efectuar su criterio al momento de valorar dicha probanza, respecto de no tener </w:t>
      </w:r>
      <w:r>
        <w:rPr>
          <w:rFonts w:ascii="Century Gothic" w:eastAsia="Century Gothic" w:hAnsi="Century Gothic" w:cs="Century Gothic"/>
          <w:color w:val="000000"/>
          <w:sz w:val="24"/>
          <w:szCs w:val="24"/>
        </w:rPr>
        <w:lastRenderedPageBreak/>
        <w:t>por acreditada la titularidad del derecho de concesión que se solicita; este agravio resultó infundado.</w:t>
      </w:r>
    </w:p>
    <w:p w14:paraId="67A738AC" w14:textId="77777777" w:rsidR="002F5A66" w:rsidRDefault="00377C69">
      <w:pPr>
        <w:numPr>
          <w:ilvl w:val="0"/>
          <w:numId w:val="1"/>
        </w:numPr>
        <w:pBdr>
          <w:top w:val="nil"/>
          <w:left w:val="nil"/>
          <w:bottom w:val="nil"/>
          <w:right w:val="nil"/>
          <w:between w:val="nil"/>
        </w:pBdr>
        <w:spacing w:before="240" w:after="0" w:line="360" w:lineRule="auto"/>
        <w:ind w:left="567"/>
        <w:jc w:val="both"/>
        <w:rPr>
          <w:rFonts w:ascii="Century Gothic" w:eastAsia="Century Gothic" w:hAnsi="Century Gothic" w:cs="Century Gothic"/>
          <w:b/>
          <w:color w:val="000000"/>
          <w:sz w:val="24"/>
          <w:szCs w:val="24"/>
        </w:rPr>
      </w:pPr>
      <w:r>
        <w:rPr>
          <w:rFonts w:ascii="Century Gothic" w:eastAsia="Century Gothic" w:hAnsi="Century Gothic" w:cs="Century Gothic"/>
          <w:b/>
          <w:color w:val="000000"/>
          <w:sz w:val="24"/>
          <w:szCs w:val="24"/>
        </w:rPr>
        <w:t xml:space="preserve">Agravio con el inciso D) </w:t>
      </w:r>
    </w:p>
    <w:p w14:paraId="15361D44" w14:textId="77777777" w:rsidR="002F5A66" w:rsidRDefault="00377C69">
      <w:pPr>
        <w:spacing w:before="240" w:after="0" w:line="360" w:lineRule="auto"/>
        <w:ind w:firstLine="709"/>
        <w:jc w:val="both"/>
        <w:rPr>
          <w:rFonts w:ascii="Century Gothic" w:eastAsia="Century Gothic" w:hAnsi="Century Gothic" w:cs="Century Gothic"/>
          <w:sz w:val="24"/>
          <w:szCs w:val="24"/>
        </w:rPr>
      </w:pPr>
      <w:r>
        <w:rPr>
          <w:rFonts w:ascii="Century Gothic" w:eastAsia="Century Gothic" w:hAnsi="Century Gothic" w:cs="Century Gothic"/>
          <w:sz w:val="24"/>
          <w:szCs w:val="24"/>
        </w:rPr>
        <w:t>18. Refiere que la Secretaria de Contraloría del Estado de Oaxaca (hoy Secretaría de Honestidad, Transparencia y Función Pública del Poder Ejecutivo del Estado de Oaxaca )</w:t>
      </w:r>
      <w:r>
        <w:rPr>
          <w:rFonts w:ascii="Century Gothic" w:eastAsia="Century Gothic" w:hAnsi="Century Gothic" w:cs="Century Gothic"/>
          <w:b/>
          <w:sz w:val="24"/>
          <w:szCs w:val="24"/>
        </w:rPr>
        <w:t xml:space="preserve"> </w:t>
      </w:r>
      <w:r>
        <w:rPr>
          <w:rFonts w:ascii="Century Gothic" w:eastAsia="Century Gothic" w:hAnsi="Century Gothic" w:cs="Century Gothic"/>
          <w:sz w:val="24"/>
          <w:szCs w:val="24"/>
        </w:rPr>
        <w:t>realizó una auditoria en la Secretaria de Movilidad auditoria 17/SASO-B/2017 en la cual se observó y recabaron información sobre los trámites existentes, en el cual por el año de observación mi trámite ya estaba ingresado, y para que se corrobore su dicho que se le solicite a la Secretaria de Contraloría información respecto al folio-0932 de fecha seis de diciembre del año dos mil diecisiete, papeleta que dice que exhibió de igual forma en su demanda inicial,  siendo así que no se analizó la documentación exhibida y únicamente consideró la contestación por parte de la Secretaria de Movilidad.</w:t>
      </w:r>
    </w:p>
    <w:p w14:paraId="580D7A11" w14:textId="77777777" w:rsidR="002F5A66" w:rsidRDefault="00377C69">
      <w:pPr>
        <w:spacing w:before="240" w:after="0" w:line="360" w:lineRule="auto"/>
        <w:ind w:firstLine="709"/>
        <w:jc w:val="both"/>
        <w:rPr>
          <w:rFonts w:ascii="Century Gothic" w:eastAsia="Century Gothic" w:hAnsi="Century Gothic" w:cs="Century Gothic"/>
          <w:color w:val="000000"/>
          <w:sz w:val="24"/>
          <w:szCs w:val="24"/>
        </w:rPr>
      </w:pPr>
      <w:r>
        <w:rPr>
          <w:rFonts w:ascii="Century Gothic" w:eastAsia="Century Gothic" w:hAnsi="Century Gothic" w:cs="Century Gothic"/>
          <w:sz w:val="24"/>
          <w:szCs w:val="24"/>
        </w:rPr>
        <w:t xml:space="preserve">19. Sobre de esta pretensión, en primer lugar, no puede considerarse un agravio, en virtud que solicita que este Colegiado le recabe a la Secretaría de Contraloría información respecto al folio-0932 de fecha seis de diciembre del año dos mil diecisiete, para acreditar su dicho; no obstante, en ningún momento de su demanda hizo referencia de la existencia de dicha probanza, ni tampoco obra en la misma la solicitud o acuse </w:t>
      </w:r>
      <w:r>
        <w:rPr>
          <w:rFonts w:ascii="Century Gothic" w:eastAsia="Century Gothic" w:hAnsi="Century Gothic" w:cs="Century Gothic"/>
          <w:color w:val="000000"/>
          <w:sz w:val="24"/>
          <w:szCs w:val="24"/>
        </w:rPr>
        <w:t>por escrito de recibido por la autoridad que dice lo tienen bajo su resguardo, en el que coste que lo solicitó.</w:t>
      </w:r>
    </w:p>
    <w:p w14:paraId="1810B924" w14:textId="77777777" w:rsidR="002F5A66" w:rsidRDefault="00377C69">
      <w:pPr>
        <w:spacing w:before="240" w:after="0" w:line="360" w:lineRule="auto"/>
        <w:ind w:firstLine="709"/>
        <w:jc w:val="both"/>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20. Aunado a lo que antecede, aun y cuando no fue exhibida ni anunciada en su demanda; ya pasó el momento procesal oportuno para haberla integrado al juicio, en virtud que pudo haberla solicitado para refutar lo manifestado por la autoridad demandada cuando se le corrió traslado de la contestación y, sin embargo, de la lectura de las constancias se observa que fue omisa.</w:t>
      </w:r>
    </w:p>
    <w:p w14:paraId="56B92F81" w14:textId="196056AF" w:rsidR="00740B61" w:rsidRDefault="00377C69" w:rsidP="00740B61">
      <w:pPr>
        <w:spacing w:before="240" w:after="0" w:line="360" w:lineRule="auto"/>
        <w:ind w:firstLine="709"/>
        <w:jc w:val="both"/>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21. Por tal, motivo al no ser existir contraposición de la determinación que se impugna, con las manifestaciones vertidas en vía de agravio, resulta ser infundado esta parte de su agravio.</w:t>
      </w:r>
    </w:p>
    <w:p w14:paraId="45F0C480" w14:textId="77777777" w:rsidR="002F5A66" w:rsidRDefault="00377C69">
      <w:pPr>
        <w:numPr>
          <w:ilvl w:val="0"/>
          <w:numId w:val="1"/>
        </w:numPr>
        <w:pBdr>
          <w:top w:val="nil"/>
          <w:left w:val="nil"/>
          <w:bottom w:val="nil"/>
          <w:right w:val="nil"/>
          <w:between w:val="nil"/>
        </w:pBdr>
        <w:spacing w:before="240" w:after="0" w:line="360" w:lineRule="auto"/>
        <w:ind w:left="284"/>
        <w:jc w:val="both"/>
        <w:rPr>
          <w:rFonts w:ascii="Century Gothic" w:eastAsia="Century Gothic" w:hAnsi="Century Gothic" w:cs="Century Gothic"/>
          <w:color w:val="000000"/>
          <w:sz w:val="24"/>
          <w:szCs w:val="24"/>
        </w:rPr>
      </w:pPr>
      <w:r>
        <w:rPr>
          <w:rFonts w:ascii="Century Gothic" w:eastAsia="Century Gothic" w:hAnsi="Century Gothic" w:cs="Century Gothic"/>
          <w:b/>
          <w:color w:val="000000"/>
          <w:sz w:val="24"/>
          <w:szCs w:val="24"/>
        </w:rPr>
        <w:t>Contestación de agravios hecha por la autoridad demandada</w:t>
      </w:r>
    </w:p>
    <w:p w14:paraId="40AF2C74" w14:textId="491BCE80" w:rsidR="002F5A66" w:rsidRDefault="00377C69">
      <w:pPr>
        <w:spacing w:before="240" w:after="0" w:line="360" w:lineRule="auto"/>
        <w:ind w:firstLine="709"/>
        <w:jc w:val="both"/>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22. Finalmente respecto de la contestación,</w:t>
      </w:r>
      <w:r>
        <w:rPr>
          <w:rFonts w:ascii="Century Gothic" w:eastAsia="Century Gothic" w:hAnsi="Century Gothic" w:cs="Century Gothic"/>
          <w:b/>
          <w:color w:val="000000"/>
          <w:sz w:val="24"/>
          <w:szCs w:val="24"/>
        </w:rPr>
        <w:t xml:space="preserve"> </w:t>
      </w:r>
      <w:r>
        <w:rPr>
          <w:rFonts w:ascii="Century Gothic" w:eastAsia="Century Gothic" w:hAnsi="Century Gothic" w:cs="Century Gothic"/>
          <w:color w:val="000000"/>
          <w:sz w:val="24"/>
          <w:szCs w:val="24"/>
        </w:rPr>
        <w:t xml:space="preserve">debe decírsele que fueron leídos y tomados en consideración por esta alzada, únicamente respecto a las pretensiones señaladas por la recurrente en sus agravios, </w:t>
      </w:r>
      <w:r>
        <w:rPr>
          <w:rFonts w:ascii="Century Gothic" w:eastAsia="Century Gothic" w:hAnsi="Century Gothic" w:cs="Century Gothic"/>
          <w:color w:val="000000"/>
          <w:sz w:val="24"/>
          <w:szCs w:val="24"/>
        </w:rPr>
        <w:lastRenderedPageBreak/>
        <w:t>más no sobre cuestiones no alegadas por la misma; en virtud que se observa que solicitaba dicha autoridad se modificaran parte de la sentencia que no fue objetada por</w:t>
      </w:r>
      <w:r w:rsidR="00074FC3">
        <w:rPr>
          <w:rFonts w:ascii="Century Gothic" w:eastAsia="Century Gothic" w:hAnsi="Century Gothic" w:cs="Century Gothic"/>
          <w:color w:val="000000"/>
          <w:sz w:val="24"/>
          <w:szCs w:val="24"/>
        </w:rPr>
        <w:t xml:space="preserve"> </w:t>
      </w:r>
      <w:r w:rsidR="00074FC3">
        <w:rPr>
          <w:rFonts w:ascii="Century Gothic" w:eastAsia="Century Gothic" w:hAnsi="Century Gothic" w:cs="Century Gothic"/>
          <w:bCs/>
          <w:sz w:val="24"/>
          <w:szCs w:val="24"/>
        </w:rPr>
        <w:t>**********</w:t>
      </w:r>
      <w:r>
        <w:rPr>
          <w:rFonts w:ascii="Century Gothic" w:eastAsia="Century Gothic" w:hAnsi="Century Gothic" w:cs="Century Gothic"/>
          <w:color w:val="000000"/>
          <w:sz w:val="24"/>
          <w:szCs w:val="24"/>
        </w:rPr>
        <w:t xml:space="preserve">, por ende, respecto de ellas </w:t>
      </w:r>
      <w:r>
        <w:rPr>
          <w:rFonts w:ascii="Century Gothic" w:eastAsia="Century Gothic" w:hAnsi="Century Gothic" w:cs="Century Gothic"/>
          <w:sz w:val="24"/>
          <w:szCs w:val="24"/>
        </w:rPr>
        <w:t>no pueden ser materia de análisis, ya que su planteamiento no tienen relación con el contenido toral de lo recurrido; y en virtud que esta autoridad determinó que fueron infundadas las pretensiones hechas valer en los agravios presentados por parte de la recurrente, no existe alguna circunstancia que perjudique a dicha autoridad con lo resuelto en la presente determinación.</w:t>
      </w:r>
    </w:p>
    <w:p w14:paraId="1B4942B2" w14:textId="77777777" w:rsidR="002F5A66" w:rsidRDefault="00377C69">
      <w:pPr>
        <w:spacing w:before="240" w:after="0" w:line="360" w:lineRule="auto"/>
        <w:ind w:firstLine="709"/>
        <w:jc w:val="both"/>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 xml:space="preserve">23. </w:t>
      </w:r>
      <w:r>
        <w:rPr>
          <w:rFonts w:ascii="Century Gothic" w:eastAsia="Century Gothic" w:hAnsi="Century Gothic" w:cs="Century Gothic"/>
          <w:sz w:val="24"/>
          <w:szCs w:val="24"/>
        </w:rPr>
        <w:t xml:space="preserve">Consecuentemente, ante lo </w:t>
      </w:r>
      <w:r>
        <w:rPr>
          <w:rFonts w:ascii="Century Gothic" w:eastAsia="Century Gothic" w:hAnsi="Century Gothic" w:cs="Century Gothic"/>
          <w:b/>
          <w:sz w:val="24"/>
          <w:szCs w:val="24"/>
        </w:rPr>
        <w:t xml:space="preserve">infundado </w:t>
      </w:r>
      <w:r>
        <w:rPr>
          <w:rFonts w:ascii="Century Gothic" w:eastAsia="Century Gothic" w:hAnsi="Century Gothic" w:cs="Century Gothic"/>
          <w:sz w:val="24"/>
          <w:szCs w:val="24"/>
        </w:rPr>
        <w:t xml:space="preserve">de los agravios planteados por la recurrente, lo procedente es </w:t>
      </w:r>
      <w:r>
        <w:rPr>
          <w:rFonts w:ascii="Century Gothic" w:eastAsia="Century Gothic" w:hAnsi="Century Gothic" w:cs="Century Gothic"/>
          <w:b/>
          <w:sz w:val="24"/>
          <w:szCs w:val="24"/>
        </w:rPr>
        <w:t>confirmar</w:t>
      </w:r>
      <w:r>
        <w:rPr>
          <w:rFonts w:ascii="Century Gothic" w:eastAsia="Century Gothic" w:hAnsi="Century Gothic" w:cs="Century Gothic"/>
          <w:sz w:val="24"/>
          <w:szCs w:val="24"/>
        </w:rPr>
        <w:t xml:space="preserve"> la sentencia recurrida; por lo que, con fundamento en los artículos 236 y 238 de la Ley de Procedimiento y Justicia Administrativa para el Estado de Oaxaca, se:</w:t>
      </w:r>
    </w:p>
    <w:p w14:paraId="6490775C" w14:textId="77777777" w:rsidR="002F5A66" w:rsidRDefault="00377C69">
      <w:pPr>
        <w:spacing w:before="240" w:line="360" w:lineRule="auto"/>
        <w:jc w:val="center"/>
        <w:rPr>
          <w:rFonts w:ascii="Century Gothic" w:eastAsia="Century Gothic" w:hAnsi="Century Gothic" w:cs="Century Gothic"/>
          <w:b/>
          <w:sz w:val="24"/>
          <w:szCs w:val="24"/>
        </w:rPr>
      </w:pPr>
      <w:r>
        <w:rPr>
          <w:rFonts w:ascii="Century Gothic" w:eastAsia="Century Gothic" w:hAnsi="Century Gothic" w:cs="Century Gothic"/>
          <w:b/>
          <w:sz w:val="24"/>
          <w:szCs w:val="24"/>
        </w:rPr>
        <w:t>R E S U E L V E</w:t>
      </w:r>
    </w:p>
    <w:p w14:paraId="153FF651" w14:textId="77777777" w:rsidR="002F5A66" w:rsidRDefault="00377C69">
      <w:pPr>
        <w:spacing w:before="240" w:line="360" w:lineRule="auto"/>
        <w:ind w:firstLine="708"/>
        <w:jc w:val="both"/>
        <w:rPr>
          <w:rFonts w:ascii="Century Gothic" w:eastAsia="Century Gothic" w:hAnsi="Century Gothic" w:cs="Century Gothic"/>
          <w:sz w:val="24"/>
          <w:szCs w:val="24"/>
        </w:rPr>
      </w:pPr>
      <w:r>
        <w:rPr>
          <w:rFonts w:ascii="Century Gothic" w:eastAsia="Century Gothic" w:hAnsi="Century Gothic" w:cs="Century Gothic"/>
          <w:b/>
          <w:sz w:val="24"/>
          <w:szCs w:val="24"/>
        </w:rPr>
        <w:t>PRIMERO.</w:t>
      </w:r>
      <w:r>
        <w:rPr>
          <w:rFonts w:ascii="Century Gothic" w:eastAsia="Century Gothic" w:hAnsi="Century Gothic" w:cs="Century Gothic"/>
          <w:sz w:val="24"/>
          <w:szCs w:val="24"/>
        </w:rPr>
        <w:t xml:space="preserve"> Este Tribunal de Justicia Administrativa y Combate a la Corrupción del Estado de Oaxaca,</w:t>
      </w:r>
      <w:r>
        <w:rPr>
          <w:rFonts w:ascii="Century Gothic" w:eastAsia="Century Gothic" w:hAnsi="Century Gothic" w:cs="Century Gothic"/>
          <w:b/>
          <w:sz w:val="24"/>
          <w:szCs w:val="24"/>
        </w:rPr>
        <w:t xml:space="preserve"> </w:t>
      </w:r>
      <w:r>
        <w:rPr>
          <w:rFonts w:ascii="Century Gothic" w:eastAsia="Century Gothic" w:hAnsi="Century Gothic" w:cs="Century Gothic"/>
          <w:sz w:val="24"/>
          <w:szCs w:val="24"/>
        </w:rPr>
        <w:t xml:space="preserve">ejerce jurisdicción y esta Sala Superior es competente, en los términos del considerando primero de la presente. </w:t>
      </w:r>
    </w:p>
    <w:p w14:paraId="51D9387F" w14:textId="77777777" w:rsidR="002F5A66" w:rsidRDefault="00377C69">
      <w:pPr>
        <w:spacing w:before="240" w:line="360" w:lineRule="auto"/>
        <w:ind w:firstLine="708"/>
        <w:jc w:val="both"/>
        <w:rPr>
          <w:rFonts w:ascii="Century Gothic" w:eastAsia="Century Gothic" w:hAnsi="Century Gothic" w:cs="Century Gothic"/>
          <w:sz w:val="24"/>
          <w:szCs w:val="24"/>
        </w:rPr>
      </w:pPr>
      <w:r>
        <w:rPr>
          <w:rFonts w:ascii="Century Gothic" w:eastAsia="Century Gothic" w:hAnsi="Century Gothic" w:cs="Century Gothic"/>
          <w:b/>
          <w:sz w:val="24"/>
          <w:szCs w:val="24"/>
        </w:rPr>
        <w:t>SEGUNDO.</w:t>
      </w:r>
      <w:r>
        <w:rPr>
          <w:rFonts w:ascii="Century Gothic" w:eastAsia="Century Gothic" w:hAnsi="Century Gothic" w:cs="Century Gothic"/>
          <w:sz w:val="24"/>
          <w:szCs w:val="24"/>
        </w:rPr>
        <w:t xml:space="preserve"> </w:t>
      </w:r>
      <w:r>
        <w:rPr>
          <w:rFonts w:ascii="Century Gothic" w:eastAsia="Century Gothic" w:hAnsi="Century Gothic" w:cs="Century Gothic"/>
          <w:color w:val="000000"/>
          <w:sz w:val="24"/>
          <w:szCs w:val="24"/>
        </w:rPr>
        <w:t xml:space="preserve">Se </w:t>
      </w:r>
      <w:r>
        <w:rPr>
          <w:rFonts w:ascii="Century Gothic" w:eastAsia="Century Gothic" w:hAnsi="Century Gothic" w:cs="Century Gothic"/>
          <w:b/>
          <w:color w:val="000000"/>
          <w:sz w:val="24"/>
          <w:szCs w:val="24"/>
        </w:rPr>
        <w:t>confirma</w:t>
      </w:r>
      <w:r>
        <w:rPr>
          <w:rFonts w:ascii="Century Gothic" w:eastAsia="Century Gothic" w:hAnsi="Century Gothic" w:cs="Century Gothic"/>
          <w:color w:val="000000"/>
          <w:sz w:val="24"/>
          <w:szCs w:val="24"/>
        </w:rPr>
        <w:t xml:space="preserve"> la sentencia de </w:t>
      </w:r>
      <w:r>
        <w:rPr>
          <w:rFonts w:ascii="Century Gothic" w:eastAsia="Century Gothic" w:hAnsi="Century Gothic" w:cs="Century Gothic"/>
          <w:b/>
          <w:sz w:val="24"/>
          <w:szCs w:val="24"/>
          <w:u w:val="single"/>
        </w:rPr>
        <w:t>cinco de diciembre de dos mil veintidós</w:t>
      </w:r>
      <w:r>
        <w:rPr>
          <w:rFonts w:ascii="Century Gothic" w:eastAsia="Century Gothic" w:hAnsi="Century Gothic" w:cs="Century Gothic"/>
          <w:sz w:val="24"/>
          <w:szCs w:val="24"/>
        </w:rPr>
        <w:t xml:space="preserve">, que fue dictada por la Primera Sala Unitaria de este Tribunal, dentro del expediente del juicio de nulidad </w:t>
      </w:r>
      <w:r>
        <w:rPr>
          <w:rFonts w:ascii="Century Gothic" w:eastAsia="Century Gothic" w:hAnsi="Century Gothic" w:cs="Century Gothic"/>
          <w:b/>
          <w:sz w:val="24"/>
          <w:szCs w:val="24"/>
        </w:rPr>
        <w:t>0115/2020</w:t>
      </w:r>
      <w:r>
        <w:rPr>
          <w:rFonts w:ascii="Century Gothic" w:eastAsia="Century Gothic" w:hAnsi="Century Gothic" w:cs="Century Gothic"/>
          <w:sz w:val="24"/>
          <w:szCs w:val="24"/>
        </w:rPr>
        <w:t xml:space="preserve">, en los términos establecidos en el considerando cuarto </w:t>
      </w:r>
      <w:r>
        <w:rPr>
          <w:rFonts w:ascii="Century Gothic" w:eastAsia="Century Gothic" w:hAnsi="Century Gothic" w:cs="Century Gothic"/>
          <w:color w:val="000000"/>
          <w:sz w:val="24"/>
          <w:szCs w:val="24"/>
        </w:rPr>
        <w:t>de la presente resolución</w:t>
      </w:r>
      <w:r>
        <w:rPr>
          <w:rFonts w:ascii="Century Gothic" w:eastAsia="Century Gothic" w:hAnsi="Century Gothic" w:cs="Century Gothic"/>
          <w:sz w:val="24"/>
          <w:szCs w:val="24"/>
        </w:rPr>
        <w:t xml:space="preserve">. - - - - - - </w:t>
      </w:r>
    </w:p>
    <w:p w14:paraId="15594D63" w14:textId="77777777" w:rsidR="002F5A66" w:rsidRDefault="00377C69">
      <w:pPr>
        <w:spacing w:before="240" w:line="360" w:lineRule="auto"/>
        <w:ind w:firstLine="708"/>
        <w:jc w:val="both"/>
        <w:rPr>
          <w:rFonts w:ascii="Century Gothic" w:eastAsia="Century Gothic" w:hAnsi="Century Gothic" w:cs="Century Gothic"/>
          <w:sz w:val="24"/>
          <w:szCs w:val="24"/>
        </w:rPr>
      </w:pPr>
      <w:r>
        <w:rPr>
          <w:rFonts w:ascii="Century Gothic" w:eastAsia="Century Gothic" w:hAnsi="Century Gothic" w:cs="Century Gothic"/>
          <w:b/>
          <w:sz w:val="24"/>
          <w:szCs w:val="24"/>
        </w:rPr>
        <w:t>TERCERO. NOTIFÍQUESE Y CÚMPLASE,</w:t>
      </w:r>
      <w:r>
        <w:rPr>
          <w:rFonts w:ascii="Century Gothic" w:eastAsia="Century Gothic" w:hAnsi="Century Gothic" w:cs="Century Gothic"/>
          <w:sz w:val="24"/>
          <w:szCs w:val="24"/>
        </w:rPr>
        <w:t xml:space="preserve"> con copia certificada de la presente resolución remítanse los autos a la Primera Sala Unitaria de este Tribunal y en su oportunidad archívese el presente cuaderno de revisión como concluido. - - - - - - - - - - - - - - - - - - - - - - - - - - - - - - - - - - - - - - - - - - - - - </w:t>
      </w:r>
    </w:p>
    <w:p w14:paraId="1DFA7C00" w14:textId="77777777" w:rsidR="002F5A66" w:rsidRDefault="00377C69">
      <w:pPr>
        <w:spacing w:before="240" w:line="360" w:lineRule="auto"/>
        <w:ind w:firstLine="708"/>
        <w:jc w:val="both"/>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Por unanimidad de votos, lo resolvieron y firmaron los Magistrados Mateo Martínez </w:t>
      </w:r>
      <w:proofErr w:type="spellStart"/>
      <w:r>
        <w:rPr>
          <w:rFonts w:ascii="Century Gothic" w:eastAsia="Century Gothic" w:hAnsi="Century Gothic" w:cs="Century Gothic"/>
          <w:sz w:val="24"/>
          <w:szCs w:val="24"/>
        </w:rPr>
        <w:t>Martínez</w:t>
      </w:r>
      <w:proofErr w:type="spellEnd"/>
      <w:r>
        <w:rPr>
          <w:rFonts w:ascii="Century Gothic" w:eastAsia="Century Gothic" w:hAnsi="Century Gothic" w:cs="Century Gothic"/>
          <w:sz w:val="24"/>
          <w:szCs w:val="24"/>
        </w:rPr>
        <w:t>, Cruz Itzel Espinosa Rojas (</w:t>
      </w:r>
      <w:r>
        <w:rPr>
          <w:rFonts w:ascii="Century Gothic" w:eastAsia="Century Gothic" w:hAnsi="Century Gothic" w:cs="Century Gothic"/>
          <w:b/>
          <w:sz w:val="24"/>
          <w:szCs w:val="24"/>
        </w:rPr>
        <w:t>ponente</w:t>
      </w:r>
      <w:r>
        <w:rPr>
          <w:rFonts w:ascii="Century Gothic" w:eastAsia="Century Gothic" w:hAnsi="Century Gothic" w:cs="Century Gothic"/>
          <w:sz w:val="24"/>
          <w:szCs w:val="24"/>
        </w:rPr>
        <w:t xml:space="preserve">) y Manuel de Jesús López </w:t>
      </w:r>
      <w:proofErr w:type="spellStart"/>
      <w:r>
        <w:rPr>
          <w:rFonts w:ascii="Century Gothic" w:eastAsia="Century Gothic" w:hAnsi="Century Gothic" w:cs="Century Gothic"/>
          <w:sz w:val="24"/>
          <w:szCs w:val="24"/>
        </w:rPr>
        <w:t>López</w:t>
      </w:r>
      <w:proofErr w:type="spellEnd"/>
      <w:r>
        <w:rPr>
          <w:rFonts w:ascii="Century Gothic" w:eastAsia="Century Gothic" w:hAnsi="Century Gothic" w:cs="Century Gothic"/>
          <w:sz w:val="24"/>
          <w:szCs w:val="24"/>
        </w:rPr>
        <w:t xml:space="preserve">; quienes actúan con la Maestra Lizbeth Jessica Gallardo Martínez, </w:t>
      </w:r>
      <w:proofErr w:type="gramStart"/>
      <w:r>
        <w:rPr>
          <w:rFonts w:ascii="Century Gothic" w:eastAsia="Century Gothic" w:hAnsi="Century Gothic" w:cs="Century Gothic"/>
          <w:sz w:val="24"/>
          <w:szCs w:val="24"/>
        </w:rPr>
        <w:t>Secretaria General</w:t>
      </w:r>
      <w:proofErr w:type="gramEnd"/>
      <w:r>
        <w:rPr>
          <w:rFonts w:ascii="Century Gothic" w:eastAsia="Century Gothic" w:hAnsi="Century Gothic" w:cs="Century Gothic"/>
          <w:sz w:val="24"/>
          <w:szCs w:val="24"/>
        </w:rPr>
        <w:t xml:space="preserve"> de Acuerdos de este Tribunal, que autoriza y da fe. - - - - - - - - - - - - - - - - - - - - - - - - - - - - - - - - - - - - - - - - - - - - - </w:t>
      </w:r>
    </w:p>
    <w:p w14:paraId="2D73C5D9" w14:textId="77777777" w:rsidR="002F5A66" w:rsidRDefault="002F5A66">
      <w:pPr>
        <w:spacing w:before="240" w:line="360" w:lineRule="auto"/>
        <w:jc w:val="both"/>
        <w:rPr>
          <w:rFonts w:ascii="Century Gothic" w:eastAsia="Century Gothic" w:hAnsi="Century Gothic" w:cs="Century Gothic"/>
          <w:sz w:val="24"/>
          <w:szCs w:val="24"/>
        </w:rPr>
      </w:pPr>
    </w:p>
    <w:p w14:paraId="4D79D200" w14:textId="77777777" w:rsidR="002F5A66" w:rsidRDefault="002F5A66">
      <w:pPr>
        <w:spacing w:before="240" w:line="360" w:lineRule="auto"/>
        <w:jc w:val="both"/>
        <w:rPr>
          <w:rFonts w:ascii="Century Gothic" w:eastAsia="Century Gothic" w:hAnsi="Century Gothic" w:cs="Century Gothic"/>
          <w:sz w:val="24"/>
          <w:szCs w:val="24"/>
        </w:rPr>
      </w:pPr>
    </w:p>
    <w:p w14:paraId="557A1E5E" w14:textId="77777777" w:rsidR="002F5A66" w:rsidRDefault="002F5A66">
      <w:pPr>
        <w:spacing w:before="240" w:line="360" w:lineRule="auto"/>
        <w:jc w:val="both"/>
        <w:rPr>
          <w:rFonts w:ascii="Century Gothic" w:eastAsia="Century Gothic" w:hAnsi="Century Gothic" w:cs="Century Gothic"/>
          <w:sz w:val="24"/>
          <w:szCs w:val="24"/>
        </w:rPr>
      </w:pPr>
    </w:p>
    <w:p w14:paraId="48EBEA38" w14:textId="77777777" w:rsidR="002F5A66" w:rsidRDefault="00377C69">
      <w:pPr>
        <w:pBdr>
          <w:top w:val="nil"/>
          <w:left w:val="nil"/>
          <w:bottom w:val="nil"/>
          <w:right w:val="nil"/>
          <w:between w:val="nil"/>
        </w:pBdr>
        <w:spacing w:after="0" w:line="240" w:lineRule="auto"/>
        <w:jc w:val="center"/>
        <w:rPr>
          <w:rFonts w:ascii="Century Gothic" w:eastAsia="Century Gothic" w:hAnsi="Century Gothic" w:cs="Century Gothic"/>
          <w:b/>
          <w:color w:val="000000"/>
          <w:sz w:val="24"/>
          <w:szCs w:val="24"/>
        </w:rPr>
      </w:pPr>
      <w:r>
        <w:rPr>
          <w:rFonts w:ascii="Century Gothic" w:eastAsia="Century Gothic" w:hAnsi="Century Gothic" w:cs="Century Gothic"/>
          <w:b/>
          <w:color w:val="000000"/>
          <w:sz w:val="24"/>
          <w:szCs w:val="24"/>
        </w:rPr>
        <w:lastRenderedPageBreak/>
        <w:t xml:space="preserve">MAGISTRADO MATEO MARTÍNEZ </w:t>
      </w:r>
      <w:proofErr w:type="spellStart"/>
      <w:r>
        <w:rPr>
          <w:rFonts w:ascii="Century Gothic" w:eastAsia="Century Gothic" w:hAnsi="Century Gothic" w:cs="Century Gothic"/>
          <w:b/>
          <w:color w:val="000000"/>
          <w:sz w:val="24"/>
          <w:szCs w:val="24"/>
        </w:rPr>
        <w:t>MARTÍNEZ</w:t>
      </w:r>
      <w:proofErr w:type="spellEnd"/>
    </w:p>
    <w:p w14:paraId="1D8539AB" w14:textId="77777777" w:rsidR="002F5A66" w:rsidRDefault="00377C69">
      <w:pPr>
        <w:pBdr>
          <w:top w:val="nil"/>
          <w:left w:val="nil"/>
          <w:bottom w:val="nil"/>
          <w:right w:val="nil"/>
          <w:between w:val="nil"/>
        </w:pBdr>
        <w:spacing w:after="240" w:line="240" w:lineRule="auto"/>
        <w:jc w:val="center"/>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PRESIDENTE</w:t>
      </w:r>
    </w:p>
    <w:p w14:paraId="1B020800" w14:textId="77777777" w:rsidR="002F5A66" w:rsidRDefault="002F5A66">
      <w:pPr>
        <w:pBdr>
          <w:top w:val="nil"/>
          <w:left w:val="nil"/>
          <w:bottom w:val="nil"/>
          <w:right w:val="nil"/>
          <w:between w:val="nil"/>
        </w:pBdr>
        <w:spacing w:after="240" w:line="240" w:lineRule="auto"/>
        <w:jc w:val="center"/>
        <w:rPr>
          <w:rFonts w:ascii="Century Gothic" w:eastAsia="Century Gothic" w:hAnsi="Century Gothic" w:cs="Century Gothic"/>
          <w:color w:val="000000"/>
          <w:sz w:val="24"/>
          <w:szCs w:val="24"/>
        </w:rPr>
      </w:pPr>
    </w:p>
    <w:p w14:paraId="37F9A84A" w14:textId="77777777" w:rsidR="002F5A66" w:rsidRDefault="002F5A66">
      <w:pPr>
        <w:pBdr>
          <w:top w:val="nil"/>
          <w:left w:val="nil"/>
          <w:bottom w:val="nil"/>
          <w:right w:val="nil"/>
          <w:between w:val="nil"/>
        </w:pBdr>
        <w:spacing w:after="240" w:line="240" w:lineRule="auto"/>
        <w:jc w:val="center"/>
        <w:rPr>
          <w:rFonts w:ascii="Century Gothic" w:eastAsia="Century Gothic" w:hAnsi="Century Gothic" w:cs="Century Gothic"/>
          <w:color w:val="000000"/>
          <w:sz w:val="24"/>
          <w:szCs w:val="24"/>
        </w:rPr>
      </w:pPr>
    </w:p>
    <w:p w14:paraId="7FB9F2E0" w14:textId="77777777" w:rsidR="002F5A66" w:rsidRDefault="00377C69">
      <w:pPr>
        <w:tabs>
          <w:tab w:val="center" w:pos="4135"/>
          <w:tab w:val="left" w:pos="7515"/>
        </w:tabs>
        <w:spacing w:after="0" w:line="240" w:lineRule="auto"/>
        <w:jc w:val="center"/>
        <w:rPr>
          <w:rFonts w:ascii="Century Gothic" w:eastAsia="Century Gothic" w:hAnsi="Century Gothic" w:cs="Century Gothic"/>
          <w:b/>
          <w:sz w:val="24"/>
          <w:szCs w:val="24"/>
        </w:rPr>
      </w:pPr>
      <w:r>
        <w:rPr>
          <w:rFonts w:ascii="Century Gothic" w:eastAsia="Century Gothic" w:hAnsi="Century Gothic" w:cs="Century Gothic"/>
          <w:b/>
          <w:sz w:val="24"/>
          <w:szCs w:val="24"/>
        </w:rPr>
        <w:t>MAGISTRADA CRUZ ITZEL ESPINOSA ROJAS</w:t>
      </w:r>
    </w:p>
    <w:p w14:paraId="1BA76CF8" w14:textId="77777777" w:rsidR="002F5A66" w:rsidRDefault="00377C69">
      <w:pPr>
        <w:tabs>
          <w:tab w:val="center" w:pos="4135"/>
          <w:tab w:val="left" w:pos="7515"/>
        </w:tabs>
        <w:spacing w:line="240" w:lineRule="auto"/>
        <w:jc w:val="center"/>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INTEGRANTE </w:t>
      </w:r>
    </w:p>
    <w:p w14:paraId="010C27A9" w14:textId="77777777" w:rsidR="002F5A66" w:rsidRDefault="002F5A66">
      <w:pPr>
        <w:tabs>
          <w:tab w:val="center" w:pos="4135"/>
          <w:tab w:val="left" w:pos="7515"/>
        </w:tabs>
        <w:spacing w:line="240" w:lineRule="auto"/>
        <w:jc w:val="center"/>
        <w:rPr>
          <w:rFonts w:ascii="Century Gothic" w:eastAsia="Century Gothic" w:hAnsi="Century Gothic" w:cs="Century Gothic"/>
          <w:sz w:val="24"/>
          <w:szCs w:val="24"/>
        </w:rPr>
      </w:pPr>
    </w:p>
    <w:p w14:paraId="4A5A2F66" w14:textId="77777777" w:rsidR="002F5A66" w:rsidRDefault="002F5A66">
      <w:pPr>
        <w:tabs>
          <w:tab w:val="center" w:pos="4135"/>
          <w:tab w:val="left" w:pos="7515"/>
        </w:tabs>
        <w:spacing w:line="240" w:lineRule="auto"/>
        <w:jc w:val="center"/>
        <w:rPr>
          <w:rFonts w:ascii="Century Gothic" w:eastAsia="Century Gothic" w:hAnsi="Century Gothic" w:cs="Century Gothic"/>
          <w:sz w:val="24"/>
          <w:szCs w:val="24"/>
        </w:rPr>
      </w:pPr>
    </w:p>
    <w:p w14:paraId="00D92DF5" w14:textId="77777777" w:rsidR="002F5A66" w:rsidRDefault="00377C69">
      <w:pPr>
        <w:tabs>
          <w:tab w:val="center" w:pos="4135"/>
          <w:tab w:val="left" w:pos="7515"/>
        </w:tabs>
        <w:spacing w:after="0" w:line="240" w:lineRule="auto"/>
        <w:jc w:val="center"/>
        <w:rPr>
          <w:rFonts w:ascii="Century Gothic" w:eastAsia="Century Gothic" w:hAnsi="Century Gothic" w:cs="Century Gothic"/>
          <w:b/>
          <w:sz w:val="24"/>
          <w:szCs w:val="24"/>
        </w:rPr>
      </w:pPr>
      <w:r>
        <w:rPr>
          <w:rFonts w:ascii="Century Gothic" w:eastAsia="Century Gothic" w:hAnsi="Century Gothic" w:cs="Century Gothic"/>
          <w:b/>
          <w:sz w:val="24"/>
          <w:szCs w:val="24"/>
        </w:rPr>
        <w:t xml:space="preserve">MAGISTRADO MANUEL DE JESÚS LÓPEZ </w:t>
      </w:r>
      <w:proofErr w:type="spellStart"/>
      <w:r>
        <w:rPr>
          <w:rFonts w:ascii="Century Gothic" w:eastAsia="Century Gothic" w:hAnsi="Century Gothic" w:cs="Century Gothic"/>
          <w:b/>
          <w:sz w:val="24"/>
          <w:szCs w:val="24"/>
        </w:rPr>
        <w:t>LÓPEZ</w:t>
      </w:r>
      <w:proofErr w:type="spellEnd"/>
    </w:p>
    <w:p w14:paraId="26C4BD0A" w14:textId="77777777" w:rsidR="002F5A66" w:rsidRDefault="00377C69">
      <w:pPr>
        <w:tabs>
          <w:tab w:val="center" w:pos="4135"/>
          <w:tab w:val="left" w:pos="7515"/>
        </w:tabs>
        <w:spacing w:line="240" w:lineRule="auto"/>
        <w:jc w:val="center"/>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INTEGRANTE </w:t>
      </w:r>
    </w:p>
    <w:p w14:paraId="6494E27A" w14:textId="77777777" w:rsidR="002F5A66" w:rsidRDefault="002F5A66">
      <w:pPr>
        <w:tabs>
          <w:tab w:val="center" w:pos="4135"/>
          <w:tab w:val="left" w:pos="7515"/>
        </w:tabs>
        <w:spacing w:line="240" w:lineRule="auto"/>
        <w:jc w:val="center"/>
        <w:rPr>
          <w:rFonts w:ascii="Century Gothic" w:eastAsia="Century Gothic" w:hAnsi="Century Gothic" w:cs="Century Gothic"/>
          <w:sz w:val="24"/>
          <w:szCs w:val="24"/>
        </w:rPr>
      </w:pPr>
    </w:p>
    <w:p w14:paraId="3EC1505A" w14:textId="77777777" w:rsidR="002F5A66" w:rsidRDefault="002F5A66">
      <w:pPr>
        <w:tabs>
          <w:tab w:val="center" w:pos="4135"/>
          <w:tab w:val="left" w:pos="7515"/>
        </w:tabs>
        <w:spacing w:line="240" w:lineRule="auto"/>
        <w:jc w:val="center"/>
        <w:rPr>
          <w:rFonts w:ascii="Century Gothic" w:eastAsia="Century Gothic" w:hAnsi="Century Gothic" w:cs="Century Gothic"/>
          <w:sz w:val="24"/>
          <w:szCs w:val="24"/>
        </w:rPr>
      </w:pPr>
    </w:p>
    <w:p w14:paraId="19346FC1" w14:textId="77777777" w:rsidR="002F5A66" w:rsidRDefault="00377C69">
      <w:pPr>
        <w:tabs>
          <w:tab w:val="center" w:pos="4135"/>
        </w:tabs>
        <w:spacing w:after="0"/>
        <w:jc w:val="center"/>
        <w:rPr>
          <w:rFonts w:ascii="Century Gothic" w:eastAsia="Century Gothic" w:hAnsi="Century Gothic" w:cs="Century Gothic"/>
          <w:b/>
          <w:sz w:val="24"/>
          <w:szCs w:val="24"/>
        </w:rPr>
      </w:pPr>
      <w:r>
        <w:rPr>
          <w:rFonts w:ascii="Century Gothic" w:eastAsia="Century Gothic" w:hAnsi="Century Gothic" w:cs="Century Gothic"/>
          <w:b/>
          <w:sz w:val="24"/>
          <w:szCs w:val="24"/>
        </w:rPr>
        <w:t xml:space="preserve">    MAESTRA LIZBETH JESSICA GALLARDO MARTÍNEZ</w:t>
      </w:r>
    </w:p>
    <w:p w14:paraId="0BAFF78A" w14:textId="77777777" w:rsidR="002F5A66" w:rsidRDefault="00377C69">
      <w:pPr>
        <w:pBdr>
          <w:top w:val="nil"/>
          <w:left w:val="nil"/>
          <w:bottom w:val="nil"/>
          <w:right w:val="nil"/>
          <w:between w:val="nil"/>
        </w:pBdr>
        <w:spacing w:after="0" w:line="240" w:lineRule="auto"/>
        <w:jc w:val="center"/>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 xml:space="preserve">    SECRETARIA GENERAL DE ACUERDOS</w:t>
      </w:r>
    </w:p>
    <w:p w14:paraId="78B813FD" w14:textId="77777777" w:rsidR="002F5A66" w:rsidRDefault="002F5A66"/>
    <w:p w14:paraId="48E3CD37" w14:textId="77777777" w:rsidR="002F5A66" w:rsidRDefault="002F5A66"/>
    <w:sectPr w:rsidR="002F5A66" w:rsidSect="00074FC3">
      <w:headerReference w:type="even" r:id="rId9"/>
      <w:headerReference w:type="default" r:id="rId10"/>
      <w:footerReference w:type="even" r:id="rId11"/>
      <w:footerReference w:type="default" r:id="rId12"/>
      <w:headerReference w:type="first" r:id="rId13"/>
      <w:footerReference w:type="first" r:id="rId14"/>
      <w:pgSz w:w="12240" w:h="20160"/>
      <w:pgMar w:top="1701" w:right="1418" w:bottom="1418" w:left="2268" w:header="709"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5E15A6" w14:textId="77777777" w:rsidR="00E722B7" w:rsidRDefault="00E722B7">
      <w:pPr>
        <w:spacing w:after="0" w:line="240" w:lineRule="auto"/>
      </w:pPr>
      <w:r>
        <w:separator/>
      </w:r>
    </w:p>
  </w:endnote>
  <w:endnote w:type="continuationSeparator" w:id="0">
    <w:p w14:paraId="717CECAF" w14:textId="77777777" w:rsidR="00E722B7" w:rsidRDefault="00E722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C95FE7" w14:textId="02269301" w:rsidR="002F5A66" w:rsidRDefault="002F5A66">
    <w:pPr>
      <w:pBdr>
        <w:top w:val="nil"/>
        <w:left w:val="nil"/>
        <w:bottom w:val="nil"/>
        <w:right w:val="nil"/>
        <w:between w:val="nil"/>
      </w:pBdr>
      <w:tabs>
        <w:tab w:val="center" w:pos="4419"/>
        <w:tab w:val="right" w:pos="8838"/>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3BBD82" w14:textId="77777777" w:rsidR="002F5A66" w:rsidRDefault="00377C69">
    <w:pPr>
      <w:pBdr>
        <w:top w:val="nil"/>
        <w:left w:val="nil"/>
        <w:bottom w:val="nil"/>
        <w:right w:val="nil"/>
        <w:between w:val="nil"/>
      </w:pBdr>
      <w:tabs>
        <w:tab w:val="center" w:pos="4419"/>
        <w:tab w:val="right" w:pos="8838"/>
      </w:tabs>
      <w:spacing w:after="0" w:line="240" w:lineRule="auto"/>
      <w:jc w:val="center"/>
      <w:rPr>
        <w:color w:val="000000"/>
      </w:rPr>
    </w:pPr>
    <w:r>
      <w:rPr>
        <w:color w:val="000000"/>
      </w:rPr>
      <w:fldChar w:fldCharType="begin"/>
    </w:r>
    <w:r>
      <w:rPr>
        <w:color w:val="000000"/>
      </w:rPr>
      <w:instrText>PAGE</w:instrText>
    </w:r>
    <w:r>
      <w:rPr>
        <w:color w:val="000000"/>
      </w:rPr>
      <w:fldChar w:fldCharType="separate"/>
    </w:r>
    <w:r w:rsidR="00274ACA">
      <w:rPr>
        <w:noProof/>
        <w:color w:val="000000"/>
      </w:rPr>
      <w:t>12</w:t>
    </w:r>
    <w:r>
      <w:rPr>
        <w:color w:val="000000"/>
      </w:rPr>
      <w:fldChar w:fldCharType="end"/>
    </w:r>
  </w:p>
  <w:p w14:paraId="2FE1D54E" w14:textId="77777777" w:rsidR="002F5A66" w:rsidRDefault="002F5A66">
    <w:pPr>
      <w:pBdr>
        <w:top w:val="nil"/>
        <w:left w:val="nil"/>
        <w:bottom w:val="nil"/>
        <w:right w:val="nil"/>
        <w:between w:val="nil"/>
      </w:pBdr>
      <w:tabs>
        <w:tab w:val="center" w:pos="4419"/>
        <w:tab w:val="right" w:pos="8838"/>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6879A3" w14:textId="0394E1DC" w:rsidR="002F5A66" w:rsidRDefault="002F5A66">
    <w:pPr>
      <w:pBdr>
        <w:top w:val="nil"/>
        <w:left w:val="nil"/>
        <w:bottom w:val="nil"/>
        <w:right w:val="nil"/>
        <w:between w:val="nil"/>
      </w:pBdr>
      <w:tabs>
        <w:tab w:val="center" w:pos="4419"/>
        <w:tab w:val="right" w:pos="8838"/>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59CC72" w14:textId="77777777" w:rsidR="00E722B7" w:rsidRDefault="00E722B7">
      <w:pPr>
        <w:spacing w:after="0" w:line="240" w:lineRule="auto"/>
      </w:pPr>
      <w:r>
        <w:separator/>
      </w:r>
    </w:p>
  </w:footnote>
  <w:footnote w:type="continuationSeparator" w:id="0">
    <w:p w14:paraId="20FA1B68" w14:textId="77777777" w:rsidR="00E722B7" w:rsidRDefault="00E722B7">
      <w:pPr>
        <w:spacing w:after="0" w:line="240" w:lineRule="auto"/>
      </w:pPr>
      <w:r>
        <w:continuationSeparator/>
      </w:r>
    </w:p>
  </w:footnote>
  <w:footnote w:id="1">
    <w:p w14:paraId="569325C7" w14:textId="77777777" w:rsidR="002F5A66" w:rsidRDefault="00377C69">
      <w:pPr>
        <w:pBdr>
          <w:top w:val="nil"/>
          <w:left w:val="nil"/>
          <w:bottom w:val="nil"/>
          <w:right w:val="nil"/>
          <w:between w:val="nil"/>
        </w:pBdr>
        <w:spacing w:after="0" w:line="240" w:lineRule="auto"/>
        <w:jc w:val="both"/>
        <w:rPr>
          <w:i/>
          <w:color w:val="000000"/>
          <w:sz w:val="20"/>
          <w:szCs w:val="20"/>
        </w:rPr>
      </w:pPr>
      <w:r>
        <w:rPr>
          <w:vertAlign w:val="superscript"/>
        </w:rPr>
        <w:footnoteRef/>
      </w:r>
      <w:r>
        <w:rPr>
          <w:color w:val="000000"/>
          <w:sz w:val="20"/>
          <w:szCs w:val="20"/>
        </w:rPr>
        <w:t xml:space="preserve"> Publicado en el diario oficial de la federación y con entrada en vigor el veintidós de julio del dos mi veintitrés cuya lectura literal es: “</w:t>
      </w:r>
      <w:r>
        <w:rPr>
          <w:i/>
          <w:color w:val="000000"/>
          <w:sz w:val="20"/>
          <w:szCs w:val="20"/>
        </w:rPr>
        <w:t>CAPÍTULO III DEL TRIBUNAL DE JUSTICIA ADMINISTRATIVA Y COMBATE A LA CORRUPCIÓN DEL ESTADO DE OAXACA. Artículo 114 Quáter. El Tribunal de Justicia Administrativa y Combate a la Corrupción del Estado de Oaxaca, es la máxima autoridad jurisdiccional en materia de fiscalización, rendición de cuentas, responsabilidad de los servidores públicos, combate a la corrupción e impartición de Justicia Administrativa, estará dotado de plena autonomía para dictar sus fallos, establecer su organización, funcionamiento, procedimientos y su presupuesto.</w:t>
      </w:r>
    </w:p>
    <w:p w14:paraId="661D19C2" w14:textId="77777777" w:rsidR="002F5A66" w:rsidRDefault="00377C69">
      <w:pPr>
        <w:pBdr>
          <w:top w:val="nil"/>
          <w:left w:val="nil"/>
          <w:bottom w:val="nil"/>
          <w:right w:val="nil"/>
          <w:between w:val="nil"/>
        </w:pBdr>
        <w:spacing w:after="0" w:line="240" w:lineRule="auto"/>
        <w:jc w:val="both"/>
        <w:rPr>
          <w:i/>
          <w:color w:val="000000"/>
          <w:sz w:val="20"/>
          <w:szCs w:val="20"/>
        </w:rPr>
      </w:pPr>
      <w:r>
        <w:rPr>
          <w:i/>
          <w:color w:val="000000"/>
          <w:sz w:val="20"/>
          <w:szCs w:val="20"/>
        </w:rPr>
        <w:t>(…)</w:t>
      </w:r>
    </w:p>
    <w:p w14:paraId="057218D9" w14:textId="77777777" w:rsidR="002F5A66" w:rsidRDefault="00377C69">
      <w:pPr>
        <w:pBdr>
          <w:top w:val="nil"/>
          <w:left w:val="nil"/>
          <w:bottom w:val="nil"/>
          <w:right w:val="nil"/>
          <w:between w:val="nil"/>
        </w:pBdr>
        <w:spacing w:after="0" w:line="240" w:lineRule="auto"/>
        <w:jc w:val="both"/>
        <w:rPr>
          <w:i/>
          <w:color w:val="000000"/>
          <w:sz w:val="20"/>
          <w:szCs w:val="20"/>
        </w:rPr>
      </w:pPr>
      <w:r>
        <w:rPr>
          <w:i/>
          <w:color w:val="000000"/>
          <w:sz w:val="20"/>
          <w:szCs w:val="20"/>
        </w:rPr>
        <w:t>La Sala Superior del Tribunal se compondrá de tres Magistrados y actuará en Pleno” (…).</w:t>
      </w:r>
    </w:p>
  </w:footnote>
  <w:footnote w:id="2">
    <w:p w14:paraId="052FE97E" w14:textId="77777777" w:rsidR="002F5A66" w:rsidRDefault="00377C69">
      <w:pPr>
        <w:pBdr>
          <w:top w:val="nil"/>
          <w:left w:val="nil"/>
          <w:bottom w:val="nil"/>
          <w:right w:val="nil"/>
          <w:between w:val="nil"/>
        </w:pBdr>
        <w:spacing w:after="0" w:line="240" w:lineRule="auto"/>
        <w:jc w:val="both"/>
        <w:rPr>
          <w:color w:val="000000"/>
          <w:sz w:val="20"/>
          <w:szCs w:val="20"/>
        </w:rPr>
      </w:pPr>
      <w:r>
        <w:rPr>
          <w:vertAlign w:val="superscript"/>
        </w:rPr>
        <w:footnoteRef/>
      </w:r>
      <w:r>
        <w:rPr>
          <w:color w:val="000000"/>
          <w:sz w:val="20"/>
          <w:szCs w:val="20"/>
        </w:rPr>
        <w:t xml:space="preserve"> </w:t>
      </w:r>
      <w:r>
        <w:rPr>
          <w:rFonts w:ascii="Arial" w:eastAsia="Arial" w:hAnsi="Arial" w:cs="Arial"/>
          <w:i/>
          <w:color w:val="000000"/>
          <w:sz w:val="20"/>
          <w:szCs w:val="20"/>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r>
        <w:rPr>
          <w:rFonts w:ascii="Arial" w:eastAsia="Arial" w:hAnsi="Arial" w:cs="Arial"/>
          <w:color w:val="000000"/>
          <w:sz w:val="20"/>
          <w:szCs w:val="20"/>
        </w:rPr>
        <w:t>”</w:t>
      </w:r>
    </w:p>
  </w:footnote>
  <w:footnote w:id="3">
    <w:p w14:paraId="1A1D4424" w14:textId="77777777" w:rsidR="002F5A66" w:rsidRDefault="00377C69">
      <w:pPr>
        <w:pBdr>
          <w:top w:val="nil"/>
          <w:left w:val="nil"/>
          <w:bottom w:val="nil"/>
          <w:right w:val="nil"/>
          <w:between w:val="nil"/>
        </w:pBdr>
        <w:spacing w:after="0" w:line="240" w:lineRule="auto"/>
        <w:jc w:val="both"/>
        <w:rPr>
          <w:rFonts w:eastAsia="Calibri"/>
          <w:color w:val="000000"/>
          <w:sz w:val="20"/>
          <w:szCs w:val="20"/>
        </w:rPr>
      </w:pPr>
      <w:r>
        <w:rPr>
          <w:vertAlign w:val="superscript"/>
        </w:rPr>
        <w:footnoteRef/>
      </w:r>
      <w:r>
        <w:rPr>
          <w:rFonts w:eastAsia="Calibri"/>
          <w:color w:val="000000"/>
          <w:sz w:val="20"/>
          <w:szCs w:val="20"/>
        </w:rPr>
        <w:t xml:space="preserve"> “</w:t>
      </w:r>
      <w:r>
        <w:rPr>
          <w:rFonts w:eastAsia="Calibri"/>
          <w:b/>
          <w:color w:val="000000"/>
          <w:sz w:val="20"/>
          <w:szCs w:val="20"/>
        </w:rPr>
        <w:t xml:space="preserve">ARTÍCULO 203.- </w:t>
      </w:r>
      <w:r>
        <w:rPr>
          <w:rFonts w:eastAsia="Calibri"/>
          <w:color w:val="000000"/>
          <w:sz w:val="20"/>
          <w:szCs w:val="20"/>
        </w:rPr>
        <w:t>La valoración de las pruebas se hará de acuerdo con las siguientes reglas:</w:t>
      </w:r>
    </w:p>
    <w:p w14:paraId="6FCBE9D9" w14:textId="77777777" w:rsidR="002F5A66" w:rsidRDefault="00377C69">
      <w:pPr>
        <w:pBdr>
          <w:top w:val="nil"/>
          <w:left w:val="nil"/>
          <w:bottom w:val="nil"/>
          <w:right w:val="nil"/>
          <w:between w:val="nil"/>
        </w:pBdr>
        <w:spacing w:after="0" w:line="240" w:lineRule="auto"/>
        <w:jc w:val="both"/>
        <w:rPr>
          <w:rFonts w:eastAsia="Calibri"/>
          <w:color w:val="000000"/>
          <w:sz w:val="20"/>
          <w:szCs w:val="20"/>
        </w:rPr>
      </w:pPr>
      <w:r>
        <w:rPr>
          <w:rFonts w:eastAsia="Calibri"/>
          <w:color w:val="000000"/>
          <w:sz w:val="20"/>
          <w:szCs w:val="20"/>
        </w:rPr>
        <w:t xml:space="preserve">   I. Harán prueba plena la confesión expresa de las partes y los actos contenidos en documentos públicos, si en éstos últimos se contienen declaraciones de verdad o manifestaciones de hechos de particulares; y</w:t>
      </w:r>
    </w:p>
    <w:p w14:paraId="7CD722B0" w14:textId="77777777" w:rsidR="002F5A66" w:rsidRDefault="00377C69">
      <w:pPr>
        <w:pBdr>
          <w:top w:val="nil"/>
          <w:left w:val="nil"/>
          <w:bottom w:val="nil"/>
          <w:right w:val="nil"/>
          <w:between w:val="nil"/>
        </w:pBdr>
        <w:spacing w:after="0" w:line="240" w:lineRule="auto"/>
        <w:jc w:val="both"/>
        <w:rPr>
          <w:rFonts w:eastAsia="Calibri"/>
          <w:color w:val="000000"/>
          <w:sz w:val="20"/>
          <w:szCs w:val="20"/>
        </w:rPr>
      </w:pPr>
      <w:r>
        <w:rPr>
          <w:rFonts w:eastAsia="Calibri"/>
          <w:color w:val="000000"/>
          <w:sz w:val="20"/>
          <w:szCs w:val="20"/>
        </w:rPr>
        <w:t xml:space="preserve">   …”</w:t>
      </w:r>
    </w:p>
  </w:footnote>
  <w:footnote w:id="4">
    <w:p w14:paraId="645AB9B0" w14:textId="77777777" w:rsidR="002F5A66" w:rsidRDefault="00377C69">
      <w:pPr>
        <w:pBdr>
          <w:top w:val="nil"/>
          <w:left w:val="nil"/>
          <w:bottom w:val="nil"/>
          <w:right w:val="nil"/>
          <w:between w:val="nil"/>
        </w:pBdr>
        <w:spacing w:after="0" w:line="240" w:lineRule="auto"/>
        <w:jc w:val="both"/>
        <w:rPr>
          <w:rFonts w:eastAsia="Calibri"/>
          <w:color w:val="000000"/>
          <w:sz w:val="20"/>
          <w:szCs w:val="20"/>
        </w:rPr>
      </w:pPr>
      <w:r>
        <w:rPr>
          <w:vertAlign w:val="superscript"/>
        </w:rPr>
        <w:footnoteRef/>
      </w:r>
      <w:r>
        <w:rPr>
          <w:rFonts w:eastAsia="Calibri"/>
          <w:color w:val="000000"/>
          <w:sz w:val="20"/>
          <w:szCs w:val="20"/>
        </w:rPr>
        <w:t xml:space="preserve"> Registro digital: 188449, Fuente: Semanario Judicial de la Federación y su Gaceta. Tomo XIV, </w:t>
      </w:r>
      <w:proofErr w:type="gramStart"/>
      <w:r>
        <w:rPr>
          <w:rFonts w:eastAsia="Calibri"/>
          <w:color w:val="000000"/>
          <w:sz w:val="20"/>
          <w:szCs w:val="20"/>
        </w:rPr>
        <w:t>Noviembre</w:t>
      </w:r>
      <w:proofErr w:type="gramEnd"/>
      <w:r>
        <w:rPr>
          <w:rFonts w:eastAsia="Calibri"/>
          <w:color w:val="000000"/>
          <w:sz w:val="20"/>
          <w:szCs w:val="20"/>
        </w:rPr>
        <w:t xml:space="preserve"> de 2001, página 379</w:t>
      </w:r>
    </w:p>
    <w:p w14:paraId="0792899B" w14:textId="77777777" w:rsidR="002F5A66" w:rsidRDefault="00377C69">
      <w:pPr>
        <w:pBdr>
          <w:top w:val="nil"/>
          <w:left w:val="nil"/>
          <w:bottom w:val="nil"/>
          <w:right w:val="nil"/>
          <w:between w:val="nil"/>
        </w:pBdr>
        <w:spacing w:after="0" w:line="240" w:lineRule="auto"/>
        <w:jc w:val="both"/>
        <w:rPr>
          <w:rFonts w:eastAsia="Calibri"/>
          <w:i/>
          <w:color w:val="000000"/>
          <w:sz w:val="20"/>
          <w:szCs w:val="20"/>
        </w:rPr>
      </w:pPr>
      <w:r>
        <w:rPr>
          <w:rFonts w:eastAsia="Calibri"/>
          <w:color w:val="000000"/>
          <w:sz w:val="20"/>
          <w:szCs w:val="20"/>
        </w:rPr>
        <w:t xml:space="preserve">AGRAVIOS EN LA REVISIÓN. </w:t>
      </w:r>
      <w:r>
        <w:rPr>
          <w:rFonts w:eastAsia="Calibri"/>
          <w:i/>
          <w:color w:val="000000"/>
          <w:sz w:val="20"/>
          <w:szCs w:val="20"/>
        </w:rPr>
        <w:t>SON INOPERANTES CUANDO SE ALEGA FALTA DE VALORACIÓN DE PRUEBAS, SI SE OMITE PRECISAR SU ALCANCE PROBATORIO. Cuando en la revisión los agravios se hacen consistir en la falta de valoración de pruebas, debe precisarse su alcance probatorio, ya que sólo en esas condiciones podrá analizarse si las mismas tienen trascendencia en el fallo reclamado, por lo que los agravios que no reúnan esos requisitos devienen inoperantes por su notoria insuficiencia.</w:t>
      </w:r>
    </w:p>
    <w:p w14:paraId="1BB5ABAB" w14:textId="77777777" w:rsidR="002F5A66" w:rsidRDefault="002F5A66">
      <w:pPr>
        <w:pBdr>
          <w:top w:val="nil"/>
          <w:left w:val="nil"/>
          <w:bottom w:val="nil"/>
          <w:right w:val="nil"/>
          <w:between w:val="nil"/>
        </w:pBdr>
        <w:spacing w:after="0" w:line="240" w:lineRule="auto"/>
        <w:rPr>
          <w:rFonts w:eastAsia="Calibri"/>
          <w:color w:val="000000"/>
          <w:sz w:val="20"/>
          <w:szCs w:val="20"/>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E7B1B5" w14:textId="411EAAA7" w:rsidR="002F5A66" w:rsidRDefault="00377C69">
    <w:pPr>
      <w:pBdr>
        <w:top w:val="nil"/>
        <w:left w:val="nil"/>
        <w:bottom w:val="nil"/>
        <w:right w:val="nil"/>
        <w:between w:val="nil"/>
      </w:pBdr>
      <w:tabs>
        <w:tab w:val="center" w:pos="4252"/>
        <w:tab w:val="right" w:pos="8504"/>
      </w:tabs>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sidR="00074FC3">
      <w:rPr>
        <w:rFonts w:ascii="Times New Roman" w:eastAsia="Times New Roman" w:hAnsi="Times New Roman" w:cs="Times New Roman"/>
        <w:noProof/>
        <w:color w:val="000000"/>
        <w:sz w:val="24"/>
        <w:szCs w:val="24"/>
      </w:rPr>
      <w:t>2</w:t>
    </w:r>
    <w:r>
      <w:rPr>
        <w:rFonts w:ascii="Times New Roman" w:eastAsia="Times New Roman" w:hAnsi="Times New Roman" w:cs="Times New Roman"/>
        <w:color w:val="000000"/>
        <w:sz w:val="24"/>
        <w:szCs w:val="24"/>
      </w:rPr>
      <w:fldChar w:fldCharType="end"/>
    </w:r>
  </w:p>
  <w:p w14:paraId="11995F3F" w14:textId="0F2875E9" w:rsidR="002F5A66" w:rsidRDefault="00074FC3">
    <w:pPr>
      <w:pBdr>
        <w:top w:val="nil"/>
        <w:left w:val="nil"/>
        <w:bottom w:val="nil"/>
        <w:right w:val="nil"/>
        <w:between w:val="nil"/>
      </w:pBdr>
      <w:tabs>
        <w:tab w:val="center" w:pos="4252"/>
        <w:tab w:val="right" w:pos="8504"/>
      </w:tabs>
      <w:spacing w:after="0" w:line="240" w:lineRule="auto"/>
      <w:rPr>
        <w:rFonts w:ascii="Times New Roman" w:eastAsia="Times New Roman" w:hAnsi="Times New Roman" w:cs="Times New Roman"/>
        <w:color w:val="000000"/>
        <w:sz w:val="24"/>
        <w:szCs w:val="24"/>
      </w:rPr>
    </w:pPr>
    <w:r>
      <w:rPr>
        <w:noProof/>
      </w:rPr>
      <w:drawing>
        <wp:anchor distT="0" distB="0" distL="114300" distR="114300" simplePos="0" relativeHeight="251661312" behindDoc="1" locked="0" layoutInCell="1" allowOverlap="1" wp14:anchorId="71B5C3E1" wp14:editId="5854BBC0">
          <wp:simplePos x="0" y="0"/>
          <wp:positionH relativeFrom="column">
            <wp:posOffset>5624195</wp:posOffset>
          </wp:positionH>
          <wp:positionV relativeFrom="paragraph">
            <wp:posOffset>3070225</wp:posOffset>
          </wp:positionV>
          <wp:extent cx="1030605" cy="1256030"/>
          <wp:effectExtent l="0" t="0" r="0" b="1270"/>
          <wp:wrapNone/>
          <wp:docPr id="5173207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732070" name="Imagen 51732070"/>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30605" cy="1256030"/>
                  </a:xfrm>
                  <a:prstGeom prst="rect">
                    <a:avLst/>
                  </a:prstGeom>
                  <a:noFill/>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31483F" w14:textId="4CE78909" w:rsidR="002F5A66" w:rsidRDefault="00377C69">
    <w:pPr>
      <w:pBdr>
        <w:top w:val="nil"/>
        <w:left w:val="nil"/>
        <w:bottom w:val="nil"/>
        <w:right w:val="nil"/>
        <w:between w:val="nil"/>
      </w:pBdr>
      <w:tabs>
        <w:tab w:val="center" w:pos="4252"/>
        <w:tab w:val="right" w:pos="8504"/>
      </w:tabs>
      <w:spacing w:after="0" w:line="240" w:lineRule="auto"/>
      <w:jc w:val="center"/>
      <w:rPr>
        <w:b/>
        <w:color w:val="000000"/>
        <w:sz w:val="24"/>
        <w:szCs w:val="24"/>
      </w:rPr>
    </w:pPr>
    <w:r>
      <w:rPr>
        <w:b/>
        <w:color w:val="000000"/>
        <w:sz w:val="24"/>
        <w:szCs w:val="24"/>
      </w:rPr>
      <w:t>SALA SUPERIOR DEL TRIBUNAL DE JUSTICIA ADMINISTRATIVA Y COMBATE A LA CORRUPCIÓN DEL ESTADO DE OAXACA</w:t>
    </w:r>
    <w:r>
      <w:rPr>
        <w:noProof/>
      </w:rPr>
      <w:drawing>
        <wp:anchor distT="0" distB="0" distL="114300" distR="114300" simplePos="0" relativeHeight="251658240" behindDoc="0" locked="0" layoutInCell="1" hidden="0" allowOverlap="1" wp14:anchorId="33976707" wp14:editId="52585880">
          <wp:simplePos x="0" y="0"/>
          <wp:positionH relativeFrom="column">
            <wp:posOffset>-533397</wp:posOffset>
          </wp:positionH>
          <wp:positionV relativeFrom="paragraph">
            <wp:posOffset>-55242</wp:posOffset>
          </wp:positionV>
          <wp:extent cx="1620353" cy="495300"/>
          <wp:effectExtent l="0" t="0" r="0" b="0"/>
          <wp:wrapSquare wrapText="bothSides" distT="0" distB="0" distL="114300" distR="114300"/>
          <wp:docPr id="7"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t="8722" b="8590"/>
                  <a:stretch>
                    <a:fillRect/>
                  </a:stretch>
                </pic:blipFill>
                <pic:spPr>
                  <a:xfrm>
                    <a:off x="0" y="0"/>
                    <a:ext cx="1620353" cy="495300"/>
                  </a:xfrm>
                  <a:prstGeom prst="rect">
                    <a:avLst/>
                  </a:prstGeom>
                  <a:ln/>
                </pic:spPr>
              </pic:pic>
            </a:graphicData>
          </a:graphic>
        </wp:anchor>
      </w:drawing>
    </w:r>
  </w:p>
  <w:p w14:paraId="79AD6F47" w14:textId="09ED3E1A" w:rsidR="002F5A66" w:rsidRDefault="00377C69">
    <w:pPr>
      <w:pBdr>
        <w:top w:val="nil"/>
        <w:left w:val="nil"/>
        <w:bottom w:val="nil"/>
        <w:right w:val="nil"/>
        <w:between w:val="nil"/>
      </w:pBdr>
      <w:tabs>
        <w:tab w:val="center" w:pos="4252"/>
        <w:tab w:val="right" w:pos="8504"/>
      </w:tabs>
      <w:spacing w:after="0" w:line="240" w:lineRule="auto"/>
      <w:jc w:val="center"/>
      <w:rPr>
        <w:b/>
        <w:color w:val="000000"/>
        <w:sz w:val="24"/>
        <w:szCs w:val="24"/>
      </w:rPr>
    </w:pPr>
    <w:bookmarkStart w:id="4" w:name="_heading=h.3dy6vkm" w:colFirst="0" w:colLast="0"/>
    <w:bookmarkEnd w:id="4"/>
    <w:r>
      <w:rPr>
        <w:b/>
        <w:color w:val="000000"/>
        <w:sz w:val="24"/>
        <w:szCs w:val="24"/>
      </w:rPr>
      <w:t>R.R. 069/2023</w:t>
    </w:r>
  </w:p>
  <w:p w14:paraId="0D92E132" w14:textId="6980FE66" w:rsidR="002F5A66" w:rsidRDefault="00074FC3">
    <w:pPr>
      <w:pBdr>
        <w:top w:val="nil"/>
        <w:left w:val="nil"/>
        <w:bottom w:val="nil"/>
        <w:right w:val="nil"/>
        <w:between w:val="nil"/>
      </w:pBdr>
      <w:tabs>
        <w:tab w:val="center" w:pos="4252"/>
        <w:tab w:val="right" w:pos="8504"/>
        <w:tab w:val="left" w:pos="142"/>
      </w:tabs>
      <w:spacing w:after="0" w:line="240" w:lineRule="auto"/>
      <w:rPr>
        <w:rFonts w:ascii="Times New Roman" w:eastAsia="Times New Roman" w:hAnsi="Times New Roman" w:cs="Times New Roman"/>
        <w:color w:val="000000"/>
        <w:sz w:val="24"/>
        <w:szCs w:val="24"/>
      </w:rPr>
    </w:pPr>
    <w:r>
      <w:rPr>
        <w:noProof/>
      </w:rPr>
      <w:drawing>
        <wp:anchor distT="0" distB="0" distL="114300" distR="114300" simplePos="0" relativeHeight="251660288" behindDoc="1" locked="0" layoutInCell="1" allowOverlap="1" wp14:anchorId="20915626" wp14:editId="3CABAC02">
          <wp:simplePos x="0" y="0"/>
          <wp:positionH relativeFrom="column">
            <wp:posOffset>-1288415</wp:posOffset>
          </wp:positionH>
          <wp:positionV relativeFrom="paragraph">
            <wp:posOffset>2696845</wp:posOffset>
          </wp:positionV>
          <wp:extent cx="1030605" cy="1256030"/>
          <wp:effectExtent l="0" t="0" r="0" b="1270"/>
          <wp:wrapNone/>
          <wp:docPr id="1665190132" name="Imagen 1665190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732070" name="Imagen 51732070"/>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30605" cy="1256030"/>
                  </a:xfrm>
                  <a:prstGeom prst="rect">
                    <a:avLst/>
                  </a:prstGeom>
                  <a:noFill/>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E590B3" w14:textId="426458BB" w:rsidR="002F5A66" w:rsidRDefault="00377C69">
    <w:pPr>
      <w:pBdr>
        <w:top w:val="nil"/>
        <w:left w:val="nil"/>
        <w:bottom w:val="nil"/>
        <w:right w:val="nil"/>
        <w:between w:val="nil"/>
      </w:pBdr>
      <w:tabs>
        <w:tab w:val="center" w:pos="4252"/>
        <w:tab w:val="right" w:pos="8504"/>
      </w:tabs>
      <w:spacing w:after="0" w:line="240" w:lineRule="auto"/>
      <w:jc w:val="center"/>
      <w:rPr>
        <w:b/>
        <w:color w:val="000000"/>
        <w:sz w:val="24"/>
        <w:szCs w:val="24"/>
      </w:rPr>
    </w:pPr>
    <w:r>
      <w:rPr>
        <w:b/>
        <w:color w:val="000000"/>
        <w:sz w:val="24"/>
        <w:szCs w:val="24"/>
      </w:rPr>
      <w:t>SALA SUPERIOR DEL TRIBUNAL DE JUSTICIA ADMINISTRATIVA Y COMBATE A LA CORRUPCIÓN DEL ESTADO DE OAXACA</w:t>
    </w:r>
    <w:r>
      <w:rPr>
        <w:noProof/>
      </w:rPr>
      <w:drawing>
        <wp:anchor distT="0" distB="0" distL="114300" distR="114300" simplePos="0" relativeHeight="251659264" behindDoc="0" locked="0" layoutInCell="1" hidden="0" allowOverlap="1" wp14:anchorId="224801FD" wp14:editId="3F81186F">
          <wp:simplePos x="0" y="0"/>
          <wp:positionH relativeFrom="column">
            <wp:posOffset>-622297</wp:posOffset>
          </wp:positionH>
          <wp:positionV relativeFrom="paragraph">
            <wp:posOffset>-118741</wp:posOffset>
          </wp:positionV>
          <wp:extent cx="1620353" cy="495300"/>
          <wp:effectExtent l="0" t="0" r="0" b="0"/>
          <wp:wrapSquare wrapText="bothSides" distT="0" distB="0" distL="114300" distR="114300"/>
          <wp:docPr id="8"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t="8722" b="8590"/>
                  <a:stretch>
                    <a:fillRect/>
                  </a:stretch>
                </pic:blipFill>
                <pic:spPr>
                  <a:xfrm>
                    <a:off x="0" y="0"/>
                    <a:ext cx="1620353" cy="495300"/>
                  </a:xfrm>
                  <a:prstGeom prst="rect">
                    <a:avLst/>
                  </a:prstGeom>
                  <a:ln/>
                </pic:spPr>
              </pic:pic>
            </a:graphicData>
          </a:graphic>
        </wp:anchor>
      </w:drawing>
    </w:r>
  </w:p>
  <w:p w14:paraId="05ED0BA2" w14:textId="37EA0367" w:rsidR="002F5A66" w:rsidRDefault="00074FC3">
    <w:pPr>
      <w:pBdr>
        <w:top w:val="nil"/>
        <w:left w:val="nil"/>
        <w:bottom w:val="nil"/>
        <w:right w:val="nil"/>
        <w:between w:val="nil"/>
      </w:pBdr>
      <w:tabs>
        <w:tab w:val="center" w:pos="4252"/>
        <w:tab w:val="right" w:pos="8504"/>
      </w:tabs>
      <w:spacing w:after="0" w:line="240" w:lineRule="auto"/>
      <w:rPr>
        <w:rFonts w:ascii="Times New Roman" w:eastAsia="Times New Roman" w:hAnsi="Times New Roman" w:cs="Times New Roman"/>
        <w:color w:val="000000"/>
        <w:sz w:val="24"/>
        <w:szCs w:val="24"/>
      </w:rPr>
    </w:pPr>
    <w:r>
      <w:rPr>
        <w:noProof/>
      </w:rPr>
      <w:drawing>
        <wp:anchor distT="0" distB="0" distL="114300" distR="114300" simplePos="0" relativeHeight="251662336" behindDoc="1" locked="0" layoutInCell="1" allowOverlap="1" wp14:anchorId="5967507D" wp14:editId="40D6DA2B">
          <wp:simplePos x="0" y="0"/>
          <wp:positionH relativeFrom="column">
            <wp:posOffset>-1268730</wp:posOffset>
          </wp:positionH>
          <wp:positionV relativeFrom="paragraph">
            <wp:posOffset>4264025</wp:posOffset>
          </wp:positionV>
          <wp:extent cx="1030605" cy="1256030"/>
          <wp:effectExtent l="0" t="0" r="0" b="1270"/>
          <wp:wrapNone/>
          <wp:docPr id="617796668" name="Imagen 6177966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732070" name="Imagen 51732070"/>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30605" cy="1256030"/>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6C0A07"/>
    <w:multiLevelType w:val="multilevel"/>
    <w:tmpl w:val="B22E1906"/>
    <w:lvl w:ilvl="0">
      <w:start w:val="1"/>
      <w:numFmt w:val="bullet"/>
      <w:lvlText w:val="●"/>
      <w:lvlJc w:val="left"/>
      <w:pPr>
        <w:ind w:left="1428" w:hanging="360"/>
      </w:pPr>
      <w:rPr>
        <w:rFonts w:ascii="Noto Sans Symbols" w:eastAsia="Noto Sans Symbols" w:hAnsi="Noto Sans Symbols" w:cs="Noto Sans Symbols"/>
      </w:rPr>
    </w:lvl>
    <w:lvl w:ilvl="1">
      <w:start w:val="1"/>
      <w:numFmt w:val="bullet"/>
      <w:lvlText w:val="o"/>
      <w:lvlJc w:val="left"/>
      <w:pPr>
        <w:ind w:left="2148" w:hanging="360"/>
      </w:pPr>
      <w:rPr>
        <w:rFonts w:ascii="Courier New" w:eastAsia="Courier New" w:hAnsi="Courier New" w:cs="Courier New"/>
      </w:rPr>
    </w:lvl>
    <w:lvl w:ilvl="2">
      <w:start w:val="1"/>
      <w:numFmt w:val="bullet"/>
      <w:lvlText w:val="▪"/>
      <w:lvlJc w:val="left"/>
      <w:pPr>
        <w:ind w:left="2868" w:hanging="360"/>
      </w:pPr>
      <w:rPr>
        <w:rFonts w:ascii="Noto Sans Symbols" w:eastAsia="Noto Sans Symbols" w:hAnsi="Noto Sans Symbols" w:cs="Noto Sans Symbols"/>
      </w:rPr>
    </w:lvl>
    <w:lvl w:ilvl="3">
      <w:start w:val="1"/>
      <w:numFmt w:val="bullet"/>
      <w:lvlText w:val="●"/>
      <w:lvlJc w:val="left"/>
      <w:pPr>
        <w:ind w:left="3588" w:hanging="360"/>
      </w:pPr>
      <w:rPr>
        <w:rFonts w:ascii="Noto Sans Symbols" w:eastAsia="Noto Sans Symbols" w:hAnsi="Noto Sans Symbols" w:cs="Noto Sans Symbols"/>
      </w:rPr>
    </w:lvl>
    <w:lvl w:ilvl="4">
      <w:start w:val="1"/>
      <w:numFmt w:val="bullet"/>
      <w:lvlText w:val="o"/>
      <w:lvlJc w:val="left"/>
      <w:pPr>
        <w:ind w:left="4308" w:hanging="360"/>
      </w:pPr>
      <w:rPr>
        <w:rFonts w:ascii="Courier New" w:eastAsia="Courier New" w:hAnsi="Courier New" w:cs="Courier New"/>
      </w:rPr>
    </w:lvl>
    <w:lvl w:ilvl="5">
      <w:start w:val="1"/>
      <w:numFmt w:val="bullet"/>
      <w:lvlText w:val="▪"/>
      <w:lvlJc w:val="left"/>
      <w:pPr>
        <w:ind w:left="5028" w:hanging="360"/>
      </w:pPr>
      <w:rPr>
        <w:rFonts w:ascii="Noto Sans Symbols" w:eastAsia="Noto Sans Symbols" w:hAnsi="Noto Sans Symbols" w:cs="Noto Sans Symbols"/>
      </w:rPr>
    </w:lvl>
    <w:lvl w:ilvl="6">
      <w:start w:val="1"/>
      <w:numFmt w:val="bullet"/>
      <w:lvlText w:val="●"/>
      <w:lvlJc w:val="left"/>
      <w:pPr>
        <w:ind w:left="5748" w:hanging="360"/>
      </w:pPr>
      <w:rPr>
        <w:rFonts w:ascii="Noto Sans Symbols" w:eastAsia="Noto Sans Symbols" w:hAnsi="Noto Sans Symbols" w:cs="Noto Sans Symbols"/>
      </w:rPr>
    </w:lvl>
    <w:lvl w:ilvl="7">
      <w:start w:val="1"/>
      <w:numFmt w:val="bullet"/>
      <w:lvlText w:val="o"/>
      <w:lvlJc w:val="left"/>
      <w:pPr>
        <w:ind w:left="6468" w:hanging="360"/>
      </w:pPr>
      <w:rPr>
        <w:rFonts w:ascii="Courier New" w:eastAsia="Courier New" w:hAnsi="Courier New" w:cs="Courier New"/>
      </w:rPr>
    </w:lvl>
    <w:lvl w:ilvl="8">
      <w:start w:val="1"/>
      <w:numFmt w:val="bullet"/>
      <w:lvlText w:val="▪"/>
      <w:lvlJc w:val="left"/>
      <w:pPr>
        <w:ind w:left="7188" w:hanging="360"/>
      </w:pPr>
      <w:rPr>
        <w:rFonts w:ascii="Noto Sans Symbols" w:eastAsia="Noto Sans Symbols" w:hAnsi="Noto Sans Symbols" w:cs="Noto Sans Symbols"/>
      </w:rPr>
    </w:lvl>
  </w:abstractNum>
  <w:abstractNum w:abstractNumId="1" w15:restartNumberingAfterBreak="0">
    <w:nsid w:val="14B353F3"/>
    <w:multiLevelType w:val="multilevel"/>
    <w:tmpl w:val="BC105C9C"/>
    <w:lvl w:ilvl="0">
      <w:start w:val="1"/>
      <w:numFmt w:val="upperLetter"/>
      <w:lvlText w:val="%1."/>
      <w:lvlJc w:val="left"/>
      <w:pPr>
        <w:ind w:left="1428" w:hanging="360"/>
      </w:pPr>
    </w:lvl>
    <w:lvl w:ilvl="1">
      <w:start w:val="1"/>
      <w:numFmt w:val="bullet"/>
      <w:lvlText w:val="o"/>
      <w:lvlJc w:val="left"/>
      <w:pPr>
        <w:ind w:left="2148" w:hanging="360"/>
      </w:pPr>
      <w:rPr>
        <w:rFonts w:ascii="Courier New" w:eastAsia="Courier New" w:hAnsi="Courier New" w:cs="Courier New"/>
      </w:rPr>
    </w:lvl>
    <w:lvl w:ilvl="2">
      <w:start w:val="1"/>
      <w:numFmt w:val="bullet"/>
      <w:lvlText w:val="▪"/>
      <w:lvlJc w:val="left"/>
      <w:pPr>
        <w:ind w:left="2868" w:hanging="360"/>
      </w:pPr>
      <w:rPr>
        <w:rFonts w:ascii="Noto Sans Symbols" w:eastAsia="Noto Sans Symbols" w:hAnsi="Noto Sans Symbols" w:cs="Noto Sans Symbols"/>
      </w:rPr>
    </w:lvl>
    <w:lvl w:ilvl="3">
      <w:start w:val="1"/>
      <w:numFmt w:val="bullet"/>
      <w:lvlText w:val="●"/>
      <w:lvlJc w:val="left"/>
      <w:pPr>
        <w:ind w:left="3588" w:hanging="360"/>
      </w:pPr>
      <w:rPr>
        <w:rFonts w:ascii="Noto Sans Symbols" w:eastAsia="Noto Sans Symbols" w:hAnsi="Noto Sans Symbols" w:cs="Noto Sans Symbols"/>
      </w:rPr>
    </w:lvl>
    <w:lvl w:ilvl="4">
      <w:start w:val="1"/>
      <w:numFmt w:val="bullet"/>
      <w:lvlText w:val="o"/>
      <w:lvlJc w:val="left"/>
      <w:pPr>
        <w:ind w:left="4308" w:hanging="360"/>
      </w:pPr>
      <w:rPr>
        <w:rFonts w:ascii="Courier New" w:eastAsia="Courier New" w:hAnsi="Courier New" w:cs="Courier New"/>
      </w:rPr>
    </w:lvl>
    <w:lvl w:ilvl="5">
      <w:start w:val="1"/>
      <w:numFmt w:val="bullet"/>
      <w:lvlText w:val="▪"/>
      <w:lvlJc w:val="left"/>
      <w:pPr>
        <w:ind w:left="5028" w:hanging="360"/>
      </w:pPr>
      <w:rPr>
        <w:rFonts w:ascii="Noto Sans Symbols" w:eastAsia="Noto Sans Symbols" w:hAnsi="Noto Sans Symbols" w:cs="Noto Sans Symbols"/>
      </w:rPr>
    </w:lvl>
    <w:lvl w:ilvl="6">
      <w:start w:val="1"/>
      <w:numFmt w:val="bullet"/>
      <w:lvlText w:val="●"/>
      <w:lvlJc w:val="left"/>
      <w:pPr>
        <w:ind w:left="5748" w:hanging="360"/>
      </w:pPr>
      <w:rPr>
        <w:rFonts w:ascii="Noto Sans Symbols" w:eastAsia="Noto Sans Symbols" w:hAnsi="Noto Sans Symbols" w:cs="Noto Sans Symbols"/>
      </w:rPr>
    </w:lvl>
    <w:lvl w:ilvl="7">
      <w:start w:val="1"/>
      <w:numFmt w:val="bullet"/>
      <w:lvlText w:val="o"/>
      <w:lvlJc w:val="left"/>
      <w:pPr>
        <w:ind w:left="6468" w:hanging="360"/>
      </w:pPr>
      <w:rPr>
        <w:rFonts w:ascii="Courier New" w:eastAsia="Courier New" w:hAnsi="Courier New" w:cs="Courier New"/>
      </w:rPr>
    </w:lvl>
    <w:lvl w:ilvl="8">
      <w:start w:val="1"/>
      <w:numFmt w:val="bullet"/>
      <w:lvlText w:val="▪"/>
      <w:lvlJc w:val="left"/>
      <w:pPr>
        <w:ind w:left="7188" w:hanging="360"/>
      </w:pPr>
      <w:rPr>
        <w:rFonts w:ascii="Noto Sans Symbols" w:eastAsia="Noto Sans Symbols" w:hAnsi="Noto Sans Symbols" w:cs="Noto Sans Symbols"/>
      </w:rPr>
    </w:lvl>
  </w:abstractNum>
  <w:abstractNum w:abstractNumId="2" w15:restartNumberingAfterBreak="0">
    <w:nsid w:val="2E815117"/>
    <w:multiLevelType w:val="multilevel"/>
    <w:tmpl w:val="39D280DE"/>
    <w:lvl w:ilvl="0">
      <w:start w:val="1"/>
      <w:numFmt w:val="lowerLetter"/>
      <w:lvlText w:val="%1)"/>
      <w:lvlJc w:val="left"/>
      <w:pPr>
        <w:ind w:left="1428" w:hanging="360"/>
      </w:pPr>
      <w:rPr>
        <w:b/>
      </w:rPr>
    </w:lvl>
    <w:lvl w:ilvl="1">
      <w:start w:val="1"/>
      <w:numFmt w:val="lowerLetter"/>
      <w:lvlText w:val="%2."/>
      <w:lvlJc w:val="left"/>
      <w:pPr>
        <w:ind w:left="2148" w:hanging="360"/>
      </w:pPr>
    </w:lvl>
    <w:lvl w:ilvl="2">
      <w:start w:val="1"/>
      <w:numFmt w:val="lowerRoman"/>
      <w:lvlText w:val="%3."/>
      <w:lvlJc w:val="right"/>
      <w:pPr>
        <w:ind w:left="2868" w:hanging="180"/>
      </w:pPr>
    </w:lvl>
    <w:lvl w:ilvl="3">
      <w:start w:val="1"/>
      <w:numFmt w:val="decimal"/>
      <w:lvlText w:val="%4."/>
      <w:lvlJc w:val="left"/>
      <w:pPr>
        <w:ind w:left="3588" w:hanging="360"/>
      </w:pPr>
    </w:lvl>
    <w:lvl w:ilvl="4">
      <w:start w:val="1"/>
      <w:numFmt w:val="lowerLetter"/>
      <w:lvlText w:val="%5."/>
      <w:lvlJc w:val="left"/>
      <w:pPr>
        <w:ind w:left="4308" w:hanging="360"/>
      </w:pPr>
    </w:lvl>
    <w:lvl w:ilvl="5">
      <w:start w:val="1"/>
      <w:numFmt w:val="lowerRoman"/>
      <w:lvlText w:val="%6."/>
      <w:lvlJc w:val="right"/>
      <w:pPr>
        <w:ind w:left="5028" w:hanging="180"/>
      </w:pPr>
    </w:lvl>
    <w:lvl w:ilvl="6">
      <w:start w:val="1"/>
      <w:numFmt w:val="decimal"/>
      <w:lvlText w:val="%7."/>
      <w:lvlJc w:val="left"/>
      <w:pPr>
        <w:ind w:left="5748" w:hanging="360"/>
      </w:pPr>
    </w:lvl>
    <w:lvl w:ilvl="7">
      <w:start w:val="1"/>
      <w:numFmt w:val="lowerLetter"/>
      <w:lvlText w:val="%8."/>
      <w:lvlJc w:val="left"/>
      <w:pPr>
        <w:ind w:left="6468" w:hanging="360"/>
      </w:pPr>
    </w:lvl>
    <w:lvl w:ilvl="8">
      <w:start w:val="1"/>
      <w:numFmt w:val="lowerRoman"/>
      <w:lvlText w:val="%9."/>
      <w:lvlJc w:val="right"/>
      <w:pPr>
        <w:ind w:left="7188" w:hanging="180"/>
      </w:pPr>
    </w:lvl>
  </w:abstractNum>
  <w:abstractNum w:abstractNumId="3" w15:restartNumberingAfterBreak="0">
    <w:nsid w:val="480F2EFD"/>
    <w:multiLevelType w:val="multilevel"/>
    <w:tmpl w:val="AD980FD8"/>
    <w:lvl w:ilvl="0">
      <w:start w:val="1"/>
      <w:numFmt w:val="bullet"/>
      <w:lvlText w:val="●"/>
      <w:lvlJc w:val="left"/>
      <w:pPr>
        <w:ind w:left="1287" w:hanging="360"/>
      </w:pPr>
      <w:rPr>
        <w:rFonts w:ascii="Noto Sans Symbols" w:eastAsia="Noto Sans Symbols" w:hAnsi="Noto Sans Symbols" w:cs="Noto Sans Symbols"/>
      </w:rPr>
    </w:lvl>
    <w:lvl w:ilvl="1">
      <w:start w:val="1"/>
      <w:numFmt w:val="bullet"/>
      <w:lvlText w:val="o"/>
      <w:lvlJc w:val="left"/>
      <w:pPr>
        <w:ind w:left="2007" w:hanging="360"/>
      </w:pPr>
      <w:rPr>
        <w:rFonts w:ascii="Courier New" w:eastAsia="Courier New" w:hAnsi="Courier New" w:cs="Courier New"/>
      </w:rPr>
    </w:lvl>
    <w:lvl w:ilvl="2">
      <w:start w:val="1"/>
      <w:numFmt w:val="bullet"/>
      <w:lvlText w:val="▪"/>
      <w:lvlJc w:val="left"/>
      <w:pPr>
        <w:ind w:left="2727" w:hanging="360"/>
      </w:pPr>
      <w:rPr>
        <w:rFonts w:ascii="Noto Sans Symbols" w:eastAsia="Noto Sans Symbols" w:hAnsi="Noto Sans Symbols" w:cs="Noto Sans Symbols"/>
      </w:rPr>
    </w:lvl>
    <w:lvl w:ilvl="3">
      <w:start w:val="1"/>
      <w:numFmt w:val="bullet"/>
      <w:lvlText w:val="●"/>
      <w:lvlJc w:val="left"/>
      <w:pPr>
        <w:ind w:left="3447" w:hanging="360"/>
      </w:pPr>
      <w:rPr>
        <w:rFonts w:ascii="Noto Sans Symbols" w:eastAsia="Noto Sans Symbols" w:hAnsi="Noto Sans Symbols" w:cs="Noto Sans Symbols"/>
      </w:rPr>
    </w:lvl>
    <w:lvl w:ilvl="4">
      <w:start w:val="1"/>
      <w:numFmt w:val="bullet"/>
      <w:lvlText w:val="o"/>
      <w:lvlJc w:val="left"/>
      <w:pPr>
        <w:ind w:left="4167" w:hanging="360"/>
      </w:pPr>
      <w:rPr>
        <w:rFonts w:ascii="Courier New" w:eastAsia="Courier New" w:hAnsi="Courier New" w:cs="Courier New"/>
      </w:rPr>
    </w:lvl>
    <w:lvl w:ilvl="5">
      <w:start w:val="1"/>
      <w:numFmt w:val="bullet"/>
      <w:lvlText w:val="▪"/>
      <w:lvlJc w:val="left"/>
      <w:pPr>
        <w:ind w:left="4887" w:hanging="360"/>
      </w:pPr>
      <w:rPr>
        <w:rFonts w:ascii="Noto Sans Symbols" w:eastAsia="Noto Sans Symbols" w:hAnsi="Noto Sans Symbols" w:cs="Noto Sans Symbols"/>
      </w:rPr>
    </w:lvl>
    <w:lvl w:ilvl="6">
      <w:start w:val="1"/>
      <w:numFmt w:val="bullet"/>
      <w:lvlText w:val="●"/>
      <w:lvlJc w:val="left"/>
      <w:pPr>
        <w:ind w:left="5607" w:hanging="360"/>
      </w:pPr>
      <w:rPr>
        <w:rFonts w:ascii="Noto Sans Symbols" w:eastAsia="Noto Sans Symbols" w:hAnsi="Noto Sans Symbols" w:cs="Noto Sans Symbols"/>
      </w:rPr>
    </w:lvl>
    <w:lvl w:ilvl="7">
      <w:start w:val="1"/>
      <w:numFmt w:val="bullet"/>
      <w:lvlText w:val="o"/>
      <w:lvlJc w:val="left"/>
      <w:pPr>
        <w:ind w:left="6327" w:hanging="360"/>
      </w:pPr>
      <w:rPr>
        <w:rFonts w:ascii="Courier New" w:eastAsia="Courier New" w:hAnsi="Courier New" w:cs="Courier New"/>
      </w:rPr>
    </w:lvl>
    <w:lvl w:ilvl="8">
      <w:start w:val="1"/>
      <w:numFmt w:val="bullet"/>
      <w:lvlText w:val="▪"/>
      <w:lvlJc w:val="left"/>
      <w:pPr>
        <w:ind w:left="7047" w:hanging="360"/>
      </w:pPr>
      <w:rPr>
        <w:rFonts w:ascii="Noto Sans Symbols" w:eastAsia="Noto Sans Symbols" w:hAnsi="Noto Sans Symbols" w:cs="Noto Sans Symbols"/>
      </w:rPr>
    </w:lvl>
  </w:abstractNum>
  <w:num w:numId="1" w16cid:durableId="657072152">
    <w:abstractNumId w:val="3"/>
  </w:num>
  <w:num w:numId="2" w16cid:durableId="89467777">
    <w:abstractNumId w:val="0"/>
  </w:num>
  <w:num w:numId="3" w16cid:durableId="471405942">
    <w:abstractNumId w:val="2"/>
  </w:num>
  <w:num w:numId="4" w16cid:durableId="63468163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proofState w:spelling="clean" w:grammar="clean"/>
  <w:defaultTabStop w:val="720"/>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5A66"/>
    <w:rsid w:val="00074FC3"/>
    <w:rsid w:val="00274ACA"/>
    <w:rsid w:val="002F5A66"/>
    <w:rsid w:val="003642C4"/>
    <w:rsid w:val="00377C69"/>
    <w:rsid w:val="00625DCE"/>
    <w:rsid w:val="00740B61"/>
    <w:rsid w:val="007A45B6"/>
    <w:rsid w:val="00877C43"/>
    <w:rsid w:val="00986B7F"/>
    <w:rsid w:val="00AA49B0"/>
    <w:rsid w:val="00E722B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BFFE43"/>
  <w15:docId w15:val="{3291ACA9-CD07-43D0-AF4B-5B76732802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s-MX" w:eastAsia="es-MX"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63A9"/>
    <w:rPr>
      <w:rFonts w:eastAsiaTheme="minorEastAsia"/>
    </w:rPr>
  </w:style>
  <w:style w:type="paragraph" w:styleId="Ttulo1">
    <w:name w:val="heading 1"/>
    <w:basedOn w:val="Normal"/>
    <w:next w:val="Normal"/>
    <w:pPr>
      <w:keepNext/>
      <w:keepLines/>
      <w:spacing w:before="480" w:after="120"/>
      <w:outlineLvl w:val="0"/>
    </w:pPr>
    <w:rPr>
      <w:b/>
      <w:sz w:val="48"/>
      <w:szCs w:val="48"/>
    </w:rPr>
  </w:style>
  <w:style w:type="paragraph" w:styleId="Ttulo2">
    <w:name w:val="heading 2"/>
    <w:basedOn w:val="Normal"/>
    <w:next w:val="Normal"/>
    <w:pPr>
      <w:keepNext/>
      <w:keepLines/>
      <w:spacing w:before="360" w:after="80"/>
      <w:outlineLvl w:val="1"/>
    </w:pPr>
    <w:rPr>
      <w:b/>
      <w:sz w:val="36"/>
      <w:szCs w:val="36"/>
    </w:rPr>
  </w:style>
  <w:style w:type="paragraph" w:styleId="Ttulo3">
    <w:name w:val="heading 3"/>
    <w:basedOn w:val="Normal"/>
    <w:next w:val="Normal"/>
    <w:pPr>
      <w:keepNext/>
      <w:keepLines/>
      <w:spacing w:before="280" w:after="80"/>
      <w:outlineLvl w:val="2"/>
    </w:pPr>
    <w:rPr>
      <w:b/>
      <w:sz w:val="28"/>
      <w:szCs w:val="28"/>
    </w:rPr>
  </w:style>
  <w:style w:type="paragraph" w:styleId="Ttulo4">
    <w:name w:val="heading 4"/>
    <w:basedOn w:val="Normal"/>
    <w:next w:val="Normal"/>
    <w:pPr>
      <w:keepNext/>
      <w:keepLines/>
      <w:spacing w:before="240" w:after="40"/>
      <w:outlineLvl w:val="3"/>
    </w:pPr>
    <w:rPr>
      <w:b/>
      <w:sz w:val="24"/>
      <w:szCs w:val="24"/>
    </w:rPr>
  </w:style>
  <w:style w:type="paragraph" w:styleId="Ttulo5">
    <w:name w:val="heading 5"/>
    <w:basedOn w:val="Normal"/>
    <w:next w:val="Normal"/>
    <w:pPr>
      <w:keepNext/>
      <w:keepLines/>
      <w:spacing w:before="220" w:after="40"/>
      <w:outlineLvl w:val="4"/>
    </w:pPr>
    <w:rPr>
      <w:b/>
    </w:rPr>
  </w:style>
  <w:style w:type="paragraph" w:styleId="Ttulo6">
    <w:name w:val="heading 6"/>
    <w:basedOn w:val="Normal"/>
    <w:next w:val="Normal"/>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pPr>
      <w:keepNext/>
      <w:keepLines/>
      <w:spacing w:before="480" w:after="120"/>
    </w:pPr>
    <w:rPr>
      <w:b/>
      <w:sz w:val="72"/>
      <w:szCs w:val="72"/>
    </w:rPr>
  </w:style>
  <w:style w:type="paragraph" w:styleId="Prrafodelista">
    <w:name w:val="List Paragraph"/>
    <w:basedOn w:val="Normal"/>
    <w:uiPriority w:val="34"/>
    <w:qFormat/>
    <w:rsid w:val="00D263A9"/>
    <w:pPr>
      <w:ind w:left="720"/>
      <w:contextualSpacing/>
    </w:pPr>
  </w:style>
  <w:style w:type="paragraph" w:styleId="Textonotapie">
    <w:name w:val="footnote text"/>
    <w:basedOn w:val="Normal"/>
    <w:link w:val="TextonotapieCar"/>
    <w:uiPriority w:val="99"/>
    <w:unhideWhenUsed/>
    <w:rsid w:val="00D263A9"/>
    <w:pPr>
      <w:spacing w:after="0" w:line="240" w:lineRule="auto"/>
    </w:pPr>
    <w:rPr>
      <w:sz w:val="20"/>
      <w:szCs w:val="20"/>
    </w:rPr>
  </w:style>
  <w:style w:type="character" w:customStyle="1" w:styleId="TextonotapieCar">
    <w:name w:val="Texto nota pie Car"/>
    <w:basedOn w:val="Fuentedeprrafopredeter"/>
    <w:link w:val="Textonotapie"/>
    <w:uiPriority w:val="99"/>
    <w:rsid w:val="00D263A9"/>
    <w:rPr>
      <w:rFonts w:ascii="Calibri" w:eastAsiaTheme="minorEastAsia" w:hAnsi="Calibri" w:cs="Calibri"/>
      <w:sz w:val="20"/>
      <w:szCs w:val="20"/>
      <w:lang w:eastAsia="es-MX"/>
    </w:rPr>
  </w:style>
  <w:style w:type="character" w:styleId="Refdenotaalpie">
    <w:name w:val="footnote reference"/>
    <w:basedOn w:val="Fuentedeprrafopredeter"/>
    <w:uiPriority w:val="99"/>
    <w:unhideWhenUsed/>
    <w:rsid w:val="00D263A9"/>
    <w:rPr>
      <w:vertAlign w:val="superscript"/>
    </w:rPr>
  </w:style>
  <w:style w:type="paragraph" w:styleId="Sinespaciado">
    <w:name w:val="No Spacing"/>
    <w:uiPriority w:val="1"/>
    <w:qFormat/>
    <w:rsid w:val="00D263A9"/>
    <w:pPr>
      <w:spacing w:after="0" w:line="240" w:lineRule="auto"/>
    </w:pPr>
    <w:rPr>
      <w:rFonts w:eastAsiaTheme="minorEastAsia"/>
      <w:lang w:val="es-ES"/>
    </w:rPr>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6gr91bZnUKDOgthiFLwLkDk3Q5A==">CgMxLjAyCGguZ2pkZ3hzMgloLjMwajB6bGwyCWguMWZvYjl0ZTIJaC4zem55c2g3MgloLjNkeTZ2a204AHIhMXNzY0ljRFJLbUxoYnJ6UzFuN2hqVk80ZkR5U04tVVIy</go:docsCustomData>
</go:gDocsCustomXmlDataStorage>
</file>

<file path=customXml/itemProps1.xml><?xml version="1.0" encoding="utf-8"?>
<ds:datastoreItem xmlns:ds="http://schemas.openxmlformats.org/officeDocument/2006/customXml" ds:itemID="{A79FCDDA-85A2-4220-9FDC-38EE3A849F7B}">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12</Pages>
  <Words>3567</Words>
  <Characters>19619</Characters>
  <Application>Microsoft Office Word</Application>
  <DocSecurity>0</DocSecurity>
  <Lines>163</Lines>
  <Paragraphs>46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Pris 1ra Sala</dc:creator>
  <cp:lastModifiedBy>tjao_personal</cp:lastModifiedBy>
  <cp:revision>7</cp:revision>
  <cp:lastPrinted>2023-09-21T20:13:00Z</cp:lastPrinted>
  <dcterms:created xsi:type="dcterms:W3CDTF">2023-09-21T17:09:00Z</dcterms:created>
  <dcterms:modified xsi:type="dcterms:W3CDTF">2023-10-26T19:19:00Z</dcterms:modified>
</cp:coreProperties>
</file>