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21FA02" w14:textId="77777777" w:rsidR="00746F50" w:rsidRPr="00545C17" w:rsidRDefault="005F0519" w:rsidP="00545C17">
      <w:pPr>
        <w:spacing w:after="120"/>
        <w:ind w:left="3261" w:right="51"/>
        <w:jc w:val="both"/>
        <w:rPr>
          <w:rFonts w:ascii="Century Gothic" w:eastAsia="Century Gothic" w:hAnsi="Century Gothic" w:cs="Century Gothic"/>
          <w:sz w:val="24"/>
          <w:szCs w:val="24"/>
        </w:rPr>
      </w:pPr>
      <w:bookmarkStart w:id="0" w:name="_heading=h.gjdgxs" w:colFirst="0" w:colLast="0"/>
      <w:bookmarkEnd w:id="0"/>
      <w:r w:rsidRPr="00545C17">
        <w:rPr>
          <w:rFonts w:ascii="Century Gothic" w:eastAsia="Century Gothic" w:hAnsi="Century Gothic" w:cs="Century Gothic"/>
          <w:b/>
          <w:sz w:val="24"/>
          <w:szCs w:val="24"/>
        </w:rPr>
        <w:t xml:space="preserve">RECURSO DE REVISIÓN: </w:t>
      </w:r>
      <w:r w:rsidRPr="00545C17">
        <w:rPr>
          <w:rFonts w:ascii="Century Gothic" w:eastAsia="Century Gothic" w:hAnsi="Century Gothic" w:cs="Century Gothic"/>
          <w:sz w:val="24"/>
          <w:szCs w:val="24"/>
        </w:rPr>
        <w:t>079/2023.</w:t>
      </w:r>
    </w:p>
    <w:p w14:paraId="4580DDE4" w14:textId="77777777" w:rsidR="00746F50" w:rsidRPr="00545C17" w:rsidRDefault="005F0519" w:rsidP="00545C17">
      <w:pPr>
        <w:spacing w:after="120"/>
        <w:ind w:left="3261" w:right="51"/>
        <w:jc w:val="both"/>
        <w:rPr>
          <w:rFonts w:ascii="Century Gothic" w:eastAsia="Century Gothic" w:hAnsi="Century Gothic" w:cs="Century Gothic"/>
          <w:b/>
          <w:sz w:val="24"/>
          <w:szCs w:val="24"/>
        </w:rPr>
      </w:pPr>
      <w:r w:rsidRPr="00545C17">
        <w:rPr>
          <w:rFonts w:ascii="Century Gothic" w:eastAsia="Century Gothic" w:hAnsi="Century Gothic" w:cs="Century Gothic"/>
          <w:b/>
          <w:sz w:val="24"/>
          <w:szCs w:val="24"/>
        </w:rPr>
        <w:t>JUICIO DE NULIDAD:</w:t>
      </w:r>
      <w:r w:rsidRPr="00545C17">
        <w:rPr>
          <w:rFonts w:ascii="Century Gothic" w:eastAsia="Century Gothic" w:hAnsi="Century Gothic" w:cs="Century Gothic"/>
          <w:sz w:val="24"/>
          <w:szCs w:val="24"/>
        </w:rPr>
        <w:t xml:space="preserve"> </w:t>
      </w:r>
      <w:r w:rsidRPr="00545C17">
        <w:rPr>
          <w:rFonts w:ascii="Century Gothic" w:eastAsia="Century Gothic" w:hAnsi="Century Gothic" w:cs="Century Gothic"/>
          <w:b/>
          <w:sz w:val="24"/>
          <w:szCs w:val="24"/>
        </w:rPr>
        <w:t>0373/2023 PRIMERA SALA UNITARIA DE PRIMERA INSTANCIA DEL TRIBUNAL DE JUSTICIA ADMINISTRATIVA Y COMBATE A LA CORRUPCIÓN DEL ESTADO DE OAXACA, ANTES 64/2022 CUARTA SALA UNITARIA DE PRIMERA INSTANCIA.</w:t>
      </w:r>
    </w:p>
    <w:p w14:paraId="7BCD5262" w14:textId="77777777" w:rsidR="00746F50" w:rsidRPr="00545C17" w:rsidRDefault="005F0519" w:rsidP="00545C17">
      <w:pPr>
        <w:spacing w:after="120"/>
        <w:ind w:left="3261" w:right="51"/>
        <w:jc w:val="both"/>
        <w:rPr>
          <w:rFonts w:ascii="Century Gothic" w:eastAsia="Century Gothic" w:hAnsi="Century Gothic" w:cs="Century Gothic"/>
          <w:sz w:val="24"/>
          <w:szCs w:val="24"/>
        </w:rPr>
      </w:pPr>
      <w:bookmarkStart w:id="1" w:name="_heading=h.30j0zll" w:colFirst="0" w:colLast="0"/>
      <w:bookmarkEnd w:id="1"/>
      <w:r w:rsidRPr="00545C17">
        <w:rPr>
          <w:rFonts w:ascii="Century Gothic" w:eastAsia="Century Gothic" w:hAnsi="Century Gothic" w:cs="Century Gothic"/>
          <w:b/>
          <w:sz w:val="24"/>
          <w:szCs w:val="24"/>
        </w:rPr>
        <w:t>RECURRENTE:</w:t>
      </w:r>
      <w:r w:rsidRPr="00545C17">
        <w:rPr>
          <w:rFonts w:ascii="Century Gothic" w:eastAsia="Century Gothic" w:hAnsi="Century Gothic" w:cs="Century Gothic"/>
          <w:sz w:val="24"/>
          <w:szCs w:val="24"/>
        </w:rPr>
        <w:t xml:space="preserve"> POLICÍA VIAL CON NÚMERO ESTADÍSTICO PV-226 ADSCRITO A LA DIRECCIÓN DE MOVILIDAD DEPENDIENTE DE LA SECRETARÍA DE SEGURIDAD CIUDADANA, MOVILIDAD Y PROTECCIÓN CIVIL DEL MUNICIPIO DE OAXACA DE JUÁREZ.</w:t>
      </w:r>
    </w:p>
    <w:p w14:paraId="0EDE82A6" w14:textId="77777777" w:rsidR="00746F50" w:rsidRPr="00545C17" w:rsidRDefault="005F0519" w:rsidP="00545C17">
      <w:pPr>
        <w:spacing w:after="120"/>
        <w:ind w:left="3261" w:right="51"/>
        <w:jc w:val="both"/>
        <w:rPr>
          <w:rFonts w:ascii="Century Gothic" w:eastAsia="Century Gothic" w:hAnsi="Century Gothic" w:cs="Century Gothic"/>
          <w:sz w:val="24"/>
          <w:szCs w:val="24"/>
        </w:rPr>
      </w:pPr>
      <w:r w:rsidRPr="00545C17">
        <w:rPr>
          <w:rFonts w:ascii="Century Gothic" w:eastAsia="Century Gothic" w:hAnsi="Century Gothic" w:cs="Century Gothic"/>
          <w:b/>
          <w:sz w:val="24"/>
          <w:szCs w:val="24"/>
        </w:rPr>
        <w:t>PONENTE:</w:t>
      </w:r>
      <w:r w:rsidRPr="00545C17">
        <w:rPr>
          <w:rFonts w:ascii="Century Gothic" w:eastAsia="Century Gothic" w:hAnsi="Century Gothic" w:cs="Century Gothic"/>
          <w:sz w:val="24"/>
          <w:szCs w:val="24"/>
        </w:rPr>
        <w:t xml:space="preserve"> MAGISTRADA CRUZ ITZEL ESPINOSA ROJAS</w:t>
      </w:r>
    </w:p>
    <w:p w14:paraId="0946D653" w14:textId="77777777" w:rsidR="00746F50" w:rsidRDefault="00746F50" w:rsidP="00545C17">
      <w:pPr>
        <w:spacing w:after="0" w:line="360" w:lineRule="auto"/>
        <w:ind w:left="2410" w:right="51"/>
        <w:jc w:val="both"/>
        <w:rPr>
          <w:rFonts w:ascii="Century Gothic" w:eastAsia="Century Gothic" w:hAnsi="Century Gothic" w:cs="Century Gothic"/>
          <w:sz w:val="24"/>
          <w:szCs w:val="24"/>
        </w:rPr>
      </w:pPr>
    </w:p>
    <w:p w14:paraId="7D98F495" w14:textId="77777777" w:rsidR="00746F50" w:rsidRDefault="005F0519" w:rsidP="00545C17">
      <w:pPr>
        <w:widowControl w:val="0"/>
        <w:spacing w:after="120" w:line="360" w:lineRule="auto"/>
        <w:ind w:right="51" w:firstLine="567"/>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OAXACA DE JUÁREZ, OAXACA, A VEINTIUNO DE SEPTIEMBRE DE DOS MIL VEINTITRÉS.</w:t>
      </w:r>
    </w:p>
    <w:p w14:paraId="6FEBEE70" w14:textId="5685457F" w:rsidR="00746F50" w:rsidRDefault="005F0519" w:rsidP="00545C17">
      <w:pPr>
        <w:widowControl w:val="0"/>
        <w:spacing w:after="120"/>
        <w:ind w:right="51" w:firstLine="567"/>
        <w:jc w:val="both"/>
        <w:rPr>
          <w:rFonts w:ascii="Century Gothic" w:eastAsia="Century Gothic" w:hAnsi="Century Gothic" w:cs="Century Gothic"/>
          <w:b/>
          <w:sz w:val="24"/>
          <w:szCs w:val="24"/>
        </w:rPr>
      </w:pPr>
      <w:r>
        <w:rPr>
          <w:rFonts w:ascii="Century Gothic" w:eastAsia="Century Gothic" w:hAnsi="Century Gothic" w:cs="Century Gothic"/>
          <w:sz w:val="24"/>
          <w:szCs w:val="24"/>
        </w:rPr>
        <w:t>1.</w:t>
      </w:r>
      <w:r>
        <w:rPr>
          <w:rFonts w:ascii="Century Gothic" w:eastAsia="Century Gothic" w:hAnsi="Century Gothic" w:cs="Century Gothic"/>
          <w:b/>
          <w:sz w:val="24"/>
          <w:szCs w:val="24"/>
        </w:rPr>
        <w:t xml:space="preserve"> ÚNICO. Remisión del recurso</w:t>
      </w:r>
      <w:r>
        <w:rPr>
          <w:rFonts w:ascii="Century Gothic" w:eastAsia="Century Gothic" w:hAnsi="Century Gothic" w:cs="Century Gothic"/>
          <w:sz w:val="24"/>
          <w:szCs w:val="24"/>
        </w:rPr>
        <w:t xml:space="preserve">. Se tiene por recibido el cuaderno de revisión </w:t>
      </w:r>
      <w:r>
        <w:rPr>
          <w:rFonts w:ascii="Century Gothic" w:eastAsia="Century Gothic" w:hAnsi="Century Gothic" w:cs="Century Gothic"/>
          <w:b/>
          <w:sz w:val="24"/>
          <w:szCs w:val="24"/>
        </w:rPr>
        <w:t>079/2023</w:t>
      </w:r>
      <w:r>
        <w:rPr>
          <w:rFonts w:ascii="Century Gothic" w:eastAsia="Century Gothic" w:hAnsi="Century Gothic" w:cs="Century Gothic"/>
          <w:sz w:val="24"/>
          <w:szCs w:val="24"/>
        </w:rPr>
        <w:t xml:space="preserve"> que remite la Secretaría General de Acuerdos, con motivo del recurso de revisión interpuesto por </w:t>
      </w:r>
      <w:r>
        <w:rPr>
          <w:rFonts w:ascii="Century Gothic" w:eastAsia="Century Gothic" w:hAnsi="Century Gothic" w:cs="Century Gothic"/>
          <w:b/>
          <w:sz w:val="24"/>
          <w:szCs w:val="24"/>
        </w:rPr>
        <w:t>ELEAZID TRUJILLO LÓPEZ, en su carácter de Policía Vial con número estadístico PV-226, adscrito a la Dirección de  Movilidad del Municipio de Oaxaca de Juárez, Oaxaca,</w:t>
      </w:r>
      <w:r>
        <w:rPr>
          <w:rFonts w:ascii="Century Gothic" w:eastAsia="Century Gothic" w:hAnsi="Century Gothic" w:cs="Century Gothic"/>
          <w:sz w:val="24"/>
          <w:szCs w:val="24"/>
        </w:rPr>
        <w:t xml:space="preserve"> en contra de la sentencia de trece de enero de dos mil veintitrés, dictada en el expediente </w:t>
      </w:r>
      <w:r>
        <w:rPr>
          <w:rFonts w:ascii="Century Gothic" w:eastAsia="Century Gothic" w:hAnsi="Century Gothic" w:cs="Century Gothic"/>
          <w:b/>
          <w:sz w:val="24"/>
          <w:szCs w:val="24"/>
        </w:rPr>
        <w:t>0064/2022</w:t>
      </w:r>
      <w:r>
        <w:rPr>
          <w:rFonts w:ascii="Century Gothic" w:eastAsia="Century Gothic" w:hAnsi="Century Gothic" w:cs="Century Gothic"/>
          <w:sz w:val="24"/>
          <w:szCs w:val="24"/>
        </w:rPr>
        <w:t xml:space="preserve"> de la Cuarta Sala Unitaria de Primera Instancia del extinto Tribunal de Justicia Administrativa del Estado de Oaxaca, ahora radicado dentro del expediente 0373/2023 del índice de la Primera Sala Unitaria de Primera Instancia del Tribunal de Justicia Administrativa y Combate a la Corrupción del Estado de Oaxaca</w:t>
      </w:r>
      <w:r>
        <w:rPr>
          <w:rFonts w:ascii="Century Gothic" w:eastAsia="Century Gothic" w:hAnsi="Century Gothic" w:cs="Century Gothic"/>
          <w:b/>
          <w:sz w:val="24"/>
          <w:szCs w:val="24"/>
        </w:rPr>
        <w:t>,</w:t>
      </w:r>
      <w:r>
        <w:rPr>
          <w:rFonts w:ascii="Century Gothic" w:eastAsia="Century Gothic" w:hAnsi="Century Gothic" w:cs="Century Gothic"/>
          <w:sz w:val="24"/>
          <w:szCs w:val="24"/>
        </w:rPr>
        <w:t xml:space="preserve"> relativo al juicio de nulidad promovido por</w:t>
      </w:r>
      <w:r w:rsidR="00635F6A">
        <w:rPr>
          <w:rFonts w:ascii="Century Gothic" w:eastAsia="Century Gothic" w:hAnsi="Century Gothic" w:cs="Century Gothic"/>
          <w:b/>
          <w:sz w:val="24"/>
          <w:szCs w:val="24"/>
        </w:rPr>
        <w:t xml:space="preserve"> </w:t>
      </w:r>
      <w:r w:rsidR="00635F6A">
        <w:rPr>
          <w:rFonts w:ascii="Century Gothic" w:eastAsia="Century Gothic" w:hAnsi="Century Gothic" w:cs="Century Gothic"/>
          <w:b/>
          <w:color w:val="000000"/>
          <w:sz w:val="24"/>
          <w:szCs w:val="24"/>
        </w:rPr>
        <w:t>**********</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 xml:space="preserve">por lo que, con fundamento en los artículos 236 y 238 de la Ley de Procedimiento y Justicia Administrativa para el </w:t>
      </w:r>
      <w:r w:rsidR="00E71B08">
        <w:rPr>
          <w:rFonts w:ascii="Century Gothic" w:eastAsia="Century Gothic" w:hAnsi="Century Gothic" w:cs="Century Gothic"/>
          <w:sz w:val="24"/>
          <w:szCs w:val="24"/>
        </w:rPr>
        <w:t>Estado de Oaxaca y 23</w:t>
      </w:r>
      <w:r>
        <w:rPr>
          <w:rFonts w:ascii="Century Gothic" w:eastAsia="Century Gothic" w:hAnsi="Century Gothic" w:cs="Century Gothic"/>
          <w:sz w:val="24"/>
          <w:szCs w:val="24"/>
        </w:rPr>
        <w:t xml:space="preserve"> fracciones I y IV de la Ley Orgánica del Tribunal de Justicia Administrativa y Combate a la Corrupción del Estado de Oaxaca, se procede a dictar resolución en los siguientes términos: </w:t>
      </w:r>
      <w:r w:rsidR="00545C17">
        <w:rPr>
          <w:rFonts w:ascii="Century Gothic" w:eastAsia="Century Gothic" w:hAnsi="Century Gothic" w:cs="Century Gothic"/>
          <w:sz w:val="24"/>
          <w:szCs w:val="24"/>
        </w:rPr>
        <w:t>- - - - - - - - - - - - - -</w:t>
      </w:r>
    </w:p>
    <w:p w14:paraId="492737B2" w14:textId="77777777" w:rsidR="00746F50" w:rsidRDefault="005F0519">
      <w:pPr>
        <w:tabs>
          <w:tab w:val="center" w:pos="4418"/>
          <w:tab w:val="left" w:pos="6330"/>
        </w:tabs>
        <w:spacing w:after="120" w:line="360" w:lineRule="auto"/>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GLOSARIO:</w:t>
      </w:r>
    </w:p>
    <w:tbl>
      <w:tblPr>
        <w:tblStyle w:val="a"/>
        <w:tblW w:w="84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40"/>
        <w:gridCol w:w="5135"/>
      </w:tblGrid>
      <w:tr w:rsidR="00746F50" w14:paraId="24A7EC7B" w14:textId="77777777">
        <w:trPr>
          <w:trHeight w:val="583"/>
        </w:trPr>
        <w:tc>
          <w:tcPr>
            <w:tcW w:w="3340" w:type="dxa"/>
          </w:tcPr>
          <w:p w14:paraId="00908EFF" w14:textId="77777777" w:rsidR="00746F50" w:rsidRDefault="005F0519">
            <w:pPr>
              <w:tabs>
                <w:tab w:val="center" w:pos="4418"/>
                <w:tab w:val="left" w:pos="6330"/>
              </w:tabs>
              <w:jc w:val="center"/>
              <w:rPr>
                <w:rFonts w:ascii="Century Gothic" w:eastAsia="Century Gothic" w:hAnsi="Century Gothic" w:cs="Century Gothic"/>
                <w:b/>
                <w:i/>
              </w:rPr>
            </w:pPr>
            <w:r>
              <w:rPr>
                <w:rFonts w:ascii="Century Gothic" w:eastAsia="Century Gothic" w:hAnsi="Century Gothic" w:cs="Century Gothic"/>
                <w:b/>
                <w:i/>
              </w:rPr>
              <w:t>Constitución Federal:</w:t>
            </w:r>
          </w:p>
        </w:tc>
        <w:tc>
          <w:tcPr>
            <w:tcW w:w="5135" w:type="dxa"/>
          </w:tcPr>
          <w:p w14:paraId="44CA6C42" w14:textId="77777777" w:rsidR="00746F50" w:rsidRDefault="005F0519">
            <w:pPr>
              <w:tabs>
                <w:tab w:val="center" w:pos="4418"/>
                <w:tab w:val="left" w:pos="6330"/>
              </w:tabs>
              <w:jc w:val="center"/>
              <w:rPr>
                <w:rFonts w:ascii="Century Gothic" w:eastAsia="Century Gothic" w:hAnsi="Century Gothic" w:cs="Century Gothic"/>
              </w:rPr>
            </w:pPr>
            <w:r>
              <w:rPr>
                <w:rFonts w:ascii="Century Gothic" w:eastAsia="Century Gothic" w:hAnsi="Century Gothic" w:cs="Century Gothic"/>
              </w:rPr>
              <w:t>Constitución Política de los Estados Unidos Mexicanos.</w:t>
            </w:r>
          </w:p>
        </w:tc>
      </w:tr>
      <w:tr w:rsidR="00746F50" w14:paraId="18E8E9DD" w14:textId="77777777">
        <w:trPr>
          <w:trHeight w:val="601"/>
        </w:trPr>
        <w:tc>
          <w:tcPr>
            <w:tcW w:w="3340" w:type="dxa"/>
          </w:tcPr>
          <w:p w14:paraId="5927FB15" w14:textId="77777777" w:rsidR="00746F50" w:rsidRDefault="005F0519">
            <w:pPr>
              <w:tabs>
                <w:tab w:val="center" w:pos="4418"/>
                <w:tab w:val="left" w:pos="6330"/>
              </w:tabs>
              <w:jc w:val="center"/>
              <w:rPr>
                <w:rFonts w:ascii="Century Gothic" w:eastAsia="Century Gothic" w:hAnsi="Century Gothic" w:cs="Century Gothic"/>
                <w:b/>
                <w:i/>
              </w:rPr>
            </w:pPr>
            <w:r>
              <w:rPr>
                <w:rFonts w:ascii="Century Gothic" w:eastAsia="Century Gothic" w:hAnsi="Century Gothic" w:cs="Century Gothic"/>
                <w:b/>
                <w:i/>
              </w:rPr>
              <w:t>Constitución Local:</w:t>
            </w:r>
          </w:p>
        </w:tc>
        <w:tc>
          <w:tcPr>
            <w:tcW w:w="5135" w:type="dxa"/>
          </w:tcPr>
          <w:p w14:paraId="6DD82AA5" w14:textId="77777777" w:rsidR="00746F50" w:rsidRDefault="005F0519">
            <w:pPr>
              <w:tabs>
                <w:tab w:val="center" w:pos="4418"/>
                <w:tab w:val="left" w:pos="6330"/>
              </w:tabs>
              <w:jc w:val="center"/>
              <w:rPr>
                <w:rFonts w:ascii="Century Gothic" w:eastAsia="Century Gothic" w:hAnsi="Century Gothic" w:cs="Century Gothic"/>
              </w:rPr>
            </w:pPr>
            <w:r>
              <w:rPr>
                <w:rFonts w:ascii="Century Gothic" w:eastAsia="Century Gothic" w:hAnsi="Century Gothic" w:cs="Century Gothic"/>
              </w:rPr>
              <w:t>Constitución Política del Estado Libre y Soberano de Oaxaca.</w:t>
            </w:r>
          </w:p>
        </w:tc>
      </w:tr>
      <w:tr w:rsidR="00746F50" w14:paraId="2FC008BD" w14:textId="77777777">
        <w:trPr>
          <w:trHeight w:val="895"/>
        </w:trPr>
        <w:tc>
          <w:tcPr>
            <w:tcW w:w="3340" w:type="dxa"/>
          </w:tcPr>
          <w:p w14:paraId="3A6088BF" w14:textId="77777777" w:rsidR="00746F50" w:rsidRDefault="005F0519">
            <w:pPr>
              <w:tabs>
                <w:tab w:val="center" w:pos="4418"/>
                <w:tab w:val="left" w:pos="6330"/>
              </w:tabs>
              <w:jc w:val="center"/>
              <w:rPr>
                <w:rFonts w:ascii="Century Gothic" w:eastAsia="Century Gothic" w:hAnsi="Century Gothic" w:cs="Century Gothic"/>
                <w:b/>
                <w:i/>
              </w:rPr>
            </w:pPr>
            <w:r>
              <w:rPr>
                <w:rFonts w:ascii="Century Gothic" w:eastAsia="Century Gothic" w:hAnsi="Century Gothic" w:cs="Century Gothic"/>
                <w:b/>
                <w:i/>
              </w:rPr>
              <w:t>Ley de Procedimiento:</w:t>
            </w:r>
          </w:p>
        </w:tc>
        <w:tc>
          <w:tcPr>
            <w:tcW w:w="5135" w:type="dxa"/>
          </w:tcPr>
          <w:p w14:paraId="246AC97A" w14:textId="77777777" w:rsidR="00746F50" w:rsidRDefault="00E71B08">
            <w:pPr>
              <w:tabs>
                <w:tab w:val="center" w:pos="4418"/>
                <w:tab w:val="left" w:pos="6330"/>
              </w:tabs>
              <w:jc w:val="center"/>
              <w:rPr>
                <w:rFonts w:ascii="Century Gothic" w:eastAsia="Century Gothic" w:hAnsi="Century Gothic" w:cs="Century Gothic"/>
              </w:rPr>
            </w:pPr>
            <w:r>
              <w:rPr>
                <w:rFonts w:ascii="Century Gothic" w:eastAsia="Century Gothic" w:hAnsi="Century Gothic" w:cs="Century Gothic"/>
              </w:rPr>
              <w:t>Ley de Procedimiento</w:t>
            </w:r>
            <w:r w:rsidR="005F0519">
              <w:rPr>
                <w:rFonts w:ascii="Century Gothic" w:eastAsia="Century Gothic" w:hAnsi="Century Gothic" w:cs="Century Gothic"/>
              </w:rPr>
              <w:t xml:space="preserve"> y Justicia Administrativa para el Estado de Oaxaca.</w:t>
            </w:r>
          </w:p>
        </w:tc>
      </w:tr>
      <w:tr w:rsidR="00746F50" w14:paraId="5B49D527" w14:textId="77777777">
        <w:trPr>
          <w:trHeight w:val="588"/>
        </w:trPr>
        <w:tc>
          <w:tcPr>
            <w:tcW w:w="3340" w:type="dxa"/>
          </w:tcPr>
          <w:p w14:paraId="751C1612" w14:textId="77777777" w:rsidR="00746F50" w:rsidRDefault="005F0519">
            <w:pPr>
              <w:tabs>
                <w:tab w:val="center" w:pos="4418"/>
                <w:tab w:val="left" w:pos="6330"/>
              </w:tabs>
              <w:jc w:val="center"/>
              <w:rPr>
                <w:rFonts w:ascii="Century Gothic" w:eastAsia="Century Gothic" w:hAnsi="Century Gothic" w:cs="Century Gothic"/>
                <w:b/>
                <w:i/>
              </w:rPr>
            </w:pPr>
            <w:r>
              <w:rPr>
                <w:rFonts w:ascii="Century Gothic" w:eastAsia="Century Gothic" w:hAnsi="Century Gothic" w:cs="Century Gothic"/>
                <w:b/>
                <w:i/>
              </w:rPr>
              <w:lastRenderedPageBreak/>
              <w:t>Reglamento:</w:t>
            </w:r>
          </w:p>
        </w:tc>
        <w:tc>
          <w:tcPr>
            <w:tcW w:w="5135" w:type="dxa"/>
          </w:tcPr>
          <w:p w14:paraId="5187A175" w14:textId="77777777" w:rsidR="00746F50" w:rsidRDefault="005F0519">
            <w:pPr>
              <w:tabs>
                <w:tab w:val="center" w:pos="4418"/>
                <w:tab w:val="left" w:pos="6330"/>
              </w:tabs>
              <w:jc w:val="center"/>
              <w:rPr>
                <w:rFonts w:ascii="Century Gothic" w:eastAsia="Century Gothic" w:hAnsi="Century Gothic" w:cs="Century Gothic"/>
                <w:b/>
              </w:rPr>
            </w:pPr>
            <w:r>
              <w:rPr>
                <w:rFonts w:ascii="Century Gothic" w:eastAsia="Century Gothic" w:hAnsi="Century Gothic" w:cs="Century Gothic"/>
              </w:rPr>
              <w:t>Reglamento de Vialidad para el Municipio de Oaxaca de Juárez</w:t>
            </w:r>
          </w:p>
        </w:tc>
      </w:tr>
      <w:tr w:rsidR="00746F50" w14:paraId="4A18BCBE" w14:textId="77777777">
        <w:trPr>
          <w:trHeight w:val="588"/>
        </w:trPr>
        <w:tc>
          <w:tcPr>
            <w:tcW w:w="3340" w:type="dxa"/>
          </w:tcPr>
          <w:p w14:paraId="3A83163B" w14:textId="77777777" w:rsidR="00746F50" w:rsidRDefault="005F0519">
            <w:pPr>
              <w:tabs>
                <w:tab w:val="center" w:pos="4418"/>
                <w:tab w:val="left" w:pos="6330"/>
              </w:tabs>
              <w:jc w:val="center"/>
              <w:rPr>
                <w:rFonts w:ascii="Century Gothic" w:eastAsia="Century Gothic" w:hAnsi="Century Gothic" w:cs="Century Gothic"/>
                <w:b/>
                <w:i/>
              </w:rPr>
            </w:pPr>
            <w:r>
              <w:rPr>
                <w:rFonts w:ascii="Century Gothic" w:eastAsia="Century Gothic" w:hAnsi="Century Gothic" w:cs="Century Gothic"/>
                <w:b/>
                <w:i/>
              </w:rPr>
              <w:t>Secretaría de Seguridad Ciudadana:</w:t>
            </w:r>
          </w:p>
        </w:tc>
        <w:tc>
          <w:tcPr>
            <w:tcW w:w="5135" w:type="dxa"/>
          </w:tcPr>
          <w:p w14:paraId="51F89FD6" w14:textId="77777777" w:rsidR="00746F50" w:rsidRDefault="005F0519">
            <w:pPr>
              <w:tabs>
                <w:tab w:val="center" w:pos="4418"/>
                <w:tab w:val="left" w:pos="6330"/>
              </w:tabs>
              <w:jc w:val="center"/>
              <w:rPr>
                <w:rFonts w:ascii="Century Gothic" w:eastAsia="Century Gothic" w:hAnsi="Century Gothic" w:cs="Century Gothic"/>
              </w:rPr>
            </w:pPr>
            <w:r>
              <w:rPr>
                <w:rFonts w:ascii="Century Gothic" w:eastAsia="Century Gothic" w:hAnsi="Century Gothic" w:cs="Century Gothic"/>
              </w:rPr>
              <w:t>Secretaría de Seguridad Ciudadana, Movilidad y Protección Civil del Municipio de Oaxaca de Juárez, Oaxaca</w:t>
            </w:r>
          </w:p>
        </w:tc>
      </w:tr>
    </w:tbl>
    <w:p w14:paraId="320DA35C" w14:textId="77777777" w:rsidR="00746F50" w:rsidRDefault="00746F50">
      <w:pPr>
        <w:spacing w:after="120" w:line="360" w:lineRule="auto"/>
        <w:ind w:firstLine="708"/>
        <w:jc w:val="both"/>
        <w:rPr>
          <w:rFonts w:ascii="Century Gothic" w:eastAsia="Century Gothic" w:hAnsi="Century Gothic" w:cs="Century Gothic"/>
          <w:b/>
          <w:sz w:val="24"/>
          <w:szCs w:val="24"/>
        </w:rPr>
      </w:pPr>
    </w:p>
    <w:p w14:paraId="5040CE32" w14:textId="77777777" w:rsidR="00746F50" w:rsidRDefault="005F0519">
      <w:pPr>
        <w:spacing w:after="120" w:line="360" w:lineRule="auto"/>
        <w:ind w:firstLine="708"/>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R E S U L T A N D O</w:t>
      </w:r>
    </w:p>
    <w:p w14:paraId="613342D5" w14:textId="3FACDE8F" w:rsidR="00746F50" w:rsidRDefault="005F0519">
      <w:pPr>
        <w:pBdr>
          <w:top w:val="nil"/>
          <w:left w:val="nil"/>
          <w:bottom w:val="nil"/>
          <w:right w:val="nil"/>
          <w:between w:val="nil"/>
        </w:pBdr>
        <w:spacing w:after="0" w:line="360" w:lineRule="auto"/>
        <w:ind w:left="851" w:right="-376"/>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PRIMERO. Antecedentes</w:t>
      </w:r>
      <w:r>
        <w:rPr>
          <w:rFonts w:ascii="Century Gothic" w:eastAsia="Century Gothic" w:hAnsi="Century Gothic" w:cs="Century Gothic"/>
          <w:color w:val="000000"/>
          <w:sz w:val="24"/>
          <w:szCs w:val="24"/>
        </w:rPr>
        <w:t xml:space="preserve">. </w:t>
      </w:r>
    </w:p>
    <w:p w14:paraId="0697CA16" w14:textId="0A00C91D" w:rsidR="00746F50" w:rsidRDefault="005F0519">
      <w:pPr>
        <w:numPr>
          <w:ilvl w:val="0"/>
          <w:numId w:val="1"/>
        </w:numPr>
        <w:pBdr>
          <w:top w:val="nil"/>
          <w:left w:val="nil"/>
          <w:bottom w:val="nil"/>
          <w:right w:val="nil"/>
          <w:between w:val="nil"/>
        </w:pBdr>
        <w:spacing w:after="0" w:line="360" w:lineRule="auto"/>
        <w:ind w:left="426" w:right="-376" w:hanging="425"/>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Por escrito fechado el cinco y recibido el ocho ambos de julio de dos mil veintitrés, en la Oficialía de partes Común de este Tribunal, se tuvo a </w:t>
      </w:r>
      <w:r w:rsidR="00635F6A">
        <w:rPr>
          <w:rFonts w:ascii="Century Gothic" w:eastAsia="Century Gothic" w:hAnsi="Century Gothic" w:cs="Century Gothic"/>
          <w:b/>
          <w:color w:val="000000"/>
          <w:sz w:val="24"/>
          <w:szCs w:val="24"/>
        </w:rPr>
        <w:t xml:space="preserve"> ********** </w:t>
      </w:r>
      <w:r>
        <w:rPr>
          <w:rFonts w:ascii="Century Gothic" w:eastAsia="Century Gothic" w:hAnsi="Century Gothic" w:cs="Century Gothic"/>
          <w:color w:val="000000"/>
          <w:sz w:val="24"/>
          <w:szCs w:val="24"/>
        </w:rPr>
        <w:t xml:space="preserve">interponiendo juicio de nulidad en contra de los actos del Policía Vial, </w:t>
      </w:r>
      <w:r>
        <w:rPr>
          <w:rFonts w:ascii="Century Gothic" w:eastAsia="Century Gothic" w:hAnsi="Century Gothic" w:cs="Century Gothic"/>
          <w:b/>
          <w:color w:val="000000"/>
          <w:sz w:val="24"/>
          <w:szCs w:val="24"/>
        </w:rPr>
        <w:t>ELEAZID TRUJILLO LÓPEZ</w:t>
      </w:r>
      <w:r>
        <w:rPr>
          <w:rFonts w:ascii="Century Gothic" w:eastAsia="Century Gothic" w:hAnsi="Century Gothic" w:cs="Century Gothic"/>
          <w:color w:val="000000"/>
          <w:sz w:val="24"/>
          <w:szCs w:val="24"/>
        </w:rPr>
        <w:t xml:space="preserve">, con número estadístico PV-226 adscrito a la Dirección de Movilidad, dependiente de la Secretaría de Seguridad Ciudadana, Movilidad y Protección Civil del Municipio de Oaxaca de Juárez, Oaxaca; consistente en el acta de infracción </w:t>
      </w:r>
      <w:r>
        <w:rPr>
          <w:rFonts w:ascii="Century Gothic" w:eastAsia="Century Gothic" w:hAnsi="Century Gothic" w:cs="Century Gothic"/>
          <w:b/>
          <w:color w:val="000000"/>
          <w:sz w:val="24"/>
          <w:szCs w:val="24"/>
        </w:rPr>
        <w:t xml:space="preserve"> 01805 A, </w:t>
      </w:r>
      <w:r>
        <w:rPr>
          <w:rFonts w:ascii="Century Gothic" w:eastAsia="Century Gothic" w:hAnsi="Century Gothic" w:cs="Century Gothic"/>
          <w:color w:val="000000"/>
          <w:sz w:val="24"/>
          <w:szCs w:val="24"/>
        </w:rPr>
        <w:t xml:space="preserve">de veinticinco de junio de dos mil veintidós, formándose al respecto el expediente </w:t>
      </w:r>
      <w:r>
        <w:rPr>
          <w:rFonts w:ascii="Century Gothic" w:eastAsia="Century Gothic" w:hAnsi="Century Gothic" w:cs="Century Gothic"/>
          <w:b/>
          <w:color w:val="000000"/>
          <w:sz w:val="24"/>
          <w:szCs w:val="24"/>
        </w:rPr>
        <w:t>0064/2022</w:t>
      </w:r>
      <w:r>
        <w:rPr>
          <w:rFonts w:ascii="Century Gothic" w:eastAsia="Century Gothic" w:hAnsi="Century Gothic" w:cs="Century Gothic"/>
          <w:color w:val="000000"/>
          <w:sz w:val="24"/>
          <w:szCs w:val="24"/>
        </w:rPr>
        <w:t xml:space="preserve"> de la Cuarta Sala Unitaria de Primera Instancia del extinto Tribunal de Justicia Administrativa del Estado de Oaxaca, ahora radicado dentro del expediente </w:t>
      </w:r>
      <w:r>
        <w:rPr>
          <w:rFonts w:ascii="Century Gothic" w:eastAsia="Century Gothic" w:hAnsi="Century Gothic" w:cs="Century Gothic"/>
          <w:b/>
          <w:color w:val="000000"/>
          <w:sz w:val="24"/>
          <w:szCs w:val="24"/>
        </w:rPr>
        <w:t>0373/2023</w:t>
      </w:r>
      <w:r>
        <w:rPr>
          <w:rFonts w:ascii="Century Gothic" w:eastAsia="Century Gothic" w:hAnsi="Century Gothic" w:cs="Century Gothic"/>
          <w:color w:val="000000"/>
          <w:sz w:val="24"/>
          <w:szCs w:val="24"/>
        </w:rPr>
        <w:t xml:space="preserve"> del índice de la Primera Sala Unitaria de Primera Instancia del Tribunal de Justicia Administrativa y Combate a la Corrupción del Estado de Oaxaca.</w:t>
      </w:r>
    </w:p>
    <w:p w14:paraId="08306644" w14:textId="2995F6E2" w:rsidR="00746F50" w:rsidRDefault="005F0519">
      <w:pPr>
        <w:numPr>
          <w:ilvl w:val="0"/>
          <w:numId w:val="1"/>
        </w:numPr>
        <w:pBdr>
          <w:top w:val="nil"/>
          <w:left w:val="nil"/>
          <w:bottom w:val="nil"/>
          <w:right w:val="nil"/>
          <w:between w:val="nil"/>
        </w:pBdr>
        <w:spacing w:after="0" w:line="360" w:lineRule="auto"/>
        <w:ind w:left="426" w:right="-376" w:hanging="425"/>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En auto de once de julio de dos mil veintiuno (sic), se acordó que se tuvo por recibido el escrito de</w:t>
      </w:r>
      <w:r w:rsidR="00635F6A">
        <w:rPr>
          <w:rFonts w:ascii="Century Gothic" w:eastAsia="Century Gothic" w:hAnsi="Century Gothic" w:cs="Century Gothic"/>
          <w:b/>
          <w:color w:val="000000"/>
          <w:sz w:val="24"/>
          <w:szCs w:val="24"/>
        </w:rPr>
        <w:t xml:space="preserve"> </w:t>
      </w:r>
      <w:r w:rsidR="00635F6A">
        <w:rPr>
          <w:rFonts w:ascii="Century Gothic" w:eastAsia="Century Gothic" w:hAnsi="Century Gothic" w:cs="Century Gothic"/>
          <w:b/>
          <w:color w:val="000000"/>
          <w:sz w:val="24"/>
          <w:szCs w:val="24"/>
        </w:rPr>
        <w:t>**********</w:t>
      </w:r>
      <w:r>
        <w:rPr>
          <w:rFonts w:ascii="Century Gothic" w:eastAsia="Century Gothic" w:hAnsi="Century Gothic" w:cs="Century Gothic"/>
          <w:b/>
          <w:color w:val="000000"/>
          <w:sz w:val="24"/>
          <w:szCs w:val="24"/>
        </w:rPr>
        <w:t xml:space="preserve">, </w:t>
      </w:r>
      <w:r>
        <w:rPr>
          <w:rFonts w:ascii="Century Gothic" w:eastAsia="Century Gothic" w:hAnsi="Century Gothic" w:cs="Century Gothic"/>
          <w:color w:val="000000"/>
          <w:sz w:val="24"/>
          <w:szCs w:val="24"/>
        </w:rPr>
        <w:t xml:space="preserve">quien por su propio derecho demanda la nulidad del acta de infracción con número de folio 01805, de veinticinco de junio de la anualidad en cita, emitida por el Policía Vial Municipal; sin embargo, le dijo que del análisis del escrito de demanda y anexos, se advierte que el promovente no acredita el interés jurídico o legítimo que le reviste, toda vez que, si bien es cierto que anexa el original del acta de infracción con número de folio </w:t>
      </w:r>
      <w:r w:rsidR="00635F6A">
        <w:rPr>
          <w:rFonts w:ascii="Century Gothic" w:eastAsia="Century Gothic" w:hAnsi="Century Gothic" w:cs="Century Gothic"/>
          <w:color w:val="000000"/>
          <w:sz w:val="24"/>
          <w:szCs w:val="24"/>
        </w:rPr>
        <w:t>**********</w:t>
      </w:r>
      <w:r>
        <w:rPr>
          <w:rFonts w:ascii="Century Gothic" w:eastAsia="Century Gothic" w:hAnsi="Century Gothic" w:cs="Century Gothic"/>
          <w:color w:val="000000"/>
          <w:sz w:val="24"/>
          <w:szCs w:val="24"/>
        </w:rPr>
        <w:t>, de fecha veinticinco de junio de dos mil veintidós, también lo es, que fue no exhibe identificación oficial vigente, ni documento alguno con el que acredite ser propietario del vehículo con placas de circulación</w:t>
      </w:r>
      <w:r w:rsidR="00635F6A">
        <w:rPr>
          <w:rFonts w:ascii="Century Gothic" w:eastAsia="Century Gothic" w:hAnsi="Century Gothic" w:cs="Century Gothic"/>
          <w:color w:val="000000"/>
          <w:sz w:val="24"/>
          <w:szCs w:val="24"/>
        </w:rPr>
        <w:t xml:space="preserve"> ***********</w:t>
      </w:r>
      <w:r>
        <w:rPr>
          <w:rFonts w:ascii="Century Gothic" w:eastAsia="Century Gothic" w:hAnsi="Century Gothic" w:cs="Century Gothic"/>
          <w:color w:val="000000"/>
          <w:sz w:val="24"/>
          <w:szCs w:val="24"/>
        </w:rPr>
        <w:t>, marca</w:t>
      </w:r>
      <w:r w:rsidR="00635F6A">
        <w:rPr>
          <w:rFonts w:ascii="Century Gothic" w:eastAsia="Century Gothic" w:hAnsi="Century Gothic" w:cs="Century Gothic"/>
          <w:color w:val="000000"/>
          <w:sz w:val="24"/>
          <w:szCs w:val="24"/>
        </w:rPr>
        <w:t xml:space="preserve"> </w:t>
      </w:r>
      <w:r w:rsidR="00635F6A">
        <w:rPr>
          <w:rFonts w:ascii="Century Gothic" w:eastAsia="Century Gothic" w:hAnsi="Century Gothic" w:cs="Century Gothic"/>
          <w:b/>
          <w:color w:val="000000"/>
          <w:sz w:val="24"/>
          <w:szCs w:val="24"/>
        </w:rPr>
        <w:t>**********</w:t>
      </w:r>
      <w:r>
        <w:rPr>
          <w:rFonts w:ascii="Century Gothic" w:eastAsia="Century Gothic" w:hAnsi="Century Gothic" w:cs="Century Gothic"/>
          <w:color w:val="000000"/>
          <w:sz w:val="24"/>
          <w:szCs w:val="24"/>
        </w:rPr>
        <w:t>, color</w:t>
      </w:r>
      <w:r w:rsidR="00635F6A">
        <w:rPr>
          <w:rFonts w:ascii="Century Gothic" w:eastAsia="Century Gothic" w:hAnsi="Century Gothic" w:cs="Century Gothic"/>
          <w:color w:val="000000"/>
          <w:sz w:val="24"/>
          <w:szCs w:val="24"/>
        </w:rPr>
        <w:t xml:space="preserve"> </w:t>
      </w:r>
      <w:r w:rsidR="00635F6A">
        <w:rPr>
          <w:rFonts w:ascii="Century Gothic" w:eastAsia="Century Gothic" w:hAnsi="Century Gothic" w:cs="Century Gothic"/>
          <w:b/>
          <w:color w:val="000000"/>
          <w:sz w:val="24"/>
          <w:szCs w:val="24"/>
        </w:rPr>
        <w:t>**********</w:t>
      </w:r>
      <w:r>
        <w:rPr>
          <w:rFonts w:ascii="Century Gothic" w:eastAsia="Century Gothic" w:hAnsi="Century Gothic" w:cs="Century Gothic"/>
          <w:color w:val="000000"/>
          <w:sz w:val="24"/>
          <w:szCs w:val="24"/>
        </w:rPr>
        <w:t>; por lo tanto, SE RESERVÓ acordar la admisión de la demanda y requirió a</w:t>
      </w:r>
      <w:r w:rsidR="00635F6A">
        <w:rPr>
          <w:rFonts w:ascii="Century Gothic" w:eastAsia="Century Gothic" w:hAnsi="Century Gothic" w:cs="Century Gothic"/>
          <w:color w:val="000000"/>
          <w:sz w:val="24"/>
          <w:szCs w:val="24"/>
        </w:rPr>
        <w:t xml:space="preserve"> ***********</w:t>
      </w:r>
      <w:r>
        <w:rPr>
          <w:rFonts w:ascii="Century Gothic" w:eastAsia="Century Gothic" w:hAnsi="Century Gothic" w:cs="Century Gothic"/>
          <w:color w:val="000000"/>
          <w:sz w:val="24"/>
          <w:szCs w:val="24"/>
        </w:rPr>
        <w:t xml:space="preserve">, que en el término de tres días hábiles, que exhibiera lo siguiente: a) copia de una identificación oficial, expedida a su favor por autoridad competente para ello; b) copia certificada ante fedatario público de la tarjeta de circulación, en la que acredite que es propietaria del </w:t>
      </w:r>
      <w:r>
        <w:rPr>
          <w:rFonts w:ascii="Century Gothic" w:eastAsia="Century Gothic" w:hAnsi="Century Gothic" w:cs="Century Gothic"/>
          <w:color w:val="000000"/>
          <w:sz w:val="24"/>
          <w:szCs w:val="24"/>
        </w:rPr>
        <w:lastRenderedPageBreak/>
        <w:t>vehículo con placas de circulación</w:t>
      </w:r>
      <w:r w:rsidR="00635F6A">
        <w:rPr>
          <w:rFonts w:ascii="Century Gothic" w:eastAsia="Century Gothic" w:hAnsi="Century Gothic" w:cs="Century Gothic"/>
          <w:color w:val="000000"/>
          <w:sz w:val="24"/>
          <w:szCs w:val="24"/>
        </w:rPr>
        <w:t xml:space="preserve"> **********</w:t>
      </w:r>
      <w:r>
        <w:rPr>
          <w:rFonts w:ascii="Century Gothic" w:eastAsia="Century Gothic" w:hAnsi="Century Gothic" w:cs="Century Gothic"/>
          <w:color w:val="000000"/>
          <w:sz w:val="24"/>
          <w:szCs w:val="24"/>
        </w:rPr>
        <w:t>; y c) copia certificada de la licencia de conducir expedida a su favor</w:t>
      </w:r>
    </w:p>
    <w:p w14:paraId="43D001FD" w14:textId="77777777" w:rsidR="00746F50" w:rsidRDefault="005F0519">
      <w:pPr>
        <w:numPr>
          <w:ilvl w:val="0"/>
          <w:numId w:val="1"/>
        </w:numPr>
        <w:pBdr>
          <w:top w:val="nil"/>
          <w:left w:val="nil"/>
          <w:bottom w:val="nil"/>
          <w:right w:val="nil"/>
          <w:between w:val="nil"/>
        </w:pBdr>
        <w:spacing w:after="0" w:line="360" w:lineRule="auto"/>
        <w:ind w:left="426" w:right="-376" w:hanging="425"/>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Por escrito de diecisiete de agosto del dos mil veintidós, la actora presentó anexos para cumplir con el requerimiento que se le efectuó en el proveído.  </w:t>
      </w:r>
    </w:p>
    <w:p w14:paraId="1DE92519" w14:textId="6A515E90" w:rsidR="00746F50" w:rsidRDefault="005F0519">
      <w:pPr>
        <w:numPr>
          <w:ilvl w:val="0"/>
          <w:numId w:val="1"/>
        </w:numPr>
        <w:pBdr>
          <w:top w:val="nil"/>
          <w:left w:val="nil"/>
          <w:bottom w:val="nil"/>
          <w:right w:val="nil"/>
          <w:between w:val="nil"/>
        </w:pBdr>
        <w:spacing w:after="0" w:line="360" w:lineRule="auto"/>
        <w:ind w:left="426" w:right="-376" w:hanging="425"/>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Por acuerdo de cinco de octubre de dos mil veintidós, se le tuvo a</w:t>
      </w:r>
      <w:r w:rsidR="00635F6A">
        <w:rPr>
          <w:rFonts w:ascii="Century Gothic" w:eastAsia="Century Gothic" w:hAnsi="Century Gothic" w:cs="Century Gothic"/>
          <w:color w:val="000000"/>
          <w:sz w:val="24"/>
          <w:szCs w:val="24"/>
        </w:rPr>
        <w:t xml:space="preserve"> </w:t>
      </w:r>
      <w:r w:rsidR="00635F6A">
        <w:rPr>
          <w:rFonts w:ascii="Century Gothic" w:eastAsia="Century Gothic" w:hAnsi="Century Gothic" w:cs="Century Gothic"/>
          <w:b/>
          <w:color w:val="000000"/>
          <w:sz w:val="24"/>
          <w:szCs w:val="24"/>
        </w:rPr>
        <w:t>**********</w:t>
      </w:r>
      <w:r>
        <w:rPr>
          <w:rFonts w:ascii="Century Gothic" w:eastAsia="Century Gothic" w:hAnsi="Century Gothic" w:cs="Century Gothic"/>
          <w:color w:val="000000"/>
          <w:sz w:val="24"/>
          <w:szCs w:val="24"/>
        </w:rPr>
        <w:t>, cumpliendo parcialmente con las prevenciones realizadas por auto de once de julio de ese año, respecto al requerimiento de copia certificada de la licencia de conducir se dejó sin efectos dicho requerimiento; por lo que, al cumplir con los requisitos exigidos SE ADMITÓ su trámite de demanda de nulidad y admitió las pruebas que ofreció la parte actora; ordenó notificar, emplazar y correr traslado a la autoridad demandada Policía Vial que levantó el acta de infracción con número de folio</w:t>
      </w:r>
      <w:r w:rsidR="00635F6A">
        <w:rPr>
          <w:rFonts w:ascii="Century Gothic" w:eastAsia="Century Gothic" w:hAnsi="Century Gothic" w:cs="Century Gothic"/>
          <w:color w:val="000000"/>
          <w:sz w:val="24"/>
          <w:szCs w:val="24"/>
        </w:rPr>
        <w:t xml:space="preserve"> **********</w:t>
      </w:r>
      <w:r>
        <w:rPr>
          <w:rFonts w:ascii="Century Gothic" w:eastAsia="Century Gothic" w:hAnsi="Century Gothic" w:cs="Century Gothic"/>
          <w:color w:val="000000"/>
          <w:sz w:val="24"/>
          <w:szCs w:val="24"/>
        </w:rPr>
        <w:t>, adscrito a la Dirección de Movilidad,</w:t>
      </w:r>
    </w:p>
    <w:p w14:paraId="1440EFED" w14:textId="3C471705" w:rsidR="00746F50" w:rsidRDefault="005F0519">
      <w:pPr>
        <w:numPr>
          <w:ilvl w:val="0"/>
          <w:numId w:val="1"/>
        </w:numPr>
        <w:pBdr>
          <w:top w:val="nil"/>
          <w:left w:val="nil"/>
          <w:bottom w:val="nil"/>
          <w:right w:val="nil"/>
          <w:between w:val="nil"/>
        </w:pBdr>
        <w:spacing w:after="0" w:line="360" w:lineRule="auto"/>
        <w:ind w:left="426" w:right="-376" w:hanging="425"/>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Mediante auto de veinticinco de noviembre de dos mil veintidós, se le tiene al Policía Vial con número estadístico</w:t>
      </w:r>
      <w:r w:rsidR="00635F6A">
        <w:rPr>
          <w:rFonts w:ascii="Century Gothic" w:eastAsia="Century Gothic" w:hAnsi="Century Gothic" w:cs="Century Gothic"/>
          <w:color w:val="000000"/>
          <w:sz w:val="24"/>
          <w:szCs w:val="24"/>
        </w:rPr>
        <w:t xml:space="preserve"> </w:t>
      </w:r>
      <w:r w:rsidR="00635F6A">
        <w:rPr>
          <w:rFonts w:ascii="Century Gothic" w:eastAsia="Century Gothic" w:hAnsi="Century Gothic" w:cs="Century Gothic"/>
          <w:color w:val="000000"/>
          <w:sz w:val="24"/>
          <w:szCs w:val="24"/>
        </w:rPr>
        <w:t>*********</w:t>
      </w:r>
      <w:proofErr w:type="gramStart"/>
      <w:r w:rsidR="00635F6A">
        <w:rPr>
          <w:rFonts w:ascii="Century Gothic" w:eastAsia="Century Gothic" w:hAnsi="Century Gothic" w:cs="Century Gothic"/>
          <w:color w:val="000000"/>
          <w:sz w:val="24"/>
          <w:szCs w:val="24"/>
        </w:rPr>
        <w:t>*</w:t>
      </w:r>
      <w:r w:rsidR="00635F6A">
        <w:rPr>
          <w:rFonts w:ascii="Century Gothic" w:eastAsia="Century Gothic" w:hAnsi="Century Gothic" w:cs="Century Gothic"/>
          <w:color w:val="000000"/>
          <w:sz w:val="24"/>
          <w:szCs w:val="24"/>
        </w:rPr>
        <w:t xml:space="preserve"> </w:t>
      </w:r>
      <w:r>
        <w:rPr>
          <w:rFonts w:ascii="Century Gothic" w:eastAsia="Century Gothic" w:hAnsi="Century Gothic" w:cs="Century Gothic"/>
          <w:color w:val="000000"/>
          <w:sz w:val="24"/>
          <w:szCs w:val="24"/>
        </w:rPr>
        <w:t>,</w:t>
      </w:r>
      <w:proofErr w:type="gramEnd"/>
      <w:r>
        <w:rPr>
          <w:rFonts w:ascii="Century Gothic" w:eastAsia="Century Gothic" w:hAnsi="Century Gothic" w:cs="Century Gothic"/>
          <w:color w:val="000000"/>
          <w:sz w:val="24"/>
          <w:szCs w:val="24"/>
        </w:rPr>
        <w:t xml:space="preserve"> contestando en tiempo la demanda de nulidad de la parte actora; haciendo valer sus argumentos y defensas las cuales serán analizadas por este juzgador al momento de dictarse la sentencia en este juicio, se le admitieron las pruebas que ofreció y fijo día y hora para el verificativo de la audiencia de ley.</w:t>
      </w:r>
    </w:p>
    <w:p w14:paraId="1A410149" w14:textId="77777777" w:rsidR="00746F50" w:rsidRDefault="005F0519">
      <w:pPr>
        <w:numPr>
          <w:ilvl w:val="0"/>
          <w:numId w:val="1"/>
        </w:numPr>
        <w:pBdr>
          <w:top w:val="nil"/>
          <w:left w:val="nil"/>
          <w:bottom w:val="nil"/>
          <w:right w:val="nil"/>
          <w:between w:val="nil"/>
        </w:pBdr>
        <w:spacing w:after="0" w:line="360" w:lineRule="auto"/>
        <w:ind w:left="426" w:right="-376" w:hanging="425"/>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 Con fecha veinticinco de noviembre del dos mil veintidós, se efectuó la audiencia de Ley en la cual se desahogaron las pruebas, se abrió y cerró el periodo de alegatos y se citó a las partes para lectura de sentencia.</w:t>
      </w:r>
    </w:p>
    <w:p w14:paraId="4ADB0B1C" w14:textId="77777777" w:rsidR="00746F50" w:rsidRDefault="005F0519">
      <w:pPr>
        <w:numPr>
          <w:ilvl w:val="0"/>
          <w:numId w:val="1"/>
        </w:numPr>
        <w:pBdr>
          <w:top w:val="nil"/>
          <w:left w:val="nil"/>
          <w:bottom w:val="nil"/>
          <w:right w:val="nil"/>
          <w:between w:val="nil"/>
        </w:pBdr>
        <w:spacing w:after="0" w:line="360" w:lineRule="auto"/>
        <w:ind w:left="426" w:right="-376" w:hanging="425"/>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Con fecha trece de enero de dos mil veintitrés, se emitió resolución dentro del expediente </w:t>
      </w:r>
      <w:r>
        <w:rPr>
          <w:rFonts w:ascii="Century Gothic" w:eastAsia="Century Gothic" w:hAnsi="Century Gothic" w:cs="Century Gothic"/>
          <w:b/>
          <w:color w:val="000000"/>
          <w:sz w:val="24"/>
          <w:szCs w:val="24"/>
        </w:rPr>
        <w:t>0064/2022</w:t>
      </w:r>
      <w:r>
        <w:rPr>
          <w:rFonts w:ascii="Century Gothic" w:eastAsia="Century Gothic" w:hAnsi="Century Gothic" w:cs="Century Gothic"/>
          <w:color w:val="000000"/>
          <w:sz w:val="24"/>
          <w:szCs w:val="24"/>
        </w:rPr>
        <w:t xml:space="preserve"> de la Cuarta Sala Unitaria de Primera Instancia del extinto Tribunal de Justicia Administrativa del Estado de Oaxaca, ahora radicado dentro del expediente </w:t>
      </w:r>
      <w:r>
        <w:rPr>
          <w:rFonts w:ascii="Century Gothic" w:eastAsia="Century Gothic" w:hAnsi="Century Gothic" w:cs="Century Gothic"/>
          <w:b/>
          <w:color w:val="000000"/>
          <w:sz w:val="24"/>
          <w:szCs w:val="24"/>
        </w:rPr>
        <w:t>0373/2023</w:t>
      </w:r>
      <w:r>
        <w:rPr>
          <w:rFonts w:ascii="Century Gothic" w:eastAsia="Century Gothic" w:hAnsi="Century Gothic" w:cs="Century Gothic"/>
          <w:color w:val="000000"/>
          <w:sz w:val="24"/>
          <w:szCs w:val="24"/>
        </w:rPr>
        <w:t xml:space="preserve"> del índice de la Primera Sala Unitaria de Primera Instancia del Tribunal de Justicia Administrativa y Combate a la Corrupción del Estado de Oaxaca. </w:t>
      </w:r>
    </w:p>
    <w:p w14:paraId="504616D9" w14:textId="77777777" w:rsidR="00746F50" w:rsidRDefault="005F0519">
      <w:pPr>
        <w:numPr>
          <w:ilvl w:val="0"/>
          <w:numId w:val="1"/>
        </w:numPr>
        <w:pBdr>
          <w:top w:val="nil"/>
          <w:left w:val="nil"/>
          <w:bottom w:val="nil"/>
          <w:right w:val="nil"/>
          <w:between w:val="nil"/>
        </w:pBdr>
        <w:spacing w:after="120" w:line="360" w:lineRule="auto"/>
        <w:ind w:left="426" w:right="-376" w:hanging="425"/>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Mediante auto de fecha veinticuatro de febrero de dos mil veintitrés se tuvo por recibido en la Oficialía de Partes Común el oficio DM/DJ/076/2023, suscrito por </w:t>
      </w:r>
      <w:r>
        <w:rPr>
          <w:rFonts w:ascii="Century Gothic" w:eastAsia="Century Gothic" w:hAnsi="Century Gothic" w:cs="Century Gothic"/>
          <w:b/>
          <w:color w:val="000000"/>
          <w:sz w:val="24"/>
          <w:szCs w:val="24"/>
        </w:rPr>
        <w:t>ELEAZID TRUJILLO LÓPEZ</w:t>
      </w:r>
      <w:r>
        <w:rPr>
          <w:rFonts w:ascii="Century Gothic" w:eastAsia="Century Gothic" w:hAnsi="Century Gothic" w:cs="Century Gothic"/>
          <w:color w:val="000000"/>
          <w:sz w:val="24"/>
          <w:szCs w:val="24"/>
        </w:rPr>
        <w:t xml:space="preserve">, Policía Vial con número estadístico PV-226, adscrito a la Dirección de Movilidad del </w:t>
      </w:r>
      <w:r>
        <w:rPr>
          <w:rFonts w:ascii="Century Gothic" w:eastAsia="Century Gothic" w:hAnsi="Century Gothic" w:cs="Century Gothic"/>
          <w:color w:val="000000"/>
          <w:sz w:val="24"/>
          <w:szCs w:val="24"/>
        </w:rPr>
        <w:lastRenderedPageBreak/>
        <w:t>Municipio de Oaxaca de Juárez, Oaxaca por el cual interpone recurso de revisión en contra de la sentencia de fecha trece de enero de dos mil veintitrés emitida en el juicio de nulidad al rubro indicado.</w:t>
      </w:r>
    </w:p>
    <w:p w14:paraId="2BE76F54" w14:textId="77777777" w:rsidR="00746F50" w:rsidRDefault="005F0519">
      <w:pPr>
        <w:spacing w:after="120" w:line="360" w:lineRule="auto"/>
        <w:ind w:firstLine="708"/>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SEGUNDO. Determinación recurrida. </w:t>
      </w:r>
    </w:p>
    <w:p w14:paraId="68A6C3F4" w14:textId="4E926700" w:rsidR="00746F50" w:rsidRDefault="00712707">
      <w:pPr>
        <w:spacing w:after="12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2</w:t>
      </w:r>
      <w:r w:rsidR="005F0519">
        <w:rPr>
          <w:rFonts w:ascii="Century Gothic" w:eastAsia="Century Gothic" w:hAnsi="Century Gothic" w:cs="Century Gothic"/>
          <w:sz w:val="24"/>
          <w:szCs w:val="24"/>
        </w:rPr>
        <w:t xml:space="preserve">. Inconforme con la sentencia de trece de enero de dos mil veintitrés, dictada dentro del juicio de nulidad ahora radicado dentro del expediente </w:t>
      </w:r>
      <w:r w:rsidR="005F0519">
        <w:rPr>
          <w:rFonts w:ascii="Century Gothic" w:eastAsia="Century Gothic" w:hAnsi="Century Gothic" w:cs="Century Gothic"/>
          <w:b/>
          <w:sz w:val="24"/>
          <w:szCs w:val="24"/>
        </w:rPr>
        <w:t>0373/2023</w:t>
      </w:r>
      <w:r w:rsidR="005F0519">
        <w:rPr>
          <w:rFonts w:ascii="Century Gothic" w:eastAsia="Century Gothic" w:hAnsi="Century Gothic" w:cs="Century Gothic"/>
          <w:sz w:val="24"/>
          <w:szCs w:val="24"/>
        </w:rPr>
        <w:t xml:space="preserve"> del índice de la Primera Sala Unitaria de Primera Instancia del Tribunal de Justicia Administrativa y Combate a la Corrupción del Estado de Oaxaca, </w:t>
      </w:r>
      <w:r w:rsidR="005F0519">
        <w:rPr>
          <w:rFonts w:ascii="Century Gothic" w:eastAsia="Century Gothic" w:hAnsi="Century Gothic" w:cs="Century Gothic"/>
          <w:b/>
          <w:sz w:val="24"/>
          <w:szCs w:val="24"/>
        </w:rPr>
        <w:t>ELEAZID TRUJILLO LÓPEZ</w:t>
      </w:r>
      <w:r w:rsidR="005F0519">
        <w:rPr>
          <w:rFonts w:ascii="Century Gothic" w:eastAsia="Century Gothic" w:hAnsi="Century Gothic" w:cs="Century Gothic"/>
          <w:sz w:val="24"/>
          <w:szCs w:val="24"/>
        </w:rPr>
        <w:t>, Policía Vial con número estadístico PV-226, adscrito a la Dirección de Movilidad del Municipio de Oaxaca de Juárez, Oaxaca por el cual interpone recurso de revisión.</w:t>
      </w:r>
    </w:p>
    <w:p w14:paraId="60B84AB2" w14:textId="79BD9EBC" w:rsidR="00746F50" w:rsidRDefault="00712707">
      <w:pPr>
        <w:spacing w:after="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3</w:t>
      </w:r>
      <w:r w:rsidR="005F0519">
        <w:rPr>
          <w:rFonts w:ascii="Century Gothic" w:eastAsia="Century Gothic" w:hAnsi="Century Gothic" w:cs="Century Gothic"/>
          <w:sz w:val="24"/>
          <w:szCs w:val="24"/>
        </w:rPr>
        <w:t>. Los puntos resolutivos de la sentencia recurrida son los siguientes:</w:t>
      </w:r>
    </w:p>
    <w:p w14:paraId="19166D73" w14:textId="77777777" w:rsidR="00746F50" w:rsidRDefault="005F0519">
      <w:pPr>
        <w:spacing w:after="0" w:line="360" w:lineRule="auto"/>
        <w:ind w:left="567" w:right="616" w:firstLine="283"/>
        <w:jc w:val="both"/>
        <w:rPr>
          <w:rFonts w:ascii="Century Gothic" w:eastAsia="Century Gothic" w:hAnsi="Century Gothic" w:cs="Century Gothic"/>
          <w:i/>
        </w:rPr>
      </w:pPr>
      <w:r>
        <w:rPr>
          <w:rFonts w:ascii="Century Gothic" w:eastAsia="Century Gothic" w:hAnsi="Century Gothic" w:cs="Century Gothic"/>
          <w:b/>
          <w:i/>
        </w:rPr>
        <w:t xml:space="preserve">“PRIMERO. </w:t>
      </w:r>
      <w:r>
        <w:rPr>
          <w:rFonts w:ascii="Century Gothic" w:eastAsia="Century Gothic" w:hAnsi="Century Gothic" w:cs="Century Gothic"/>
          <w:i/>
        </w:rPr>
        <w:t xml:space="preserve">Esta Cuarta Sala Unitaria fue competente para conocer y resolver del presente asunto. </w:t>
      </w:r>
    </w:p>
    <w:p w14:paraId="0C71A601" w14:textId="77777777" w:rsidR="00746F50" w:rsidRDefault="005F0519">
      <w:pPr>
        <w:spacing w:after="0" w:line="360" w:lineRule="auto"/>
        <w:ind w:left="567" w:right="616" w:firstLine="283"/>
        <w:jc w:val="both"/>
        <w:rPr>
          <w:rFonts w:ascii="Century Gothic" w:eastAsia="Century Gothic" w:hAnsi="Century Gothic" w:cs="Century Gothic"/>
          <w:i/>
        </w:rPr>
      </w:pPr>
      <w:r>
        <w:rPr>
          <w:rFonts w:ascii="Century Gothic" w:eastAsia="Century Gothic" w:hAnsi="Century Gothic" w:cs="Century Gothic"/>
          <w:b/>
          <w:i/>
        </w:rPr>
        <w:t xml:space="preserve">SEGUNDO. </w:t>
      </w:r>
      <w:r>
        <w:rPr>
          <w:rFonts w:ascii="Century Gothic" w:eastAsia="Century Gothic" w:hAnsi="Century Gothic" w:cs="Century Gothic"/>
          <w:i/>
        </w:rPr>
        <w:t xml:space="preserve">La personalidad de las partes quedo acreditada en autos. </w:t>
      </w:r>
    </w:p>
    <w:p w14:paraId="7EFA23F0" w14:textId="77777777" w:rsidR="00746F50" w:rsidRDefault="005F0519">
      <w:pPr>
        <w:spacing w:after="0" w:line="360" w:lineRule="auto"/>
        <w:ind w:left="567" w:right="616" w:firstLine="283"/>
        <w:jc w:val="both"/>
        <w:rPr>
          <w:rFonts w:ascii="Century Gothic" w:eastAsia="Century Gothic" w:hAnsi="Century Gothic" w:cs="Century Gothic"/>
          <w:i/>
        </w:rPr>
      </w:pPr>
      <w:r>
        <w:rPr>
          <w:rFonts w:ascii="Century Gothic" w:eastAsia="Century Gothic" w:hAnsi="Century Gothic" w:cs="Century Gothic"/>
          <w:b/>
          <w:i/>
        </w:rPr>
        <w:t xml:space="preserve">TERCERO. </w:t>
      </w:r>
      <w:r>
        <w:rPr>
          <w:rFonts w:ascii="Century Gothic" w:eastAsia="Century Gothic" w:hAnsi="Century Gothic" w:cs="Century Gothic"/>
          <w:i/>
        </w:rPr>
        <w:t xml:space="preserve">No se actualizaron las causales de improcedencia hechas valer por la autoridad demandada, por lo que </w:t>
      </w:r>
      <w:r>
        <w:rPr>
          <w:rFonts w:ascii="Century Gothic" w:eastAsia="Century Gothic" w:hAnsi="Century Gothic" w:cs="Century Gothic"/>
          <w:b/>
          <w:i/>
        </w:rPr>
        <w:t>NO SE SOBRESEE EL JUICIO</w:t>
      </w:r>
      <w:r>
        <w:rPr>
          <w:rFonts w:ascii="Century Gothic" w:eastAsia="Century Gothic" w:hAnsi="Century Gothic" w:cs="Century Gothic"/>
          <w:i/>
        </w:rPr>
        <w:t xml:space="preserve">. </w:t>
      </w:r>
    </w:p>
    <w:p w14:paraId="5D41BB80" w14:textId="77777777" w:rsidR="00746F50" w:rsidRDefault="005F0519">
      <w:pPr>
        <w:spacing w:after="0" w:line="360" w:lineRule="auto"/>
        <w:ind w:left="567" w:right="616" w:firstLine="283"/>
        <w:jc w:val="both"/>
        <w:rPr>
          <w:rFonts w:ascii="Century Gothic" w:eastAsia="Century Gothic" w:hAnsi="Century Gothic" w:cs="Century Gothic"/>
          <w:i/>
        </w:rPr>
      </w:pPr>
      <w:r>
        <w:rPr>
          <w:rFonts w:ascii="Century Gothic" w:eastAsia="Century Gothic" w:hAnsi="Century Gothic" w:cs="Century Gothic"/>
          <w:b/>
          <w:i/>
        </w:rPr>
        <w:t xml:space="preserve">CUARTO. </w:t>
      </w:r>
      <w:r>
        <w:rPr>
          <w:rFonts w:ascii="Century Gothic" w:eastAsia="Century Gothic" w:hAnsi="Century Gothic" w:cs="Century Gothic"/>
          <w:i/>
        </w:rPr>
        <w:t xml:space="preserve">Se declara la </w:t>
      </w:r>
      <w:r>
        <w:rPr>
          <w:rFonts w:ascii="Century Gothic" w:eastAsia="Century Gothic" w:hAnsi="Century Gothic" w:cs="Century Gothic"/>
          <w:b/>
          <w:i/>
        </w:rPr>
        <w:t xml:space="preserve">NULIDAD LISA Y LLANA </w:t>
      </w:r>
      <w:r>
        <w:rPr>
          <w:rFonts w:ascii="Century Gothic" w:eastAsia="Century Gothic" w:hAnsi="Century Gothic" w:cs="Century Gothic"/>
          <w:i/>
        </w:rPr>
        <w:t xml:space="preserve">del acta de infracción </w:t>
      </w:r>
      <w:r>
        <w:rPr>
          <w:rFonts w:ascii="Century Gothic" w:eastAsia="Century Gothic" w:hAnsi="Century Gothic" w:cs="Century Gothic"/>
          <w:b/>
          <w:i/>
        </w:rPr>
        <w:t xml:space="preserve">01805 A, </w:t>
      </w:r>
      <w:r>
        <w:rPr>
          <w:rFonts w:ascii="Century Gothic" w:eastAsia="Century Gothic" w:hAnsi="Century Gothic" w:cs="Century Gothic"/>
          <w:i/>
        </w:rPr>
        <w:t>de veinticinco de junio de dos mil veintidós, emitido por el Policía Vial con número estadístico PV-226, adscrito a la Dirección de Movilidad, dependiente de la Secretaria de Seguridad Ciudadana, Movilidad y Protección Civil del Municipio de Oaxaca de Juárez, como quedo precisado en el último párrafo del considerando cuarto de esta sentencia…</w:t>
      </w:r>
      <w:r>
        <w:rPr>
          <w:rFonts w:ascii="Century Gothic" w:eastAsia="Century Gothic" w:hAnsi="Century Gothic" w:cs="Century Gothic"/>
          <w:b/>
          <w:sz w:val="24"/>
          <w:szCs w:val="24"/>
        </w:rPr>
        <w:t>”</w:t>
      </w:r>
    </w:p>
    <w:p w14:paraId="3DC30D85" w14:textId="77777777" w:rsidR="00746F50" w:rsidRDefault="005F0519">
      <w:pPr>
        <w:widowControl w:val="0"/>
        <w:tabs>
          <w:tab w:val="left" w:pos="7938"/>
        </w:tabs>
        <w:spacing w:before="240" w:after="120" w:line="360" w:lineRule="auto"/>
        <w:ind w:left="1134" w:right="616"/>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C O N S I D E R A N D O</w:t>
      </w:r>
    </w:p>
    <w:p w14:paraId="7EEA6FFE" w14:textId="77777777" w:rsidR="00746F50" w:rsidRDefault="005F0519">
      <w:pPr>
        <w:widowControl w:val="0"/>
        <w:pBdr>
          <w:top w:val="nil"/>
          <w:left w:val="nil"/>
          <w:bottom w:val="nil"/>
          <w:right w:val="nil"/>
          <w:between w:val="nil"/>
        </w:pBdr>
        <w:spacing w:before="240" w:after="120" w:line="360" w:lineRule="auto"/>
        <w:ind w:right="18" w:firstLine="708"/>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PRIMERO. Jurisdicción y Competencia</w:t>
      </w:r>
      <w:r>
        <w:rPr>
          <w:rFonts w:ascii="Century Gothic" w:eastAsia="Century Gothic" w:hAnsi="Century Gothic" w:cs="Century Gothic"/>
          <w:color w:val="000000"/>
          <w:sz w:val="24"/>
          <w:szCs w:val="24"/>
        </w:rPr>
        <w:t>.</w:t>
      </w:r>
    </w:p>
    <w:p w14:paraId="02D76AD3" w14:textId="0C54BC8B" w:rsidR="00746F50" w:rsidRDefault="00712707">
      <w:pPr>
        <w:widowControl w:val="0"/>
        <w:pBdr>
          <w:top w:val="nil"/>
          <w:left w:val="nil"/>
          <w:bottom w:val="nil"/>
          <w:right w:val="nil"/>
          <w:between w:val="nil"/>
        </w:pBdr>
        <w:spacing w:before="240" w:after="120" w:line="360" w:lineRule="auto"/>
        <w:ind w:right="18" w:firstLine="708"/>
        <w:jc w:val="both"/>
        <w:rPr>
          <w:rFonts w:ascii="Century Gothic" w:eastAsia="Century Gothic" w:hAnsi="Century Gothic" w:cs="Century Gothic"/>
          <w:b/>
          <w:color w:val="000000"/>
          <w:sz w:val="24"/>
          <w:szCs w:val="24"/>
        </w:rPr>
      </w:pPr>
      <w:r>
        <w:rPr>
          <w:rFonts w:ascii="Century Gothic" w:eastAsia="Century Gothic" w:hAnsi="Century Gothic" w:cs="Century Gothic"/>
          <w:color w:val="000000"/>
          <w:sz w:val="24"/>
          <w:szCs w:val="24"/>
        </w:rPr>
        <w:t>4</w:t>
      </w:r>
      <w:r w:rsidR="005F0519">
        <w:rPr>
          <w:rFonts w:ascii="Century Gothic" w:eastAsia="Century Gothic" w:hAnsi="Century Gothic" w:cs="Century Gothic"/>
          <w:color w:val="000000"/>
          <w:sz w:val="24"/>
          <w:szCs w:val="24"/>
        </w:rPr>
        <w:t xml:space="preserve">. El Tribunal de Justicia Administrativa y Combate a la Corrupción del Estado de Oaxaca ejerce jurisdicción y esta Sala Superior es competente para conocer del presente asunto, conforme a lo dispuesto por los artículos 114 </w:t>
      </w:r>
      <w:proofErr w:type="spellStart"/>
      <w:r w:rsidR="005F0519">
        <w:rPr>
          <w:rFonts w:ascii="Century Gothic" w:eastAsia="Century Gothic" w:hAnsi="Century Gothic" w:cs="Century Gothic"/>
          <w:color w:val="000000"/>
          <w:sz w:val="24"/>
          <w:szCs w:val="24"/>
        </w:rPr>
        <w:t>Quáter</w:t>
      </w:r>
      <w:proofErr w:type="spellEnd"/>
      <w:r w:rsidR="005F0519">
        <w:rPr>
          <w:rFonts w:ascii="Century Gothic" w:eastAsia="Century Gothic" w:hAnsi="Century Gothic" w:cs="Century Gothic"/>
          <w:color w:val="000000"/>
          <w:sz w:val="24"/>
          <w:szCs w:val="24"/>
        </w:rPr>
        <w:t xml:space="preserve">  de la Constitución Política del Estado Libre y Soberano de Oaxaca</w:t>
      </w:r>
      <w:r w:rsidR="005F0519">
        <w:rPr>
          <w:rFonts w:ascii="Century Gothic" w:eastAsia="Century Gothic" w:hAnsi="Century Gothic" w:cs="Century Gothic"/>
          <w:color w:val="000000"/>
          <w:sz w:val="24"/>
          <w:szCs w:val="24"/>
          <w:vertAlign w:val="superscript"/>
        </w:rPr>
        <w:footnoteReference w:id="1"/>
      </w:r>
      <w:r w:rsidR="005F0519">
        <w:rPr>
          <w:rFonts w:ascii="Century Gothic" w:eastAsia="Century Gothic" w:hAnsi="Century Gothic" w:cs="Century Gothic"/>
          <w:color w:val="000000"/>
          <w:sz w:val="24"/>
          <w:szCs w:val="24"/>
        </w:rPr>
        <w:t xml:space="preserve">; </w:t>
      </w:r>
      <w:r w:rsidR="00332410">
        <w:rPr>
          <w:rFonts w:ascii="Century Gothic" w:eastAsia="Century Gothic" w:hAnsi="Century Gothic" w:cs="Century Gothic"/>
          <w:color w:val="000000"/>
          <w:sz w:val="24"/>
          <w:szCs w:val="24"/>
        </w:rPr>
        <w:t xml:space="preserve">1, 2, 4, fracción VI, 22, 23 </w:t>
      </w:r>
      <w:r w:rsidR="00332410">
        <w:rPr>
          <w:rFonts w:ascii="Century Gothic" w:eastAsia="Century Gothic" w:hAnsi="Century Gothic" w:cs="Century Gothic"/>
          <w:color w:val="000000"/>
          <w:sz w:val="24"/>
          <w:szCs w:val="24"/>
        </w:rPr>
        <w:lastRenderedPageBreak/>
        <w:t xml:space="preserve">fracciones I y IV, 24, fracción I y 26 de la </w:t>
      </w:r>
      <w:r w:rsidR="00332410">
        <w:rPr>
          <w:rFonts w:ascii="Century Gothic" w:eastAsia="Century Gothic" w:hAnsi="Century Gothic" w:cs="Century Gothic"/>
          <w:sz w:val="24"/>
          <w:szCs w:val="24"/>
        </w:rPr>
        <w:t>Ley Orgánica del Tribunal de Justicia Administrativa y Combate a la Corrupción del Estado de Oaxaca</w:t>
      </w:r>
      <w:r w:rsidR="005F0519">
        <w:rPr>
          <w:rFonts w:ascii="Century Gothic" w:eastAsia="Century Gothic" w:hAnsi="Century Gothic" w:cs="Century Gothic"/>
          <w:color w:val="000000"/>
          <w:sz w:val="24"/>
          <w:szCs w:val="24"/>
        </w:rPr>
        <w:t xml:space="preserve">, vigente; 120, 125, 127, 129,130, fracción l, 131, 201, 236, fracción VII y 238 de la Ley de Procedimiento y Justicia Administrativa para el Estado de Oaxaca, dado que se trata de un recurso de revisión interpuesto en contra de la sentencia de fecha trece de enero de dos mil veintitrés, dictada en el juicio de nulidad con número de  expediente </w:t>
      </w:r>
      <w:r w:rsidR="005F0519">
        <w:rPr>
          <w:rFonts w:ascii="Century Gothic" w:eastAsia="Century Gothic" w:hAnsi="Century Gothic" w:cs="Century Gothic"/>
          <w:b/>
          <w:color w:val="000000"/>
          <w:sz w:val="24"/>
          <w:szCs w:val="24"/>
        </w:rPr>
        <w:t>0064/2022</w:t>
      </w:r>
      <w:r w:rsidR="005F0519">
        <w:rPr>
          <w:rFonts w:ascii="Century Gothic" w:eastAsia="Century Gothic" w:hAnsi="Century Gothic" w:cs="Century Gothic"/>
          <w:color w:val="000000"/>
          <w:sz w:val="24"/>
          <w:szCs w:val="24"/>
        </w:rPr>
        <w:t xml:space="preserve"> de la Cuarta Sala Unitaria de Primera Instancia del extinto Tribunal de Justicia Administrativa del Estado de Oaxaca, ahora radicado dentro del expediente </w:t>
      </w:r>
      <w:r w:rsidR="005F0519">
        <w:rPr>
          <w:rFonts w:ascii="Century Gothic" w:eastAsia="Century Gothic" w:hAnsi="Century Gothic" w:cs="Century Gothic"/>
          <w:b/>
          <w:color w:val="000000"/>
          <w:sz w:val="24"/>
          <w:szCs w:val="24"/>
        </w:rPr>
        <w:t>0373/2023</w:t>
      </w:r>
      <w:r w:rsidR="005F0519">
        <w:rPr>
          <w:rFonts w:ascii="Century Gothic" w:eastAsia="Century Gothic" w:hAnsi="Century Gothic" w:cs="Century Gothic"/>
          <w:color w:val="000000"/>
          <w:sz w:val="24"/>
          <w:szCs w:val="24"/>
        </w:rPr>
        <w:t xml:space="preserve"> del índice de la Primera Sala Unitaria de Primera Instancia del Tribunal de Justicia Administrativa y Combate a la Corrupción del Estado de Oaxaca</w:t>
      </w:r>
      <w:r w:rsidR="005F0519">
        <w:rPr>
          <w:rFonts w:ascii="Century Gothic" w:eastAsia="Century Gothic" w:hAnsi="Century Gothic" w:cs="Century Gothic"/>
          <w:b/>
          <w:color w:val="000000"/>
          <w:sz w:val="24"/>
          <w:szCs w:val="24"/>
        </w:rPr>
        <w:t xml:space="preserve">.  </w:t>
      </w:r>
    </w:p>
    <w:p w14:paraId="1D29C465" w14:textId="77777777" w:rsidR="00746F50" w:rsidRDefault="005F0519">
      <w:pPr>
        <w:spacing w:before="240" w:after="120" w:line="360" w:lineRule="auto"/>
        <w:ind w:firstLine="708"/>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SEGUNDO. Requisitos de procedencia. </w:t>
      </w:r>
    </w:p>
    <w:p w14:paraId="666022D2" w14:textId="7081975A" w:rsidR="00746F50" w:rsidRDefault="00712707">
      <w:pPr>
        <w:spacing w:before="240" w:after="12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5</w:t>
      </w:r>
      <w:r w:rsidR="005F0519">
        <w:rPr>
          <w:rFonts w:ascii="Century Gothic" w:eastAsia="Century Gothic" w:hAnsi="Century Gothic" w:cs="Century Gothic"/>
          <w:sz w:val="24"/>
          <w:szCs w:val="24"/>
        </w:rPr>
        <w:t>. Se tienen por satisfechos los requisitos de procedencia previstos en los artículos 236, 237 de la Ley de Procedimiento.</w:t>
      </w:r>
    </w:p>
    <w:p w14:paraId="1124B1C0" w14:textId="77777777" w:rsidR="00746F50" w:rsidRDefault="005F0519">
      <w:pPr>
        <w:numPr>
          <w:ilvl w:val="0"/>
          <w:numId w:val="2"/>
        </w:numPr>
        <w:pBdr>
          <w:top w:val="nil"/>
          <w:left w:val="nil"/>
          <w:bottom w:val="nil"/>
          <w:right w:val="nil"/>
          <w:between w:val="nil"/>
        </w:pBdr>
        <w:spacing w:before="240" w:after="0" w:line="360" w:lineRule="auto"/>
        <w:ind w:left="0" w:firstLine="426"/>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 xml:space="preserve">Forma. </w:t>
      </w:r>
      <w:r>
        <w:rPr>
          <w:rFonts w:ascii="Century Gothic" w:eastAsia="Century Gothic" w:hAnsi="Century Gothic" w:cs="Century Gothic"/>
          <w:color w:val="000000"/>
          <w:sz w:val="24"/>
          <w:szCs w:val="24"/>
        </w:rPr>
        <w:t>Se observa que el</w:t>
      </w:r>
      <w:r>
        <w:rPr>
          <w:rFonts w:ascii="Century Gothic" w:eastAsia="Century Gothic" w:hAnsi="Century Gothic" w:cs="Century Gothic"/>
          <w:b/>
          <w:color w:val="000000"/>
          <w:sz w:val="24"/>
          <w:szCs w:val="24"/>
        </w:rPr>
        <w:t xml:space="preserve"> </w:t>
      </w:r>
      <w:r>
        <w:rPr>
          <w:rFonts w:ascii="Century Gothic" w:eastAsia="Century Gothic" w:hAnsi="Century Gothic" w:cs="Century Gothic"/>
          <w:color w:val="000000"/>
          <w:sz w:val="24"/>
          <w:szCs w:val="24"/>
        </w:rPr>
        <w:t>recurso se efectuó conforme a los lineamientos que exige el artículo 236 de la Ley de Procedimiento, ya que se presentó por escrito, con la expresión de agravios ante la Sala que dictó la sentencia que se impugna.</w:t>
      </w:r>
    </w:p>
    <w:p w14:paraId="47C3D5F6" w14:textId="77777777" w:rsidR="00746F50" w:rsidRDefault="005F0519">
      <w:pPr>
        <w:numPr>
          <w:ilvl w:val="0"/>
          <w:numId w:val="2"/>
        </w:numPr>
        <w:pBdr>
          <w:top w:val="nil"/>
          <w:left w:val="nil"/>
          <w:bottom w:val="nil"/>
          <w:right w:val="nil"/>
          <w:between w:val="nil"/>
        </w:pBdr>
        <w:spacing w:after="0" w:line="360" w:lineRule="auto"/>
        <w:ind w:left="0" w:firstLine="426"/>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 xml:space="preserve">Oportunidad. </w:t>
      </w:r>
      <w:r>
        <w:rPr>
          <w:rFonts w:ascii="Century Gothic" w:eastAsia="Century Gothic" w:hAnsi="Century Gothic" w:cs="Century Gothic"/>
          <w:color w:val="000000"/>
          <w:sz w:val="24"/>
          <w:szCs w:val="24"/>
        </w:rPr>
        <w:t xml:space="preserve">Se cumple tal requisito, toda vez que el acto impugnado fue notificado al recurrente, el uno de febrero de dos mil veintitrés, en tanto el correspondiente recurso se interpuso el día siete de febrero del dos mil veintitrés, siendo éste dentro del plazo de cinco días previsto en el artículo 237 de la Ley de Procedimiento para el Estado de Oaxaca, en virtud que el día jueves dos de febrero del año en curso surtió efectos y empezando a correr el conteo a partir del tres al diez de febrero del presente año (sin ser contados los días cuatro y cinco por ser </w:t>
      </w:r>
      <w:r>
        <w:rPr>
          <w:rFonts w:ascii="Century Gothic" w:eastAsia="Century Gothic" w:hAnsi="Century Gothic" w:cs="Century Gothic"/>
          <w:color w:val="000000"/>
          <w:sz w:val="24"/>
          <w:szCs w:val="24"/>
        </w:rPr>
        <w:lastRenderedPageBreak/>
        <w:t>sábado y domingo ya que son considerados inhábiles, de conformidad con el artículo 39 de la Ley de Procedimiento</w:t>
      </w:r>
      <w:r>
        <w:rPr>
          <w:rFonts w:ascii="Century Gothic" w:eastAsia="Century Gothic" w:hAnsi="Century Gothic" w:cs="Century Gothic"/>
          <w:color w:val="000000"/>
          <w:sz w:val="24"/>
          <w:szCs w:val="24"/>
          <w:vertAlign w:val="superscript"/>
        </w:rPr>
        <w:footnoteReference w:id="2"/>
      </w:r>
      <w:r>
        <w:rPr>
          <w:rFonts w:ascii="Century Gothic" w:eastAsia="Century Gothic" w:hAnsi="Century Gothic" w:cs="Century Gothic"/>
          <w:color w:val="000000"/>
          <w:sz w:val="24"/>
          <w:szCs w:val="24"/>
        </w:rPr>
        <w:t>).</w:t>
      </w:r>
    </w:p>
    <w:p w14:paraId="3EF41596" w14:textId="77777777" w:rsidR="00746F50" w:rsidRDefault="005F0519">
      <w:pPr>
        <w:numPr>
          <w:ilvl w:val="0"/>
          <w:numId w:val="2"/>
        </w:numPr>
        <w:pBdr>
          <w:top w:val="nil"/>
          <w:left w:val="nil"/>
          <w:bottom w:val="nil"/>
          <w:right w:val="nil"/>
          <w:between w:val="nil"/>
        </w:pBdr>
        <w:spacing w:after="0" w:line="360" w:lineRule="auto"/>
        <w:ind w:left="0" w:firstLine="426"/>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 xml:space="preserve">Legitimación. </w:t>
      </w:r>
      <w:r>
        <w:rPr>
          <w:rFonts w:ascii="Century Gothic" w:eastAsia="Century Gothic" w:hAnsi="Century Gothic" w:cs="Century Gothic"/>
          <w:color w:val="000000"/>
          <w:sz w:val="24"/>
          <w:szCs w:val="24"/>
        </w:rPr>
        <w:t>El presente recurso fue interpuesto por parte legítima. Ello, porque de conformidad con señalado en el artículo 236, de la Ley de Procedimiento, el recurso de revisión en que se actúa, puede ser impugnado por las partes.</w:t>
      </w:r>
    </w:p>
    <w:p w14:paraId="34ECDF74" w14:textId="52FCCB1E" w:rsidR="00746F50" w:rsidRDefault="005F0519">
      <w:pPr>
        <w:numPr>
          <w:ilvl w:val="0"/>
          <w:numId w:val="2"/>
        </w:numPr>
        <w:pBdr>
          <w:top w:val="nil"/>
          <w:left w:val="nil"/>
          <w:bottom w:val="nil"/>
          <w:right w:val="nil"/>
          <w:between w:val="nil"/>
        </w:pBdr>
        <w:spacing w:after="120" w:line="360" w:lineRule="auto"/>
        <w:ind w:left="0" w:firstLine="426"/>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 xml:space="preserve">Idoneidad. </w:t>
      </w:r>
      <w:r>
        <w:rPr>
          <w:rFonts w:ascii="Century Gothic" w:eastAsia="Century Gothic" w:hAnsi="Century Gothic" w:cs="Century Gothic"/>
          <w:color w:val="000000"/>
          <w:sz w:val="24"/>
          <w:szCs w:val="24"/>
        </w:rPr>
        <w:t xml:space="preserve">Ahora, por lo que hace a este requisito, éste se cumple, en virtud que la determinación de la Sala Unitaria de Primera Instancia que fue recurrida es la declaración de la </w:t>
      </w:r>
      <w:r>
        <w:rPr>
          <w:rFonts w:ascii="Century Gothic" w:eastAsia="Century Gothic" w:hAnsi="Century Gothic" w:cs="Century Gothic"/>
          <w:b/>
          <w:color w:val="000000"/>
          <w:sz w:val="24"/>
          <w:szCs w:val="24"/>
        </w:rPr>
        <w:t>NULIDAD LISA Y LLANA</w:t>
      </w:r>
      <w:r>
        <w:rPr>
          <w:rFonts w:ascii="Century Gothic" w:eastAsia="Century Gothic" w:hAnsi="Century Gothic" w:cs="Century Gothic"/>
          <w:color w:val="000000"/>
          <w:sz w:val="24"/>
          <w:szCs w:val="24"/>
        </w:rPr>
        <w:t xml:space="preserve"> del acta de infracción</w:t>
      </w:r>
      <w:r>
        <w:rPr>
          <w:rFonts w:ascii="Century Gothic" w:eastAsia="Century Gothic" w:hAnsi="Century Gothic" w:cs="Century Gothic"/>
          <w:b/>
          <w:color w:val="000000"/>
          <w:sz w:val="24"/>
          <w:szCs w:val="24"/>
        </w:rPr>
        <w:t xml:space="preserve"> </w:t>
      </w:r>
      <w:r w:rsidR="00635F6A">
        <w:rPr>
          <w:rFonts w:ascii="Century Gothic" w:eastAsia="Century Gothic" w:hAnsi="Century Gothic" w:cs="Century Gothic"/>
          <w:b/>
          <w:color w:val="000000"/>
          <w:sz w:val="24"/>
          <w:szCs w:val="24"/>
        </w:rPr>
        <w:t>**********</w:t>
      </w:r>
      <w:r>
        <w:rPr>
          <w:rFonts w:ascii="Century Gothic" w:eastAsia="Century Gothic" w:hAnsi="Century Gothic" w:cs="Century Gothic"/>
          <w:b/>
          <w:color w:val="000000"/>
          <w:sz w:val="24"/>
          <w:szCs w:val="24"/>
        </w:rPr>
        <w:t xml:space="preserve">, </w:t>
      </w:r>
      <w:r>
        <w:rPr>
          <w:rFonts w:ascii="Century Gothic" w:eastAsia="Century Gothic" w:hAnsi="Century Gothic" w:cs="Century Gothic"/>
          <w:color w:val="000000"/>
          <w:sz w:val="24"/>
          <w:szCs w:val="24"/>
        </w:rPr>
        <w:t>de veinticinco de junio de dos mil veintidós, emitido por el Policía Vial con número estadístico PV-226, adscrito a la Dirección de Movilidad, dependiente de la Secretaria de Seguridad Ciudadana,  Movilidad y Protección Civil del Municipio de Oaxaca de Juárez, Oaxaca, por ende, se encuentra dentro de ese catálogo que enlista el numeral 236 fracción VII, de la Ley de Procedimiento, por lo cual procede el recurso de revisión.</w:t>
      </w:r>
    </w:p>
    <w:p w14:paraId="7E45354F" w14:textId="77777777" w:rsidR="00746F50" w:rsidRDefault="005F0519">
      <w:pPr>
        <w:spacing w:before="240" w:after="120" w:line="360" w:lineRule="auto"/>
        <w:ind w:right="49" w:firstLine="708"/>
        <w:jc w:val="both"/>
        <w:rPr>
          <w:rFonts w:ascii="Century Gothic" w:eastAsia="Century Gothic" w:hAnsi="Century Gothic" w:cs="Century Gothic"/>
          <w:sz w:val="24"/>
          <w:szCs w:val="24"/>
        </w:rPr>
      </w:pPr>
      <w:r>
        <w:rPr>
          <w:rFonts w:ascii="Century Gothic" w:eastAsia="Century Gothic" w:hAnsi="Century Gothic" w:cs="Century Gothic"/>
          <w:b/>
          <w:sz w:val="24"/>
          <w:szCs w:val="24"/>
        </w:rPr>
        <w:t>TERCERO. Agravios.</w:t>
      </w:r>
    </w:p>
    <w:p w14:paraId="401B258A" w14:textId="0C51713D" w:rsidR="00746F50" w:rsidRDefault="00712707">
      <w:pPr>
        <w:spacing w:before="240" w:after="120" w:line="360" w:lineRule="auto"/>
        <w:ind w:right="49"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6</w:t>
      </w:r>
      <w:r w:rsidR="005F0519">
        <w:rPr>
          <w:rFonts w:ascii="Century Gothic" w:eastAsia="Century Gothic" w:hAnsi="Century Gothic" w:cs="Century Gothic"/>
          <w:sz w:val="24"/>
          <w:szCs w:val="24"/>
        </w:rPr>
        <w:t>. Los agravios hechos valer se encuentran expuestos en el escrito respectivo del recurrente, por lo que no existe necesidad de transcribirlos, al no transgredírsele derecho alguno, como tampoco se vulnera disposición expresa que imponga tal obligación.</w:t>
      </w:r>
    </w:p>
    <w:p w14:paraId="6C7BF320" w14:textId="4ADBB8B5" w:rsidR="00746F50" w:rsidRDefault="00712707">
      <w:pPr>
        <w:spacing w:before="240" w:after="120" w:line="360" w:lineRule="auto"/>
        <w:ind w:right="49"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7</w:t>
      </w:r>
      <w:r w:rsidR="005F0519">
        <w:rPr>
          <w:rFonts w:ascii="Century Gothic" w:eastAsia="Century Gothic" w:hAnsi="Century Gothic" w:cs="Century Gothic"/>
          <w:sz w:val="24"/>
          <w:szCs w:val="24"/>
        </w:rPr>
        <w:t xml:space="preserve">. Se invoca en apoyo, la Jurisprudencia en materia común, número 2a./J. 58/2010, de la Novena Época, emitida por la Segunda Sala de la Suprema Corte de Justicia de la Nación, con número de registro digital 164618, publicada en el Semanario Judicial de la Federación y su Gaceta. En el Tomo XXXI, mayo de 2010, visible a página 830, bajo el rubro y texto siguiente: </w:t>
      </w:r>
    </w:p>
    <w:p w14:paraId="6A2B0437" w14:textId="77777777" w:rsidR="00746F50" w:rsidRDefault="005F0519">
      <w:pPr>
        <w:spacing w:before="240" w:after="120" w:line="360" w:lineRule="auto"/>
        <w:ind w:left="567" w:right="616"/>
        <w:jc w:val="both"/>
        <w:rPr>
          <w:rFonts w:ascii="Century Gothic" w:eastAsia="Century Gothic" w:hAnsi="Century Gothic" w:cs="Century Gothic"/>
          <w:i/>
          <w:sz w:val="24"/>
          <w:szCs w:val="24"/>
        </w:rPr>
      </w:pPr>
      <w:r>
        <w:rPr>
          <w:rFonts w:ascii="Century Gothic" w:eastAsia="Century Gothic" w:hAnsi="Century Gothic" w:cs="Century Gothic"/>
          <w:b/>
          <w:i/>
        </w:rPr>
        <w:lastRenderedPageBreak/>
        <w:t>“CONCEPTOS DE VIOLACIÓN O AGRAVIOS. PARA CUMPLIR CON LOS PRINCIPIOS DE CONGRUENCIA Y EXHAUSTIVIDAD EN LAS SENTENCIAS DE AMPARO ES INNECESARIA SU TRANSCRIPCIÓN”.</w:t>
      </w:r>
      <w:r>
        <w:rPr>
          <w:rFonts w:ascii="Century Gothic" w:eastAsia="Century Gothic" w:hAnsi="Century Gothic" w:cs="Century Gothic"/>
          <w:b/>
          <w:i/>
          <w:sz w:val="24"/>
          <w:szCs w:val="24"/>
        </w:rPr>
        <w:t xml:space="preserve"> </w:t>
      </w:r>
      <w:r>
        <w:rPr>
          <w:rFonts w:ascii="Century Gothic" w:eastAsia="Century Gothic" w:hAnsi="Century Gothic" w:cs="Century Gothic"/>
          <w:b/>
          <w:i/>
          <w:sz w:val="24"/>
          <w:szCs w:val="24"/>
          <w:vertAlign w:val="superscript"/>
        </w:rPr>
        <w:footnoteReference w:id="3"/>
      </w:r>
    </w:p>
    <w:p w14:paraId="0F4D99E9" w14:textId="77777777" w:rsidR="00746F50" w:rsidRDefault="005F0519">
      <w:pPr>
        <w:spacing w:before="240" w:after="12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b/>
          <w:sz w:val="24"/>
          <w:szCs w:val="24"/>
        </w:rPr>
        <w:t>TERCERO. Estudio y análisis de los agravios</w:t>
      </w:r>
      <w:r>
        <w:rPr>
          <w:rFonts w:ascii="Century Gothic" w:eastAsia="Century Gothic" w:hAnsi="Century Gothic" w:cs="Century Gothic"/>
          <w:sz w:val="24"/>
          <w:szCs w:val="24"/>
        </w:rPr>
        <w:t>.</w:t>
      </w:r>
    </w:p>
    <w:p w14:paraId="2F1630A6" w14:textId="2BF4F1A9" w:rsidR="00746F50" w:rsidRDefault="00712707">
      <w:pPr>
        <w:spacing w:before="240" w:after="12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8</w:t>
      </w:r>
      <w:r w:rsidR="005F0519">
        <w:rPr>
          <w:rFonts w:ascii="Century Gothic" w:eastAsia="Century Gothic" w:hAnsi="Century Gothic" w:cs="Century Gothic"/>
          <w:sz w:val="24"/>
          <w:szCs w:val="24"/>
        </w:rPr>
        <w:t xml:space="preserve">. Del análisis del </w:t>
      </w:r>
      <w:r w:rsidR="005F0519">
        <w:rPr>
          <w:rFonts w:ascii="Century Gothic" w:eastAsia="Century Gothic" w:hAnsi="Century Gothic" w:cs="Century Gothic"/>
          <w:b/>
          <w:sz w:val="24"/>
          <w:szCs w:val="24"/>
        </w:rPr>
        <w:t>agravio</w:t>
      </w:r>
      <w:r w:rsidR="005F0519">
        <w:rPr>
          <w:rFonts w:ascii="Century Gothic" w:eastAsia="Century Gothic" w:hAnsi="Century Gothic" w:cs="Century Gothic"/>
          <w:sz w:val="24"/>
          <w:szCs w:val="24"/>
        </w:rPr>
        <w:t xml:space="preserve"> hecho por el recurrente, inicia señalando que el considerando quinto de la sentencia que combate, viola en perjuicio de la autoridad que representa los artículos 14 y 16 de la Constitución Política de los Estados Unidos Mexicanos y 207, fracción II de la Ley de Procedimiento y Justicia Administrativa para el Estado de Oaxaca, en virtud de que no está emitida de forma congruente con el acto impugnado, ya que a pesar de que quedó acreditada la correcta fundamentación y motivación del acto, y con ello la validez del mismo, la Magistrada</w:t>
      </w:r>
      <w:r w:rsidR="005F0519">
        <w:rPr>
          <w:rFonts w:ascii="Century Gothic" w:eastAsia="Century Gothic" w:hAnsi="Century Gothic" w:cs="Century Gothic"/>
          <w:i/>
          <w:sz w:val="24"/>
          <w:szCs w:val="24"/>
        </w:rPr>
        <w:t xml:space="preserve"> </w:t>
      </w:r>
      <w:r w:rsidR="005F0519">
        <w:rPr>
          <w:rFonts w:ascii="Century Gothic" w:eastAsia="Century Gothic" w:hAnsi="Century Gothic" w:cs="Century Gothic"/>
          <w:sz w:val="24"/>
          <w:szCs w:val="24"/>
        </w:rPr>
        <w:t>omitió razonarla para declarar su nulidad lisa y llana.</w:t>
      </w:r>
    </w:p>
    <w:p w14:paraId="01552235" w14:textId="4984911E" w:rsidR="00746F50" w:rsidRDefault="00712707">
      <w:pPr>
        <w:spacing w:before="240" w:after="12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9</w:t>
      </w:r>
      <w:r w:rsidR="005F0519">
        <w:rPr>
          <w:rFonts w:ascii="Century Gothic" w:eastAsia="Century Gothic" w:hAnsi="Century Gothic" w:cs="Century Gothic"/>
          <w:sz w:val="24"/>
          <w:szCs w:val="24"/>
        </w:rPr>
        <w:t xml:space="preserve">. Refiere que la entonces titular de la Cuarta Sala Unitaria de Primera Instancia, le causa agravio a su investidura como Policía Vial Municipal, ya que en primer término el acta de infracción con número de folio 01805-A de fecha veinticinco de junio de dos mil veintidós, se indicó como fundamentación los artículos 116 fracción I, 70 y 130 del Reglamento de Vialidad para el Municipio de  Oaxaca de Juárez, Oaxaca, que prevé la conducta ilegal del infractor por participar en un hecho de tránsito,  por lo que se hizo acreedor a una sanción como consecuencia de su conducta ilegal, de lo que se desprende la </w:t>
      </w:r>
      <w:r w:rsidR="005F0519">
        <w:rPr>
          <w:rFonts w:ascii="Century Gothic" w:eastAsia="Century Gothic" w:hAnsi="Century Gothic" w:cs="Century Gothic"/>
          <w:sz w:val="24"/>
          <w:szCs w:val="24"/>
        </w:rPr>
        <w:lastRenderedPageBreak/>
        <w:t>legalidad de la multa impuesta; por ello, la sentencia no está apegada a derecho, ni fundada ni motivada. Aunado a que en el acta de infracción se citaron las circunstancias de modo, tiempo y lugar, para cumplir con el requisito de fundamentación y motivación que exige el artículo 17, fracción V de la Ley de Procedimiento y Justicia Administrativa para el Estado de Oaxaca; que si bien es cierto que el artículo 16 Constitucional establece la obligación de las autoridades de fundar y motivar sus actos, desde el punto de vista formal, cuando se expresen las normas legales aplicables y los hechos que hacen que el caso encaje en las hipótesis normativas, basta el razonamiento sustancial, sin que pueda exigirse formalmente mayor amplitud o abundancia, para que se comprenda el argumento expresado; además que se debe resolver bajo la premisa de que todo acto de autoridad es válido hasta demostrar lo contrario, correspondiéndole al promovente aportar los elementos necesarios para que desvirtúen la legalidad del acto de autoridad.</w:t>
      </w:r>
    </w:p>
    <w:p w14:paraId="3A0DECD3" w14:textId="52661F13" w:rsidR="00746F50" w:rsidRDefault="005F0519">
      <w:pPr>
        <w:spacing w:after="12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1</w:t>
      </w:r>
      <w:r w:rsidR="00712707">
        <w:rPr>
          <w:rFonts w:ascii="Century Gothic" w:eastAsia="Century Gothic" w:hAnsi="Century Gothic" w:cs="Century Gothic"/>
          <w:sz w:val="24"/>
          <w:szCs w:val="24"/>
        </w:rPr>
        <w:t>0</w:t>
      </w:r>
      <w:r>
        <w:rPr>
          <w:rFonts w:ascii="Century Gothic" w:eastAsia="Century Gothic" w:hAnsi="Century Gothic" w:cs="Century Gothic"/>
          <w:sz w:val="24"/>
          <w:szCs w:val="24"/>
        </w:rPr>
        <w:t>. Al caso,</w:t>
      </w:r>
      <w:r>
        <w:rPr>
          <w:rFonts w:ascii="Century Gothic" w:eastAsia="Century Gothic" w:hAnsi="Century Gothic" w:cs="Century Gothic"/>
          <w:b/>
          <w:color w:val="000000"/>
          <w:sz w:val="24"/>
          <w:szCs w:val="24"/>
        </w:rPr>
        <w:t xml:space="preserve"> </w:t>
      </w:r>
      <w:r>
        <w:rPr>
          <w:rFonts w:ascii="Century Gothic" w:eastAsia="Century Gothic" w:hAnsi="Century Gothic" w:cs="Century Gothic"/>
          <w:color w:val="000000"/>
          <w:sz w:val="24"/>
          <w:szCs w:val="24"/>
        </w:rPr>
        <w:t xml:space="preserve"> el agravio expuesto por el recurrente resulta </w:t>
      </w:r>
      <w:r>
        <w:rPr>
          <w:rFonts w:ascii="Century Gothic" w:eastAsia="Century Gothic" w:hAnsi="Century Gothic" w:cs="Century Gothic"/>
          <w:b/>
          <w:color w:val="000000"/>
          <w:sz w:val="24"/>
          <w:szCs w:val="24"/>
        </w:rPr>
        <w:t xml:space="preserve">INOPERANTE, </w:t>
      </w:r>
      <w:r>
        <w:rPr>
          <w:rFonts w:ascii="Century Gothic" w:eastAsia="Century Gothic" w:hAnsi="Century Gothic" w:cs="Century Gothic"/>
          <w:color w:val="000000"/>
          <w:sz w:val="24"/>
          <w:szCs w:val="24"/>
        </w:rPr>
        <w:t xml:space="preserve">ya que </w:t>
      </w:r>
      <w:r>
        <w:rPr>
          <w:rFonts w:ascii="Century Gothic" w:eastAsia="Century Gothic" w:hAnsi="Century Gothic" w:cs="Century Gothic"/>
          <w:sz w:val="24"/>
          <w:szCs w:val="24"/>
        </w:rPr>
        <w:t>no basta que exprese de forma genérica y abstracta q</w:t>
      </w:r>
      <w:r w:rsidR="00712707">
        <w:rPr>
          <w:rFonts w:ascii="Century Gothic" w:eastAsia="Century Gothic" w:hAnsi="Century Gothic" w:cs="Century Gothic"/>
          <w:sz w:val="24"/>
          <w:szCs w:val="24"/>
        </w:rPr>
        <w:t>0</w:t>
      </w:r>
      <w:r>
        <w:rPr>
          <w:rFonts w:ascii="Century Gothic" w:eastAsia="Century Gothic" w:hAnsi="Century Gothic" w:cs="Century Gothic"/>
          <w:sz w:val="24"/>
          <w:szCs w:val="24"/>
        </w:rPr>
        <w:t xml:space="preserve">e en la sentencia en estudio se incurrió en indebida fundamentación y motivación, sino que debe exponer en forma precisa y razonada, los motivos concretos en los que explique el porqué de sus aseveraciones; es decir, debe señalar cual es el pronunciamiento específico de la sentencia en la que se incurrió en indebida fundamentación y motivación para relacionar sus razones de disenso con el perjuicio que se le cause, </w:t>
      </w:r>
      <w:r>
        <w:rPr>
          <w:rFonts w:ascii="Century Gothic" w:eastAsia="Century Gothic" w:hAnsi="Century Gothic" w:cs="Century Gothic"/>
          <w:sz w:val="24"/>
          <w:szCs w:val="24"/>
          <w:highlight w:val="white"/>
        </w:rPr>
        <w:t xml:space="preserve">pues es obvio que el hoy recurrente como autoridad demandada en el juicio natural, le corresponde exponer razonadamente por qué estima ilegal el acto que recurre, debiendo señalar la parte de la sentencia que considera se encuentra indebidamente fundada y motivada, mas no expresar simples aseveraciones con la finalidad de que esta Sala Superior emprenda el examen de legalidad de la sentencia recurrida con base en tales manifestaciones; consecuentemente, al no controvertir </w:t>
      </w:r>
      <w:r>
        <w:rPr>
          <w:rFonts w:ascii="Century Gothic" w:eastAsia="Century Gothic" w:hAnsi="Century Gothic" w:cs="Century Gothic"/>
          <w:sz w:val="24"/>
          <w:szCs w:val="24"/>
        </w:rPr>
        <w:t xml:space="preserve">de forma adecuada los fundamentos legales y las consideraciones de la primera instancia plasmadas en la sentencia impugnada, es que resulta </w:t>
      </w:r>
      <w:r>
        <w:rPr>
          <w:rFonts w:ascii="Century Gothic" w:eastAsia="Century Gothic" w:hAnsi="Century Gothic" w:cs="Century Gothic"/>
          <w:b/>
          <w:sz w:val="24"/>
          <w:szCs w:val="24"/>
        </w:rPr>
        <w:t>inoperante</w:t>
      </w:r>
      <w:r>
        <w:rPr>
          <w:rFonts w:ascii="Century Gothic" w:eastAsia="Century Gothic" w:hAnsi="Century Gothic" w:cs="Century Gothic"/>
          <w:sz w:val="24"/>
          <w:szCs w:val="24"/>
        </w:rPr>
        <w:t xml:space="preserve"> lo alegado por el recurrente en el agravio analizado. </w:t>
      </w:r>
    </w:p>
    <w:p w14:paraId="43431C84" w14:textId="2CF1A6C7" w:rsidR="00746F50" w:rsidRDefault="00712707">
      <w:pPr>
        <w:spacing w:after="120" w:line="360" w:lineRule="auto"/>
        <w:ind w:firstLine="708"/>
        <w:jc w:val="both"/>
        <w:rPr>
          <w:rFonts w:ascii="Century Gothic" w:eastAsia="Century Gothic" w:hAnsi="Century Gothic" w:cs="Century Gothic"/>
          <w:color w:val="212529"/>
          <w:sz w:val="24"/>
          <w:szCs w:val="24"/>
        </w:rPr>
      </w:pPr>
      <w:r>
        <w:rPr>
          <w:rFonts w:ascii="Century Gothic" w:eastAsia="Century Gothic" w:hAnsi="Century Gothic" w:cs="Century Gothic"/>
          <w:sz w:val="24"/>
          <w:szCs w:val="24"/>
        </w:rPr>
        <w:t>11</w:t>
      </w:r>
      <w:r w:rsidR="005F0519">
        <w:rPr>
          <w:rFonts w:ascii="Century Gothic" w:eastAsia="Century Gothic" w:hAnsi="Century Gothic" w:cs="Century Gothic"/>
          <w:sz w:val="24"/>
          <w:szCs w:val="24"/>
        </w:rPr>
        <w:t xml:space="preserve">. Es aplicable por analogía la Jurisprudencia en materia común, de la novena época, número I.11o. </w:t>
      </w:r>
      <w:proofErr w:type="gramStart"/>
      <w:r w:rsidR="005F0519">
        <w:rPr>
          <w:rFonts w:ascii="Century Gothic" w:eastAsia="Century Gothic" w:hAnsi="Century Gothic" w:cs="Century Gothic"/>
          <w:sz w:val="24"/>
          <w:szCs w:val="24"/>
        </w:rPr>
        <w:t>C.J</w:t>
      </w:r>
      <w:proofErr w:type="gramEnd"/>
      <w:r w:rsidR="005F0519">
        <w:rPr>
          <w:rFonts w:ascii="Century Gothic" w:eastAsia="Century Gothic" w:hAnsi="Century Gothic" w:cs="Century Gothic"/>
          <w:sz w:val="24"/>
          <w:szCs w:val="24"/>
        </w:rPr>
        <w:t xml:space="preserve">/5, con número de registro </w:t>
      </w:r>
      <w:r w:rsidR="005F0519">
        <w:rPr>
          <w:rFonts w:ascii="Century Gothic" w:eastAsia="Century Gothic" w:hAnsi="Century Gothic" w:cs="Century Gothic"/>
          <w:sz w:val="24"/>
          <w:szCs w:val="24"/>
        </w:rPr>
        <w:lastRenderedPageBreak/>
        <w:t xml:space="preserve">176045, de los Tribunales Colegiados de Circuito, publicado en el Semanario Judicial de la Federación y su Gaceta, en el Tomo XXIII, febrero de 2006, visible a página 1600, de rubro y texto siguiente: </w:t>
      </w:r>
    </w:p>
    <w:p w14:paraId="00A9CC4C" w14:textId="77777777" w:rsidR="00746F50" w:rsidRDefault="005F0519">
      <w:pPr>
        <w:pBdr>
          <w:top w:val="nil"/>
          <w:left w:val="nil"/>
          <w:bottom w:val="nil"/>
          <w:right w:val="nil"/>
          <w:between w:val="nil"/>
        </w:pBdr>
        <w:shd w:val="clear" w:color="auto" w:fill="FFFFFF"/>
        <w:spacing w:after="120" w:line="360" w:lineRule="auto"/>
        <w:ind w:left="567" w:right="616"/>
        <w:jc w:val="both"/>
        <w:rPr>
          <w:rFonts w:ascii="Century Gothic" w:eastAsia="Century Gothic" w:hAnsi="Century Gothic" w:cs="Century Gothic"/>
          <w:b/>
          <w:i/>
          <w:color w:val="000000"/>
        </w:rPr>
      </w:pPr>
      <w:r>
        <w:rPr>
          <w:rFonts w:ascii="Century Gothic" w:eastAsia="Century Gothic" w:hAnsi="Century Gothic" w:cs="Century Gothic"/>
          <w:b/>
          <w:i/>
          <w:color w:val="000000"/>
        </w:rPr>
        <w:t xml:space="preserve">“AGRAVIOS INOPERANTES EN LA REVISIÓN. LO SON LAS SIMPLES EXPRESIONES GENÉRICAS Y ABSTRACTAS CUANDO NO PROCEDE LA SUPLENCIA DE LA QUEJA DEFICIENTE. </w:t>
      </w:r>
      <w:r>
        <w:rPr>
          <w:rFonts w:ascii="Century Gothic" w:eastAsia="Century Gothic" w:hAnsi="Century Gothic" w:cs="Century Gothic"/>
          <w:i/>
          <w:color w:val="000000"/>
        </w:rPr>
        <w:t>Si no se está en el caso de suplir la deficiencia de los agravios en términos del artículo </w:t>
      </w:r>
      <w:hyperlink r:id="rId8">
        <w:r>
          <w:rPr>
            <w:rFonts w:ascii="Century Gothic" w:eastAsia="Century Gothic" w:hAnsi="Century Gothic" w:cs="Century Gothic"/>
            <w:i/>
            <w:color w:val="0000FF"/>
            <w:u w:val="single"/>
          </w:rPr>
          <w:t>76 Bis, fracción VI, de la Ley de Amparo</w:t>
        </w:r>
      </w:hyperlink>
      <w:r>
        <w:rPr>
          <w:rFonts w:ascii="Century Gothic" w:eastAsia="Century Gothic" w:hAnsi="Century Gothic" w:cs="Century Gothic"/>
          <w:i/>
          <w:color w:val="000000"/>
        </w:rPr>
        <w:t>, no basta que el recurrente exprese sus agravios en forma genérica y abstracta, es decir, que se concrete a hacer simples aseveraciones para que el Tribunal Colegiado emprenda el examen de la legalidad de la resolución recurrida del Juez de Distrito a la luz de tales manifestaciones, sino que se requiere que el inconforme en tales argumentos exponga de manera razonada los motivos concretos en los cuales sustenta sus propias alegaciones, esto es, en los que explique el porqué de sus aseveraciones, pues de lo contrario los agravios resultarán inoperantes.</w:t>
      </w:r>
      <w:r>
        <w:rPr>
          <w:rFonts w:ascii="Century Gothic" w:eastAsia="Century Gothic" w:hAnsi="Century Gothic" w:cs="Century Gothic"/>
          <w:b/>
          <w:i/>
          <w:color w:val="000000"/>
        </w:rPr>
        <w:t>”</w:t>
      </w:r>
    </w:p>
    <w:p w14:paraId="0D0F3902" w14:textId="5147F900" w:rsidR="00746F50" w:rsidRDefault="00712707">
      <w:pPr>
        <w:widowControl w:val="0"/>
        <w:spacing w:before="240" w:after="120" w:line="360" w:lineRule="auto"/>
        <w:ind w:firstLine="567"/>
        <w:jc w:val="both"/>
        <w:rPr>
          <w:rFonts w:ascii="Century Gothic" w:eastAsia="Century Gothic" w:hAnsi="Century Gothic" w:cs="Century Gothic"/>
          <w:sz w:val="24"/>
          <w:szCs w:val="24"/>
        </w:rPr>
      </w:pPr>
      <w:r>
        <w:rPr>
          <w:rFonts w:ascii="Century Gothic" w:eastAsia="Century Gothic" w:hAnsi="Century Gothic" w:cs="Century Gothic"/>
          <w:sz w:val="24"/>
          <w:szCs w:val="24"/>
        </w:rPr>
        <w:t>12</w:t>
      </w:r>
      <w:r w:rsidR="005F0519">
        <w:rPr>
          <w:rFonts w:ascii="Century Gothic" w:eastAsia="Century Gothic" w:hAnsi="Century Gothic" w:cs="Century Gothic"/>
          <w:sz w:val="24"/>
          <w:szCs w:val="24"/>
        </w:rPr>
        <w:t>. Ahora bien, respecto a lo manifestado por el recurrente, de</w:t>
      </w:r>
      <w:r w:rsidR="005F0519">
        <w:rPr>
          <w:rFonts w:ascii="Century Gothic" w:eastAsia="Century Gothic" w:hAnsi="Century Gothic" w:cs="Century Gothic"/>
          <w:b/>
          <w:sz w:val="24"/>
          <w:szCs w:val="24"/>
        </w:rPr>
        <w:t xml:space="preserve"> </w:t>
      </w:r>
      <w:r w:rsidR="005F0519">
        <w:rPr>
          <w:rFonts w:ascii="Century Gothic" w:eastAsia="Century Gothic" w:hAnsi="Century Gothic" w:cs="Century Gothic"/>
          <w:sz w:val="24"/>
          <w:szCs w:val="24"/>
        </w:rPr>
        <w:t>que la motivación en el acta de infracción fue correcta y los preceptos legales citados, son aplicables al caso particular, por lo que de ninguna manera se dejó al administrado en estado de indefensión, ya que se señalaron los  motivos, circunstancias especiales o razones particulares para determinar la conducta ilegal del infractor, así como los artículos invocados por el recurrente elementos suficientes para cumplir con los requisitos de fundamentación y motivación previsto por el artículo 17, fracción V de la Ley de Procedimiento y Justicia Administrativa para el Estado de Oaxaca; en ese tenor, es evidente que la sentencia que recurre fue dictada en contravención al artículo 207, fracción II de la Ley de la materia.</w:t>
      </w:r>
    </w:p>
    <w:p w14:paraId="1C0ABA73" w14:textId="0AACF74C" w:rsidR="00746F50" w:rsidRDefault="00712707">
      <w:pPr>
        <w:spacing w:before="240" w:after="120" w:line="360" w:lineRule="auto"/>
        <w:ind w:firstLine="708"/>
        <w:jc w:val="both"/>
        <w:rPr>
          <w:rFonts w:ascii="Century Gothic" w:eastAsia="Century Gothic" w:hAnsi="Century Gothic" w:cs="Century Gothic"/>
          <w:color w:val="FF0000"/>
          <w:sz w:val="24"/>
          <w:szCs w:val="24"/>
        </w:rPr>
      </w:pPr>
      <w:r>
        <w:rPr>
          <w:rFonts w:ascii="Century Gothic" w:eastAsia="Century Gothic" w:hAnsi="Century Gothic" w:cs="Century Gothic"/>
          <w:sz w:val="24"/>
          <w:szCs w:val="24"/>
        </w:rPr>
        <w:t>13.</w:t>
      </w:r>
      <w:r w:rsidR="005F0519">
        <w:rPr>
          <w:rFonts w:ascii="Century Gothic" w:eastAsia="Century Gothic" w:hAnsi="Century Gothic" w:cs="Century Gothic"/>
          <w:sz w:val="24"/>
          <w:szCs w:val="24"/>
        </w:rPr>
        <w:t xml:space="preserve"> Es </w:t>
      </w:r>
      <w:r w:rsidR="005F0519">
        <w:rPr>
          <w:rFonts w:ascii="Century Gothic" w:eastAsia="Century Gothic" w:hAnsi="Century Gothic" w:cs="Century Gothic"/>
          <w:b/>
          <w:sz w:val="24"/>
          <w:szCs w:val="24"/>
        </w:rPr>
        <w:t>INFUNDADO</w:t>
      </w:r>
      <w:r w:rsidR="005F0519">
        <w:rPr>
          <w:rFonts w:ascii="Century Gothic" w:eastAsia="Century Gothic" w:hAnsi="Century Gothic" w:cs="Century Gothic"/>
          <w:sz w:val="24"/>
          <w:szCs w:val="24"/>
        </w:rPr>
        <w:t xml:space="preserve"> el agravio anterior, en razón del análisis de las constancias de autos que fueron remitidas para la substanciación del presente asunto, con valor probatorio pleno conforme lo dispuesto por el artículo 203, fracción I, de la Ley de Procedimiento y Justicia Administrativa para el Estado de Oaxaca, por tratarse de actuaciones judiciales; que de las fojas treinta y ocho a la foja cuarenta, se advierte </w:t>
      </w:r>
      <w:r w:rsidR="005F0519">
        <w:rPr>
          <w:rFonts w:ascii="Century Gothic" w:eastAsia="Century Gothic" w:hAnsi="Century Gothic" w:cs="Century Gothic"/>
          <w:sz w:val="24"/>
          <w:szCs w:val="24"/>
        </w:rPr>
        <w:lastRenderedPageBreak/>
        <w:t xml:space="preserve">la sentencia impugnada en cuya parte que interesa del considerando quinto, la Magistrada de la Cuarta Sala Unitaria de Primera Instancia determinó lo siguiente: </w:t>
      </w:r>
    </w:p>
    <w:p w14:paraId="629FA002" w14:textId="3A00412C" w:rsidR="00746F50" w:rsidRDefault="005F0519">
      <w:pPr>
        <w:spacing w:after="120" w:line="360" w:lineRule="auto"/>
        <w:ind w:left="567" w:right="616" w:firstLine="283"/>
        <w:jc w:val="both"/>
        <w:rPr>
          <w:rFonts w:ascii="Century Gothic" w:eastAsia="Century Gothic" w:hAnsi="Century Gothic" w:cs="Century Gothic"/>
          <w:b/>
          <w:i/>
        </w:rPr>
      </w:pPr>
      <w:r>
        <w:rPr>
          <w:rFonts w:ascii="Century Gothic" w:eastAsia="Century Gothic" w:hAnsi="Century Gothic" w:cs="Century Gothic"/>
          <w:i/>
        </w:rPr>
        <w:t>“</w:t>
      </w:r>
      <w:proofErr w:type="gramStart"/>
      <w:r>
        <w:rPr>
          <w:rFonts w:ascii="Century Gothic" w:eastAsia="Century Gothic" w:hAnsi="Century Gothic" w:cs="Century Gothic"/>
          <w:b/>
          <w:i/>
        </w:rPr>
        <w:t>QUINTO.-</w:t>
      </w:r>
      <w:proofErr w:type="gramEnd"/>
      <w:r>
        <w:rPr>
          <w:rFonts w:ascii="Century Gothic" w:eastAsia="Century Gothic" w:hAnsi="Century Gothic" w:cs="Century Gothic"/>
          <w:b/>
          <w:i/>
        </w:rPr>
        <w:t xml:space="preserve"> </w:t>
      </w:r>
      <w:r>
        <w:rPr>
          <w:rFonts w:ascii="Century Gothic" w:eastAsia="Century Gothic" w:hAnsi="Century Gothic" w:cs="Century Gothic"/>
          <w:i/>
        </w:rPr>
        <w:t xml:space="preserve">La actora </w:t>
      </w:r>
      <w:r w:rsidR="00635F6A">
        <w:rPr>
          <w:rFonts w:ascii="Century Gothic" w:eastAsia="Century Gothic" w:hAnsi="Century Gothic" w:cs="Century Gothic"/>
          <w:b/>
          <w:color w:val="000000"/>
          <w:sz w:val="24"/>
          <w:szCs w:val="24"/>
        </w:rPr>
        <w:t>**********</w:t>
      </w:r>
      <w:r w:rsidR="00635F6A">
        <w:rPr>
          <w:rFonts w:ascii="Century Gothic" w:eastAsia="Century Gothic" w:hAnsi="Century Gothic" w:cs="Century Gothic"/>
          <w:b/>
          <w:color w:val="000000"/>
          <w:sz w:val="24"/>
          <w:szCs w:val="24"/>
        </w:rPr>
        <w:t xml:space="preserve"> </w:t>
      </w:r>
      <w:r>
        <w:rPr>
          <w:rFonts w:ascii="Century Gothic" w:eastAsia="Century Gothic" w:hAnsi="Century Gothic" w:cs="Century Gothic"/>
          <w:i/>
        </w:rPr>
        <w:t xml:space="preserve">demandó la nulidad del acta de infracción de folio 01805 A, de veinticinco de junio de dos mil veintidós, levantado por el Policía Vial con número estadístico PV-226 adscrito a la Dirección de Movilidad, del Municipio de Oaxaca de Juárez, Oaxaca, además expresa en sus conceptos de impugnación, que ésta no se encuentra debidamente </w:t>
      </w:r>
      <w:r>
        <w:rPr>
          <w:rFonts w:ascii="Century Gothic" w:eastAsia="Century Gothic" w:hAnsi="Century Gothic" w:cs="Century Gothic"/>
          <w:b/>
          <w:i/>
        </w:rPr>
        <w:t>fundada y motivada.</w:t>
      </w:r>
    </w:p>
    <w:p w14:paraId="20CA6733" w14:textId="4C3B32DE" w:rsidR="00746F50" w:rsidRDefault="005F0519">
      <w:pPr>
        <w:spacing w:after="120" w:line="360" w:lineRule="auto"/>
        <w:ind w:left="567" w:right="616" w:firstLine="283"/>
        <w:jc w:val="both"/>
        <w:rPr>
          <w:rFonts w:ascii="Century Gothic" w:eastAsia="Century Gothic" w:hAnsi="Century Gothic" w:cs="Century Gothic"/>
          <w:i/>
        </w:rPr>
      </w:pPr>
      <w:r>
        <w:rPr>
          <w:rFonts w:ascii="Century Gothic" w:eastAsia="Century Gothic" w:hAnsi="Century Gothic" w:cs="Century Gothic"/>
          <w:i/>
        </w:rPr>
        <w:t>Ahora, esta Juzgadora procede al análisis del acta de infracción impugnada con número de folio</w:t>
      </w:r>
      <w:r w:rsidR="00635F6A">
        <w:rPr>
          <w:rFonts w:ascii="Century Gothic" w:eastAsia="Century Gothic" w:hAnsi="Century Gothic" w:cs="Century Gothic"/>
          <w:b/>
          <w:i/>
        </w:rPr>
        <w:t xml:space="preserve"> ************</w:t>
      </w:r>
      <w:r>
        <w:rPr>
          <w:rFonts w:ascii="Century Gothic" w:eastAsia="Century Gothic" w:hAnsi="Century Gothic" w:cs="Century Gothic"/>
          <w:b/>
          <w:i/>
        </w:rPr>
        <w:t xml:space="preserve">, </w:t>
      </w:r>
      <w:r>
        <w:rPr>
          <w:rFonts w:ascii="Century Gothic" w:eastAsia="Century Gothic" w:hAnsi="Century Gothic" w:cs="Century Gothic"/>
          <w:i/>
        </w:rPr>
        <w:t xml:space="preserve">de veinticinco de junio de dos mil veintidós, a la cual se le confiere valor probatorio pleno, por ser un documento público expedido por un servidor público en ejercicio de sus funciones, en términos del artículo 203 fracción I, de la Ley que rige a este Tribunal. </w:t>
      </w:r>
    </w:p>
    <w:p w14:paraId="0FE5D211" w14:textId="77777777" w:rsidR="00746F50" w:rsidRDefault="005F0519">
      <w:pPr>
        <w:spacing w:after="120" w:line="360" w:lineRule="auto"/>
        <w:ind w:left="567" w:right="616" w:firstLine="283"/>
        <w:jc w:val="both"/>
        <w:rPr>
          <w:rFonts w:ascii="Century Gothic" w:eastAsia="Century Gothic" w:hAnsi="Century Gothic" w:cs="Century Gothic"/>
          <w:i/>
        </w:rPr>
      </w:pPr>
      <w:r>
        <w:rPr>
          <w:rFonts w:ascii="Century Gothic" w:eastAsia="Century Gothic" w:hAnsi="Century Gothic" w:cs="Century Gothic"/>
          <w:i/>
        </w:rPr>
        <w:t xml:space="preserve">De ella se advierte, que el Policía Vial que lo emitió, en el rubro de </w:t>
      </w:r>
      <w:r>
        <w:rPr>
          <w:rFonts w:ascii="Century Gothic" w:eastAsia="Century Gothic" w:hAnsi="Century Gothic" w:cs="Century Gothic"/>
          <w:b/>
          <w:i/>
        </w:rPr>
        <w:t>motivación señaló:</w:t>
      </w:r>
      <w:r>
        <w:rPr>
          <w:rFonts w:ascii="Century Gothic" w:eastAsia="Century Gothic" w:hAnsi="Century Gothic" w:cs="Century Gothic"/>
          <w:i/>
        </w:rPr>
        <w:t xml:space="preserve"> “por participar en un hecho de tránsito” sin embargo, no precisó las</w:t>
      </w:r>
      <w:r>
        <w:rPr>
          <w:rFonts w:ascii="Century Gothic" w:eastAsia="Century Gothic" w:hAnsi="Century Gothic" w:cs="Century Gothic"/>
          <w:b/>
          <w:i/>
        </w:rPr>
        <w:t xml:space="preserve"> razones, motivos o circunstancias especiales que llevaron a esa autoridad a concluir que el caso en particular encuadraba en el supuesto previsto en las normas legales invocadas</w:t>
      </w:r>
      <w:r>
        <w:rPr>
          <w:rFonts w:ascii="Century Gothic" w:eastAsia="Century Gothic" w:hAnsi="Century Gothic" w:cs="Century Gothic"/>
          <w:i/>
        </w:rPr>
        <w:t xml:space="preserve"> como fundamento. </w:t>
      </w:r>
    </w:p>
    <w:p w14:paraId="7EB8950A" w14:textId="77777777" w:rsidR="00746F50" w:rsidRDefault="005F0519">
      <w:pPr>
        <w:spacing w:after="120" w:line="360" w:lineRule="auto"/>
        <w:ind w:left="567" w:right="616" w:firstLine="283"/>
        <w:jc w:val="both"/>
        <w:rPr>
          <w:rFonts w:ascii="Century Gothic" w:eastAsia="Century Gothic" w:hAnsi="Century Gothic" w:cs="Century Gothic"/>
          <w:i/>
        </w:rPr>
      </w:pPr>
      <w:r>
        <w:rPr>
          <w:rFonts w:ascii="Century Gothic" w:eastAsia="Century Gothic" w:hAnsi="Century Gothic" w:cs="Century Gothic"/>
          <w:i/>
        </w:rPr>
        <w:t>Ahora bien, los actos de autoridad no se satisfacen aisladamente sino siempre en conjunto. No sería dable en un estado de derecho que los actos de autoridad, por el simple hecho de citar artículos, se consideren efectivamente legales. Pero tampoco sería legal si únicamente expresaran argumentos carentes de sustento jurídico, por lo que, en todo caso, la fundamentación y motivación se satisfacen conjuntamente.</w:t>
      </w:r>
    </w:p>
    <w:p w14:paraId="0A3A89B0" w14:textId="77777777" w:rsidR="00746F50" w:rsidRDefault="005F0519">
      <w:pPr>
        <w:spacing w:after="120" w:line="360" w:lineRule="auto"/>
        <w:ind w:left="567" w:right="616" w:firstLine="283"/>
        <w:jc w:val="both"/>
        <w:rPr>
          <w:rFonts w:ascii="Century Gothic" w:eastAsia="Century Gothic" w:hAnsi="Century Gothic" w:cs="Century Gothic"/>
          <w:i/>
        </w:rPr>
      </w:pPr>
      <w:r>
        <w:rPr>
          <w:rFonts w:ascii="Century Gothic" w:eastAsia="Century Gothic" w:hAnsi="Century Gothic" w:cs="Century Gothic"/>
          <w:i/>
        </w:rPr>
        <w:t xml:space="preserve">Por lo que, la autoridad demandada omitió señalar tiempo, modo y circunstancias de la conducta del infractor que le llevaron a concluir que el actor infringió el Reglamento de Vialidad 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al administrado en estado de indefensión al ignorar las causas por las cuales se emitió el acto impugnado; ya que únicamente se limitó a invocar como motivación de su actuar el </w:t>
      </w:r>
      <w:r>
        <w:rPr>
          <w:rFonts w:ascii="Century Gothic" w:eastAsia="Century Gothic" w:hAnsi="Century Gothic" w:cs="Century Gothic"/>
          <w:i/>
        </w:rPr>
        <w:lastRenderedPageBreak/>
        <w:t>"</w:t>
      </w:r>
      <w:r>
        <w:rPr>
          <w:rFonts w:ascii="Century Gothic" w:eastAsia="Century Gothic" w:hAnsi="Century Gothic" w:cs="Century Gothic"/>
          <w:b/>
          <w:i/>
        </w:rPr>
        <w:t>por participar en un hecho de tránsito</w:t>
      </w:r>
      <w:r>
        <w:rPr>
          <w:rFonts w:ascii="Century Gothic" w:eastAsia="Century Gothic" w:hAnsi="Century Gothic" w:cs="Century Gothic"/>
          <w:i/>
        </w:rPr>
        <w:t xml:space="preserve">", sin que hiciera referencia de los hechos ocurridos ni especificara las razones particulares o causas inmediatas, que lo llevaron a concluir el sustento para la emisión del acto.. </w:t>
      </w:r>
    </w:p>
    <w:p w14:paraId="02C0CB88" w14:textId="77777777" w:rsidR="00746F50" w:rsidRDefault="005F0519">
      <w:pPr>
        <w:spacing w:after="120" w:line="360" w:lineRule="auto"/>
        <w:ind w:left="567" w:right="616" w:firstLine="283"/>
        <w:jc w:val="both"/>
        <w:rPr>
          <w:rFonts w:ascii="Century Gothic" w:eastAsia="Century Gothic" w:hAnsi="Century Gothic" w:cs="Century Gothic"/>
          <w:i/>
        </w:rPr>
      </w:pPr>
      <w:r>
        <w:rPr>
          <w:rFonts w:ascii="Century Gothic" w:eastAsia="Century Gothic" w:hAnsi="Century Gothic" w:cs="Century Gothic"/>
          <w:i/>
        </w:rPr>
        <w:t xml:space="preserve">Así, el Policía Vial con número estadístico PV-226, adscrito a la Dirección de Movilidad del Municipio de Oaxaca de Juárez, Oaxaca, al no precisar y concluir con argumentos lógico jurídicos las circunstancias por las cuales estimó que la supuesta infractora había cometido una falta al Reglamento de Vialidad para el Municipio de Oaxaca de Juárez, soslayó cumplir con la obligación de fundar y motivar debidamente el acto impugnado, esto es, que debió expresar con precisión el o los preceptos legales aplicables al caso y señalar las circunstancias especiales por las cuales esa conducta encuadraba en los supuestos de la norma legal, que haya tenido en consideración para la emisión del acto, tal y como lo prevé la fracción V del artículo 17, de la Ley de Procedimiento y Justicia Administrativa para el Estado de Oaxaca. </w:t>
      </w:r>
    </w:p>
    <w:p w14:paraId="394CC26D" w14:textId="77777777" w:rsidR="00746F50" w:rsidRDefault="005F0519">
      <w:pPr>
        <w:spacing w:after="120" w:line="360" w:lineRule="auto"/>
        <w:ind w:left="567" w:right="616" w:firstLine="283"/>
        <w:jc w:val="both"/>
        <w:rPr>
          <w:rFonts w:ascii="Century Gothic" w:eastAsia="Century Gothic" w:hAnsi="Century Gothic" w:cs="Century Gothic"/>
          <w:i/>
        </w:rPr>
      </w:pPr>
      <w:r>
        <w:rPr>
          <w:rFonts w:ascii="Century Gothic" w:eastAsia="Century Gothic" w:hAnsi="Century Gothic" w:cs="Century Gothic"/>
          <w:i/>
        </w:rPr>
        <w:t xml:space="preserve">Lo anterior encuentra apoyo en la Jurisprudencia VI.2 J.7248. sustentada por el Segundo Tribunal Colegiado del Sexto Circuito, que aparece publicada en la página 43 de la Gaceta del Semanario Judicial de la Federación, tomo 64, abril de 1993, octava época, materia administrativa, bajo el rubro y texto siguientes: </w:t>
      </w:r>
    </w:p>
    <w:p w14:paraId="50CB94E8" w14:textId="77777777" w:rsidR="00746F50" w:rsidRDefault="005F0519">
      <w:pPr>
        <w:spacing w:after="120" w:line="360" w:lineRule="auto"/>
        <w:ind w:left="567" w:right="616" w:firstLine="283"/>
        <w:jc w:val="both"/>
        <w:rPr>
          <w:rFonts w:ascii="Century Gothic" w:eastAsia="Century Gothic" w:hAnsi="Century Gothic" w:cs="Century Gothic"/>
          <w:i/>
        </w:rPr>
      </w:pPr>
      <w:r>
        <w:rPr>
          <w:rFonts w:ascii="Century Gothic" w:eastAsia="Century Gothic" w:hAnsi="Century Gothic" w:cs="Century Gothic"/>
          <w:b/>
          <w:i/>
        </w:rPr>
        <w:t xml:space="preserve">“FUNDAMENTACIÓN Y MOTIVACIÓN DE LOS ACTOS ADMINISTRATIVOS. </w:t>
      </w:r>
      <w:r>
        <w:rPr>
          <w:rFonts w:ascii="Century Gothic" w:eastAsia="Century Gothic" w:hAnsi="Century Gothic" w:cs="Century Gothic"/>
          <w:i/>
        </w:rPr>
        <w:t>[…]</w:t>
      </w:r>
    </w:p>
    <w:p w14:paraId="2D1C79CD" w14:textId="69B56D02" w:rsidR="00746F50" w:rsidRDefault="005F0519">
      <w:pPr>
        <w:spacing w:after="120" w:line="360" w:lineRule="auto"/>
        <w:ind w:left="567" w:right="616" w:firstLine="283"/>
        <w:jc w:val="both"/>
        <w:rPr>
          <w:rFonts w:ascii="Century Gothic" w:eastAsia="Century Gothic" w:hAnsi="Century Gothic" w:cs="Century Gothic"/>
          <w:b/>
          <w:i/>
        </w:rPr>
      </w:pPr>
      <w:r>
        <w:rPr>
          <w:rFonts w:ascii="Century Gothic" w:eastAsia="Century Gothic" w:hAnsi="Century Gothic" w:cs="Century Gothic"/>
          <w:i/>
        </w:rPr>
        <w:t xml:space="preserve">En consecuencia, procede con fundamento en el artículo 208 fracción II, de la Ley de Procedimiento y Justicia Administrativa para el Estado de Oaxaca, declarar la </w:t>
      </w:r>
      <w:r>
        <w:rPr>
          <w:rFonts w:ascii="Century Gothic" w:eastAsia="Century Gothic" w:hAnsi="Century Gothic" w:cs="Century Gothic"/>
          <w:b/>
          <w:i/>
        </w:rPr>
        <w:t xml:space="preserve">NULIDAD LISA Y LLANA, </w:t>
      </w:r>
      <w:r>
        <w:rPr>
          <w:rFonts w:ascii="Century Gothic" w:eastAsia="Century Gothic" w:hAnsi="Century Gothic" w:cs="Century Gothic"/>
          <w:i/>
        </w:rPr>
        <w:t>del acta de infracción</w:t>
      </w:r>
      <w:r w:rsidR="00635F6A">
        <w:rPr>
          <w:rFonts w:ascii="Century Gothic" w:eastAsia="Century Gothic" w:hAnsi="Century Gothic" w:cs="Century Gothic"/>
          <w:b/>
          <w:i/>
        </w:rPr>
        <w:t xml:space="preserve"> **********</w:t>
      </w:r>
      <w:r>
        <w:rPr>
          <w:rFonts w:ascii="Century Gothic" w:eastAsia="Century Gothic" w:hAnsi="Century Gothic" w:cs="Century Gothic"/>
          <w:b/>
          <w:i/>
        </w:rPr>
        <w:t xml:space="preserve">, </w:t>
      </w:r>
      <w:r>
        <w:rPr>
          <w:rFonts w:ascii="Century Gothic" w:eastAsia="Century Gothic" w:hAnsi="Century Gothic" w:cs="Century Gothic"/>
          <w:i/>
        </w:rPr>
        <w:t>de veinticinco de junio de dos mil veintidós, levantado por el Policía Vial con número estadístico PV-226 adscrito a la Dirección de Movilidad, dependiente de la Secretaria de Seguridad Ciudadana, Movilidad y Protección Civil del Municipio de Oaxaca de Juárez, Oaxaca y una vez que cause ejecutoria la sentencia se dé baja del Sistema  SAP, el acta de infracción impugnada.</w:t>
      </w:r>
      <w:r>
        <w:rPr>
          <w:rFonts w:ascii="Century Gothic" w:eastAsia="Century Gothic" w:hAnsi="Century Gothic" w:cs="Century Gothic"/>
          <w:b/>
          <w:i/>
        </w:rPr>
        <w:t>”</w:t>
      </w:r>
    </w:p>
    <w:p w14:paraId="38796811" w14:textId="44851A19" w:rsidR="00746F50" w:rsidRDefault="00712707">
      <w:pPr>
        <w:spacing w:after="12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14</w:t>
      </w:r>
      <w:r w:rsidR="005F0519">
        <w:rPr>
          <w:rFonts w:ascii="Century Gothic" w:eastAsia="Century Gothic" w:hAnsi="Century Gothic" w:cs="Century Gothic"/>
          <w:sz w:val="24"/>
          <w:szCs w:val="24"/>
        </w:rPr>
        <w:t xml:space="preserve">. De la transcripción anterior, se advierte que </w:t>
      </w:r>
      <w:r w:rsidR="005F0519">
        <w:rPr>
          <w:rFonts w:ascii="Century Gothic" w:eastAsia="Century Gothic" w:hAnsi="Century Gothic" w:cs="Century Gothic"/>
          <w:color w:val="000000"/>
          <w:sz w:val="24"/>
          <w:szCs w:val="24"/>
        </w:rPr>
        <w:t>contrario a lo que alega la autoridad recurrente, la Sala de Primera Instancia se abocó a analizar el acto administrativo impugnado</w:t>
      </w:r>
      <w:r w:rsidR="005F0519">
        <w:rPr>
          <w:rFonts w:ascii="Century Gothic" w:eastAsia="Century Gothic" w:hAnsi="Century Gothic" w:cs="Century Gothic"/>
          <w:sz w:val="24"/>
          <w:szCs w:val="24"/>
        </w:rPr>
        <w:t xml:space="preserve">, para verter las </w:t>
      </w:r>
      <w:r w:rsidR="005F0519">
        <w:rPr>
          <w:rFonts w:ascii="Century Gothic" w:eastAsia="Century Gothic" w:hAnsi="Century Gothic" w:cs="Century Gothic"/>
          <w:sz w:val="24"/>
          <w:szCs w:val="24"/>
        </w:rPr>
        <w:lastRenderedPageBreak/>
        <w:t xml:space="preserve">consideraciones sustentadas en razonamientos debidamente fundados y motivados, que la llevaron a determinar la nulidad lisa y llana del acto de autoridad. </w:t>
      </w:r>
    </w:p>
    <w:p w14:paraId="249A2FAA" w14:textId="1DC95F64" w:rsidR="00746F50" w:rsidRDefault="005F0519">
      <w:pPr>
        <w:spacing w:after="12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1</w:t>
      </w:r>
      <w:r w:rsidR="00712707">
        <w:rPr>
          <w:rFonts w:ascii="Century Gothic" w:eastAsia="Century Gothic" w:hAnsi="Century Gothic" w:cs="Century Gothic"/>
          <w:sz w:val="24"/>
          <w:szCs w:val="24"/>
        </w:rPr>
        <w:t>5</w:t>
      </w:r>
      <w:r>
        <w:rPr>
          <w:rFonts w:ascii="Century Gothic" w:eastAsia="Century Gothic" w:hAnsi="Century Gothic" w:cs="Century Gothic"/>
          <w:sz w:val="24"/>
          <w:szCs w:val="24"/>
        </w:rPr>
        <w:t xml:space="preserve">. Se dice lo anterior, porque de los autos, obra glosada el acta de infracción de folio </w:t>
      </w:r>
      <w:r w:rsidR="00D6109E">
        <w:rPr>
          <w:rFonts w:ascii="Century Gothic" w:eastAsia="Century Gothic" w:hAnsi="Century Gothic" w:cs="Century Gothic"/>
          <w:sz w:val="24"/>
          <w:szCs w:val="24"/>
        </w:rPr>
        <w:t xml:space="preserve">********** </w:t>
      </w:r>
      <w:r>
        <w:rPr>
          <w:rFonts w:ascii="Century Gothic" w:eastAsia="Century Gothic" w:hAnsi="Century Gothic" w:cs="Century Gothic"/>
          <w:sz w:val="24"/>
          <w:szCs w:val="24"/>
        </w:rPr>
        <w:t>de fecha veinticinco de junio del año dos mil veintidós, emitida por la Policía Vial recurrente, de cuyo texto se advierte que en el apartado relativo a todos los supuestos descritos como “Faltas Administrativas contempladas en el Reglamento de Vialidad para el Municipio de Oaxaca de Juárez”, remarcó la hipótesis que señala:</w:t>
      </w:r>
    </w:p>
    <w:p w14:paraId="4A235E48" w14:textId="77777777" w:rsidR="00746F50" w:rsidRDefault="005F0519">
      <w:pPr>
        <w:spacing w:after="120" w:line="360" w:lineRule="auto"/>
        <w:ind w:firstLine="708"/>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“POR PARTICIPAR EN UN HECHO DE TRÁNSITO. ARTÍCULO 116 FRACCIÓN I”</w:t>
      </w:r>
    </w:p>
    <w:p w14:paraId="49E4BB9C" w14:textId="6AA6BB35" w:rsidR="00746F50" w:rsidRDefault="00712707">
      <w:pPr>
        <w:spacing w:after="12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16</w:t>
      </w:r>
      <w:r w:rsidR="005F0519">
        <w:rPr>
          <w:rFonts w:ascii="Century Gothic" w:eastAsia="Century Gothic" w:hAnsi="Century Gothic" w:cs="Century Gothic"/>
          <w:sz w:val="24"/>
          <w:szCs w:val="24"/>
        </w:rPr>
        <w:t>. En el espacio reservado para la “MOTIVACIÓN” del acta de infracción plasmó:</w:t>
      </w:r>
    </w:p>
    <w:p w14:paraId="66FE2623" w14:textId="77777777" w:rsidR="00746F50" w:rsidRDefault="005F0519">
      <w:pPr>
        <w:spacing w:after="120" w:line="360" w:lineRule="auto"/>
        <w:ind w:left="851" w:right="616"/>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w:t>
      </w:r>
      <w:r>
        <w:rPr>
          <w:rFonts w:ascii="Century Gothic" w:eastAsia="Century Gothic" w:hAnsi="Century Gothic" w:cs="Century Gothic"/>
          <w:b/>
          <w:i/>
          <w:sz w:val="24"/>
          <w:szCs w:val="24"/>
        </w:rPr>
        <w:t>POR PARTICIPAR EN UN HECHO DE TRÁNSITO</w:t>
      </w:r>
      <w:r>
        <w:rPr>
          <w:rFonts w:ascii="Century Gothic" w:eastAsia="Century Gothic" w:hAnsi="Century Gothic" w:cs="Century Gothic"/>
          <w:b/>
          <w:sz w:val="24"/>
          <w:szCs w:val="24"/>
        </w:rPr>
        <w:t>”</w:t>
      </w:r>
    </w:p>
    <w:p w14:paraId="3F09FE15" w14:textId="796BCAA8" w:rsidR="00746F50" w:rsidRDefault="005F0519">
      <w:pPr>
        <w:spacing w:after="12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1</w:t>
      </w:r>
      <w:r w:rsidR="00712707">
        <w:rPr>
          <w:rFonts w:ascii="Century Gothic" w:eastAsia="Century Gothic" w:hAnsi="Century Gothic" w:cs="Century Gothic"/>
          <w:sz w:val="24"/>
          <w:szCs w:val="24"/>
        </w:rPr>
        <w:t>7.</w:t>
      </w:r>
      <w:r>
        <w:rPr>
          <w:rFonts w:ascii="Century Gothic" w:eastAsia="Century Gothic" w:hAnsi="Century Gothic" w:cs="Century Gothic"/>
          <w:sz w:val="24"/>
          <w:szCs w:val="24"/>
        </w:rPr>
        <w:t xml:space="preserve"> En el recuadro relativo a la “Fundamentación”, se advierte el texto preestablecido en el formato del acta de infracción que versa lo siguiente: </w:t>
      </w:r>
    </w:p>
    <w:p w14:paraId="7D653EA5" w14:textId="77777777" w:rsidR="00746F50" w:rsidRDefault="005F0519">
      <w:pPr>
        <w:spacing w:before="240" w:after="120" w:line="360" w:lineRule="auto"/>
        <w:ind w:firstLine="708"/>
        <w:jc w:val="both"/>
        <w:rPr>
          <w:rFonts w:ascii="Century Gothic" w:eastAsia="Century Gothic" w:hAnsi="Century Gothic" w:cs="Century Gothic"/>
          <w:sz w:val="24"/>
          <w:szCs w:val="24"/>
        </w:rPr>
      </w:pPr>
      <w:bookmarkStart w:id="2" w:name="_heading=h.1fob9te" w:colFirst="0" w:colLast="0"/>
      <w:bookmarkEnd w:id="2"/>
      <w:r>
        <w:rPr>
          <w:rFonts w:ascii="Century Gothic" w:eastAsia="Century Gothic" w:hAnsi="Century Gothic" w:cs="Century Gothic"/>
          <w:sz w:val="24"/>
          <w:szCs w:val="24"/>
        </w:rPr>
        <w:t>“</w:t>
      </w:r>
      <w:r>
        <w:rPr>
          <w:rFonts w:ascii="Century Gothic" w:eastAsia="Century Gothic" w:hAnsi="Century Gothic" w:cs="Century Gothic"/>
          <w:b/>
          <w:i/>
          <w:sz w:val="24"/>
          <w:szCs w:val="24"/>
        </w:rPr>
        <w:t>ARTÍCULO 116, FRACCIÓN I</w:t>
      </w:r>
      <w:r>
        <w:rPr>
          <w:rFonts w:ascii="Century Gothic" w:eastAsia="Century Gothic" w:hAnsi="Century Gothic" w:cs="Century Gothic"/>
          <w:sz w:val="24"/>
          <w:szCs w:val="24"/>
        </w:rPr>
        <w:t xml:space="preserve">” </w:t>
      </w:r>
    </w:p>
    <w:p w14:paraId="30214A09" w14:textId="57268A5E" w:rsidR="00746F50" w:rsidRDefault="00712707">
      <w:pPr>
        <w:spacing w:before="240" w:after="120" w:line="360" w:lineRule="auto"/>
        <w:ind w:firstLine="708"/>
        <w:jc w:val="both"/>
        <w:rPr>
          <w:rFonts w:ascii="Century Gothic" w:eastAsia="Century Gothic" w:hAnsi="Century Gothic" w:cs="Century Gothic"/>
          <w:color w:val="000000"/>
          <w:sz w:val="24"/>
          <w:szCs w:val="24"/>
        </w:rPr>
      </w:pPr>
      <w:r>
        <w:rPr>
          <w:rFonts w:ascii="Century Gothic" w:eastAsia="Century Gothic" w:hAnsi="Century Gothic" w:cs="Century Gothic"/>
          <w:sz w:val="24"/>
          <w:szCs w:val="24"/>
        </w:rPr>
        <w:t>18</w:t>
      </w:r>
      <w:r w:rsidR="005F0519">
        <w:rPr>
          <w:rFonts w:ascii="Century Gothic" w:eastAsia="Century Gothic" w:hAnsi="Century Gothic" w:cs="Century Gothic"/>
          <w:sz w:val="24"/>
          <w:szCs w:val="24"/>
        </w:rPr>
        <w:t>. De lo anterior se advierte que la falta administrativa señalada en el acta motivo del juicio de nulidad, no se encuentra debidamente sustentada, ya que en el apartado de motivación del acta de infracción, la autoridad vial se limitó a indicar “</w:t>
      </w:r>
      <w:r w:rsidR="005F0519">
        <w:rPr>
          <w:rFonts w:ascii="Century Gothic" w:eastAsia="Century Gothic" w:hAnsi="Century Gothic" w:cs="Century Gothic"/>
          <w:i/>
          <w:sz w:val="24"/>
          <w:szCs w:val="24"/>
        </w:rPr>
        <w:t>por participar en un hecho de tránsito</w:t>
      </w:r>
      <w:r w:rsidR="005F0519">
        <w:rPr>
          <w:rFonts w:ascii="Century Gothic" w:eastAsia="Century Gothic" w:hAnsi="Century Gothic" w:cs="Century Gothic"/>
          <w:sz w:val="24"/>
          <w:szCs w:val="24"/>
        </w:rPr>
        <w:t xml:space="preserve">”, sin haber precisado las circunstancias de tiempo, modo y lugar, así como las razones particulares, causas inmediatas, motivos o circunstancias especiales que se ajustaron al artículo 116, fracción I, escrito en el apartado de la fundamentación en el que se basa la falta administrativa motivo del acta de infracción; ya que, en el apartado de motivación debió explicar la forma como se percató de que el actor realizaba un tipo de participación de un hecho de tránsito ni refiere cual es; de lo que se colige que el acta de infracción con número de folio 01805 A de fecha veinticinco de junio del año dos mil veintidós, emitida por el policía vial de nombre ELEAZID TRUJILLO LÓPEZ con número estadístico PV-226 adscrito a la Dirección de Movilidad, dependiente de la Secretaria de Seguridad Ciudadana, Movilidad y </w:t>
      </w:r>
      <w:r w:rsidR="005F0519">
        <w:rPr>
          <w:rFonts w:ascii="Century Gothic" w:eastAsia="Century Gothic" w:hAnsi="Century Gothic" w:cs="Century Gothic"/>
          <w:sz w:val="24"/>
          <w:szCs w:val="24"/>
        </w:rPr>
        <w:lastRenderedPageBreak/>
        <w:t xml:space="preserve">Protección Civil del Municipio de Oaxaca de Juárez, Oaxaca, contiene deficiente fundamentación y motivación </w:t>
      </w:r>
      <w:r w:rsidR="005F0519">
        <w:rPr>
          <w:rFonts w:ascii="Century Gothic" w:eastAsia="Century Gothic" w:hAnsi="Century Gothic" w:cs="Century Gothic"/>
          <w:color w:val="000000"/>
          <w:sz w:val="24"/>
          <w:szCs w:val="24"/>
        </w:rPr>
        <w:t xml:space="preserve">al no constar de manera exhaustiva ni completa, las razones que permitan conocer el criterio utilizado por la autoridad demandada para considerar infringido el </w:t>
      </w:r>
      <w:r w:rsidR="005F0519">
        <w:rPr>
          <w:rFonts w:ascii="Century Gothic" w:eastAsia="Century Gothic" w:hAnsi="Century Gothic" w:cs="Century Gothic"/>
          <w:sz w:val="24"/>
          <w:szCs w:val="24"/>
        </w:rPr>
        <w:t xml:space="preserve">artículo 116, fracción I, </w:t>
      </w:r>
      <w:r w:rsidR="005F0519">
        <w:rPr>
          <w:rFonts w:ascii="Century Gothic" w:eastAsia="Century Gothic" w:hAnsi="Century Gothic" w:cs="Century Gothic"/>
          <w:color w:val="000000"/>
          <w:sz w:val="24"/>
          <w:szCs w:val="24"/>
        </w:rPr>
        <w:t xml:space="preserve">aunado a que por lo que concierne al primer precepto citado no especifica la ley o reglamento a que se refiere; así como tampoco señala </w:t>
      </w:r>
      <w:r w:rsidR="005F0519">
        <w:rPr>
          <w:rFonts w:ascii="Century Gothic" w:eastAsia="Century Gothic" w:hAnsi="Century Gothic" w:cs="Century Gothic"/>
          <w:sz w:val="24"/>
          <w:szCs w:val="24"/>
        </w:rPr>
        <w:t xml:space="preserve"> que lo llevó a </w:t>
      </w:r>
      <w:r w:rsidR="005F0519">
        <w:rPr>
          <w:rFonts w:ascii="Century Gothic" w:eastAsia="Century Gothic" w:hAnsi="Century Gothic" w:cs="Century Gothic"/>
          <w:color w:val="000000"/>
          <w:sz w:val="24"/>
          <w:szCs w:val="24"/>
        </w:rPr>
        <w:t>elaborar el acta de infracción en contra del actor, lo que da lugar a interpretar que los hechos fueron apreciados por la autoridad vial de manera equivocada.</w:t>
      </w:r>
    </w:p>
    <w:p w14:paraId="08220C1F" w14:textId="6DD7116D" w:rsidR="00746F50" w:rsidRDefault="00712707">
      <w:pPr>
        <w:spacing w:before="240" w:after="120" w:line="360" w:lineRule="auto"/>
        <w:ind w:firstLine="567"/>
        <w:jc w:val="both"/>
        <w:rPr>
          <w:rFonts w:ascii="Century Gothic" w:eastAsia="Century Gothic" w:hAnsi="Century Gothic" w:cs="Century Gothic"/>
          <w:sz w:val="24"/>
          <w:szCs w:val="24"/>
        </w:rPr>
      </w:pPr>
      <w:bookmarkStart w:id="3" w:name="_heading=h.3znysh7" w:colFirst="0" w:colLast="0"/>
      <w:bookmarkEnd w:id="3"/>
      <w:r>
        <w:rPr>
          <w:rFonts w:ascii="Century Gothic" w:eastAsia="Century Gothic" w:hAnsi="Century Gothic" w:cs="Century Gothic"/>
          <w:sz w:val="24"/>
          <w:szCs w:val="24"/>
        </w:rPr>
        <w:t>19</w:t>
      </w:r>
      <w:r w:rsidR="005F0519">
        <w:rPr>
          <w:rFonts w:ascii="Century Gothic" w:eastAsia="Century Gothic" w:hAnsi="Century Gothic" w:cs="Century Gothic"/>
          <w:sz w:val="24"/>
          <w:szCs w:val="24"/>
        </w:rPr>
        <w:t xml:space="preserve">. Ahora bien, tomando en consideración que ELEAZID TRUJILLO LÓPEZ con número estadístico PV-226  adscrito a la Dirección de Movilidad, dependiente de la Secretaria de Seguridad Ciudadana, Movilidad y Protección Civil del Municipio de Oaxaca de Juárez, Oaxaca, se encuentra investido con el carácter de autoridad, tiene la obligación de emitir actos debidamente fundados y motivados para legitimar su actuación; esto es, que debe precisar los numerales de la legislación aplicable al caso (fundamentación); y especificar las circunstancias de tiempo, modo y lugar, así como las razones particulares, causas inmediatas, motivos o circunstancias especiales, que justifiquen la aplicación de los artículos al acto de molestia (motivación), para  salvaguardar el principio de legalidad contenido del artículo 16 de la Constitución Política de los Estados Unidos Mexicanos; de lo contrario, es decir, de emitir actos indebidamente fundados y motivados en contra de los administrados, los colocará en estado de indefensión por impedirles conocer los motivos y fundamentos ejercidos en contra de ellos. </w:t>
      </w:r>
    </w:p>
    <w:p w14:paraId="1D37B45E" w14:textId="00850AB5" w:rsidR="00746F50" w:rsidRDefault="005F0519">
      <w:pPr>
        <w:tabs>
          <w:tab w:val="left" w:pos="0"/>
          <w:tab w:val="left" w:pos="5670"/>
        </w:tabs>
        <w:spacing w:before="240" w:after="120" w:line="360" w:lineRule="auto"/>
        <w:ind w:right="51" w:firstLine="709"/>
        <w:jc w:val="both"/>
        <w:rPr>
          <w:rFonts w:ascii="Century Gothic" w:eastAsia="Century Gothic" w:hAnsi="Century Gothic" w:cs="Century Gothic"/>
        </w:rPr>
      </w:pPr>
      <w:r>
        <w:rPr>
          <w:rFonts w:ascii="Century Gothic" w:eastAsia="Century Gothic" w:hAnsi="Century Gothic" w:cs="Century Gothic"/>
          <w:sz w:val="24"/>
          <w:szCs w:val="24"/>
        </w:rPr>
        <w:t>2</w:t>
      </w:r>
      <w:r w:rsidR="00712707">
        <w:rPr>
          <w:rFonts w:ascii="Century Gothic" w:eastAsia="Century Gothic" w:hAnsi="Century Gothic" w:cs="Century Gothic"/>
          <w:sz w:val="24"/>
          <w:szCs w:val="24"/>
        </w:rPr>
        <w:t>0</w:t>
      </w:r>
      <w:r>
        <w:rPr>
          <w:rFonts w:ascii="Century Gothic" w:eastAsia="Century Gothic" w:hAnsi="Century Gothic" w:cs="Century Gothic"/>
          <w:sz w:val="24"/>
          <w:szCs w:val="24"/>
        </w:rPr>
        <w:t xml:space="preserve">. Conviene destacar que por fundamentación se entiende la cita de los preceptos legales que sirven de base a la autoridad para emitir su acto en el sentido en que lo hace; pero además debe expresar las causas inmediatas, razones particulares o circunstancias especiales que lo llevan a tomar la determinación en el sentido en que lo hace, lo que constituye la correspondiente motivación de su actuación. </w:t>
      </w:r>
    </w:p>
    <w:p w14:paraId="7D0F28FA" w14:textId="7A319908" w:rsidR="00746F50" w:rsidRDefault="005F0519">
      <w:pPr>
        <w:tabs>
          <w:tab w:val="left" w:pos="0"/>
          <w:tab w:val="left" w:pos="5670"/>
        </w:tabs>
        <w:spacing w:before="240" w:after="120" w:line="360" w:lineRule="auto"/>
        <w:ind w:right="51"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2</w:t>
      </w:r>
      <w:r w:rsidR="00712707">
        <w:rPr>
          <w:rFonts w:ascii="Century Gothic" w:eastAsia="Century Gothic" w:hAnsi="Century Gothic" w:cs="Century Gothic"/>
          <w:sz w:val="24"/>
          <w:szCs w:val="24"/>
        </w:rPr>
        <w:t>1</w:t>
      </w:r>
      <w:r>
        <w:rPr>
          <w:rFonts w:ascii="Century Gothic" w:eastAsia="Century Gothic" w:hAnsi="Century Gothic" w:cs="Century Gothic"/>
          <w:sz w:val="24"/>
          <w:szCs w:val="24"/>
        </w:rPr>
        <w:t xml:space="preserve">. Ahora bien, la debida fundamentación y motivación exige, además, que las razones otorgadas se adecuen a los fundamentos </w:t>
      </w:r>
      <w:r>
        <w:rPr>
          <w:rFonts w:ascii="Century Gothic" w:eastAsia="Century Gothic" w:hAnsi="Century Gothic" w:cs="Century Gothic"/>
          <w:sz w:val="24"/>
          <w:szCs w:val="24"/>
        </w:rPr>
        <w:lastRenderedPageBreak/>
        <w:t xml:space="preserve">legales, porque de esta manera se asegura que dicho acto está apegado a derecho y, por tanto, se satisfacen los principios de certeza y seguridad jurídica, cumpliendo la autoridad con su obligación constitucional de garantizar que el acto emitido cumpla con los requisitos previstos en la ley. </w:t>
      </w:r>
    </w:p>
    <w:p w14:paraId="49A3ECD1" w14:textId="415134C7" w:rsidR="00746F50" w:rsidRDefault="005F0519">
      <w:pPr>
        <w:tabs>
          <w:tab w:val="left" w:pos="0"/>
          <w:tab w:val="left" w:pos="5670"/>
        </w:tabs>
        <w:spacing w:before="240" w:after="120" w:line="360" w:lineRule="auto"/>
        <w:ind w:right="51"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2</w:t>
      </w:r>
      <w:r w:rsidR="00712707">
        <w:rPr>
          <w:rFonts w:ascii="Century Gothic" w:eastAsia="Century Gothic" w:hAnsi="Century Gothic" w:cs="Century Gothic"/>
          <w:sz w:val="24"/>
          <w:szCs w:val="24"/>
        </w:rPr>
        <w:t>2</w:t>
      </w:r>
      <w:r>
        <w:rPr>
          <w:rFonts w:ascii="Century Gothic" w:eastAsia="Century Gothic" w:hAnsi="Century Gothic" w:cs="Century Gothic"/>
          <w:sz w:val="24"/>
          <w:szCs w:val="24"/>
        </w:rPr>
        <w:t>. En tal</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consideración,</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la emisión de un acto por una autoridad en el ejercicio de sus atribuciones, que incumpla con la debida fundamentación y motivación, es ilegal, porque transgrede los principios de legalidad y seguridad jurídica contenidos en el artículo 16 de la Constitución Federal, al colocar al afectado en estado de indefensión, ya que si los fundamentos legales y las razones otorgadas para la emisión del acto administrativo no están en concordancia, la defensa que se pretenda realizar en su contra será deficiente, además que el acto estará apartado de la obligación que tienen las autoridades de actuar en el estricto margen de la legalidad, atendiendo las disposiciones jurídicas al caso en concreto. Al caso resulta aplicable por analogía la Jurisprudencia en materia Administrativa, tesis:</w:t>
      </w:r>
      <w:r>
        <w:rPr>
          <w:rFonts w:ascii="Century Gothic" w:eastAsia="Century Gothic" w:hAnsi="Century Gothic" w:cs="Century Gothic"/>
          <w:i/>
          <w:sz w:val="24"/>
          <w:szCs w:val="24"/>
        </w:rPr>
        <w:t xml:space="preserve"> 2a./J. 57/2001</w:t>
      </w:r>
      <w:r>
        <w:rPr>
          <w:rFonts w:ascii="Century Gothic" w:eastAsia="Century Gothic" w:hAnsi="Century Gothic" w:cs="Century Gothic"/>
          <w:sz w:val="24"/>
          <w:szCs w:val="24"/>
        </w:rPr>
        <w:t xml:space="preserve">, con número de registro digital 188432, de la Novena Época, emitida por los Suprema Corte de Justicia de la Nación, publicado en el Semanario Judicial de la Federación y su Gaceta, Tomo XIV, </w:t>
      </w:r>
      <w:proofErr w:type="gramStart"/>
      <w:r>
        <w:rPr>
          <w:rFonts w:ascii="Century Gothic" w:eastAsia="Century Gothic" w:hAnsi="Century Gothic" w:cs="Century Gothic"/>
          <w:sz w:val="24"/>
          <w:szCs w:val="24"/>
        </w:rPr>
        <w:t>Noviembre</w:t>
      </w:r>
      <w:proofErr w:type="gramEnd"/>
      <w:r>
        <w:rPr>
          <w:rFonts w:ascii="Century Gothic" w:eastAsia="Century Gothic" w:hAnsi="Century Gothic" w:cs="Century Gothic"/>
          <w:sz w:val="24"/>
          <w:szCs w:val="24"/>
        </w:rPr>
        <w:t xml:space="preserve"> de 2001, página 31, de rubro y texto siguientes: </w:t>
      </w:r>
    </w:p>
    <w:p w14:paraId="30C0DA47" w14:textId="77777777" w:rsidR="00746F50" w:rsidRDefault="005F0519">
      <w:pPr>
        <w:spacing w:after="120" w:line="360" w:lineRule="auto"/>
        <w:ind w:right="69" w:firstLine="708"/>
        <w:jc w:val="both"/>
        <w:rPr>
          <w:rFonts w:ascii="Century Gothic" w:eastAsia="Century Gothic" w:hAnsi="Century Gothic" w:cs="Century Gothic"/>
          <w:b/>
          <w:i/>
        </w:rPr>
      </w:pPr>
      <w:r>
        <w:rPr>
          <w:rFonts w:ascii="Century Gothic" w:eastAsia="Century Gothic" w:hAnsi="Century Gothic" w:cs="Century Gothic"/>
          <w:b/>
          <w:i/>
        </w:rPr>
        <w:t>“COMPETENCIA DE LAS AUTORIDADES ADMINISTRATIVAS. EN EL MANDAMIENTO ESCRITO QUE CONTIENE EL ACTO DE MOLESTIA, DEBE SEÑALARSE CON PRECISIÓN EL PRECEPTO LEGAL QUE LES OTORGUE LA ATRIBUCIÓN EJERCIDA Y, EN SU CASO, LA RESPECTIVA FRACCIÓN, INCISO Y SUBINCISO.</w:t>
      </w:r>
    </w:p>
    <w:p w14:paraId="7182B327" w14:textId="77777777" w:rsidR="00746F50" w:rsidRDefault="005F0519">
      <w:pPr>
        <w:spacing w:after="120" w:line="360" w:lineRule="auto"/>
        <w:ind w:right="69" w:firstLine="708"/>
        <w:jc w:val="both"/>
        <w:rPr>
          <w:rFonts w:ascii="Century Gothic" w:eastAsia="Century Gothic" w:hAnsi="Century Gothic" w:cs="Century Gothic"/>
          <w:i/>
        </w:rPr>
      </w:pPr>
      <w:r>
        <w:rPr>
          <w:rFonts w:ascii="Century Gothic" w:eastAsia="Century Gothic" w:hAnsi="Century Gothic" w:cs="Century Gothic"/>
          <w:i/>
        </w:rPr>
        <w:t>De lo dispuesto en la tesis de jurisprudencia P./J. 10/94 del Tribunal Pleno de la Suprema Corte de Justicia de la Nación, publicada en la Gaceta del Semanario Judicial de la Federación, Número 77, mayo de 1994, página 12, de rubro: "</w:t>
      </w:r>
      <w:r>
        <w:rPr>
          <w:rFonts w:ascii="Century Gothic" w:eastAsia="Century Gothic" w:hAnsi="Century Gothic" w:cs="Century Gothic"/>
          <w:b/>
          <w:i/>
        </w:rPr>
        <w:t>COMPETENCIA. SU FUNDAMENTACIÓN ES REQUISITO ESENCIAL DEL ACTO DE AUTORIDAD</w:t>
      </w:r>
      <w:r>
        <w:rPr>
          <w:rFonts w:ascii="Century Gothic" w:eastAsia="Century Gothic" w:hAnsi="Century Gothic" w:cs="Century Gothic"/>
          <w:i/>
        </w:rPr>
        <w:t xml:space="preserve">.", así como de las consideraciones en las cuales se sustentó dicho criterio, se desprende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w:t>
      </w:r>
      <w:r>
        <w:rPr>
          <w:rFonts w:ascii="Century Gothic" w:eastAsia="Century Gothic" w:hAnsi="Century Gothic" w:cs="Century Gothic"/>
          <w:i/>
        </w:rPr>
        <w:lastRenderedPageBreak/>
        <w:t xml:space="preserve">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resulta inconcuso que para estimar satisfecha la garantía de la debida fundamentación, que establece dicho precepto constitucional, por lo que hace a la competencia de la autoridad administrativa para emitir el acto de molestia es necesario que en el documento que se contenga se invoquen las disposiciones legales, acuerdo o decreto que otorgan facultades a la autoridad emisora y, en caso de que estas normas incluyan diversos supuestos, se precisen con claridad y detalle, el apartado, la fracción o fracciones, incisos y </w:t>
      </w:r>
      <w:proofErr w:type="spellStart"/>
      <w:r>
        <w:rPr>
          <w:rFonts w:ascii="Century Gothic" w:eastAsia="Century Gothic" w:hAnsi="Century Gothic" w:cs="Century Gothic"/>
          <w:i/>
        </w:rPr>
        <w:t>subincisos</w:t>
      </w:r>
      <w:proofErr w:type="spellEnd"/>
      <w:r>
        <w:rPr>
          <w:rFonts w:ascii="Century Gothic" w:eastAsia="Century Gothic" w:hAnsi="Century Gothic" w:cs="Century Gothic"/>
          <w:i/>
        </w:rPr>
        <w:t>, en que apoya su actuación; pues de no ser así, se dejaría al gobernado en estado de indefensión, toda vez que se traduciría en que éste ignorara si el proceder  de la autoridad se encuentra o no dentro del ámbito competencial respectivo por razón de materia, grado y territorio y, en consecuencia, si está o no ajustado a derecho. Esto es así, porque no es permisible abrigar en la garantía individual en cuestión ninguna clase de ambigüedad, ya que su finalidad consiste, esencialmente, en una exacta individualización del acto de autoridad, de acuerdo a la hipótesis jurídica en que se ubique el gobernado en relación con las facultades de la autoridad, por razones de seguridad jurídica”.</w:t>
      </w:r>
    </w:p>
    <w:p w14:paraId="3E1FC572" w14:textId="5E34FD0B" w:rsidR="00746F50" w:rsidRDefault="005F0519">
      <w:pPr>
        <w:spacing w:before="240" w:after="120" w:line="360" w:lineRule="auto"/>
        <w:ind w:firstLine="708"/>
        <w:jc w:val="both"/>
        <w:rPr>
          <w:rFonts w:ascii="Century Gothic" w:eastAsia="Century Gothic" w:hAnsi="Century Gothic" w:cs="Century Gothic"/>
          <w:color w:val="000000"/>
          <w:sz w:val="24"/>
          <w:szCs w:val="24"/>
        </w:rPr>
      </w:pPr>
      <w:r>
        <w:rPr>
          <w:rFonts w:ascii="Century Gothic" w:eastAsia="Century Gothic" w:hAnsi="Century Gothic" w:cs="Century Gothic"/>
          <w:sz w:val="24"/>
          <w:szCs w:val="24"/>
        </w:rPr>
        <w:t>2</w:t>
      </w:r>
      <w:r w:rsidR="00712707">
        <w:rPr>
          <w:rFonts w:ascii="Century Gothic" w:eastAsia="Century Gothic" w:hAnsi="Century Gothic" w:cs="Century Gothic"/>
          <w:sz w:val="24"/>
          <w:szCs w:val="24"/>
        </w:rPr>
        <w:t>3</w:t>
      </w:r>
      <w:r>
        <w:rPr>
          <w:rFonts w:ascii="Century Gothic" w:eastAsia="Century Gothic" w:hAnsi="Century Gothic" w:cs="Century Gothic"/>
          <w:sz w:val="24"/>
          <w:szCs w:val="24"/>
        </w:rPr>
        <w:t>. En razón de lo antes expuesto y dado que, como ya se dijo, la ahora autoridad recurrente omitió narrar en el apartado de “Motivación” del acta de infracción, que tipo de participación tuvo y a que hecho de tránsito se refiere, de modo que su explicación se ajustara al artículo 116, fracción I; se colige que el acto suscrito por la autoridad vial fue deficiente, por no haber citado con exactitud a que ley o reglamento corresponde el artículo 116, fracción I plasmado en su acta de infracción</w:t>
      </w:r>
      <w:r>
        <w:rPr>
          <w:rFonts w:ascii="Century Gothic" w:eastAsia="Century Gothic" w:hAnsi="Century Gothic" w:cs="Century Gothic"/>
          <w:color w:val="000000"/>
          <w:sz w:val="24"/>
          <w:szCs w:val="24"/>
        </w:rPr>
        <w:t xml:space="preserve">, </w:t>
      </w:r>
      <w:r>
        <w:rPr>
          <w:rFonts w:ascii="Century Gothic" w:eastAsia="Century Gothic" w:hAnsi="Century Gothic" w:cs="Century Gothic"/>
          <w:sz w:val="24"/>
          <w:szCs w:val="24"/>
        </w:rPr>
        <w:t xml:space="preserve">en el apartado de motivación y por haber omitido detallar las circunstancias de tiempo, modo y lugar, así como las razones particulares, causas inmediatas, motivos o circunstancias especiales, que justifiquen la aplicación del supuesto legal señalado en la falta administrativa que marcó en el formato del acta; de lo que se concluye que el acto motivo del juicio de nulidad consistente en el acta de infracción con número de folio </w:t>
      </w:r>
      <w:r w:rsidR="00D6109E">
        <w:rPr>
          <w:rFonts w:ascii="Century Gothic" w:eastAsia="Century Gothic" w:hAnsi="Century Gothic" w:cs="Century Gothic"/>
          <w:sz w:val="24"/>
          <w:szCs w:val="24"/>
        </w:rPr>
        <w:t xml:space="preserve">********** </w:t>
      </w:r>
      <w:r>
        <w:rPr>
          <w:rFonts w:ascii="Century Gothic" w:eastAsia="Century Gothic" w:hAnsi="Century Gothic" w:cs="Century Gothic"/>
          <w:sz w:val="24"/>
          <w:szCs w:val="24"/>
        </w:rPr>
        <w:t xml:space="preserve">de veinticinco de junio del año dos mil veintidós, emitida por el Policía Vial emitida por ELEAZID TRUJILLO </w:t>
      </w:r>
      <w:r>
        <w:rPr>
          <w:rFonts w:ascii="Century Gothic" w:eastAsia="Century Gothic" w:hAnsi="Century Gothic" w:cs="Century Gothic"/>
          <w:sz w:val="24"/>
          <w:szCs w:val="24"/>
        </w:rPr>
        <w:lastRenderedPageBreak/>
        <w:t xml:space="preserve">LÓPEZ con número estadístico PV-226  adscrito a la Dirección de Movilidad, dependiente de la Secretaria de Seguridad Ciudadana, Movilidad y Protección Civil del Municipio de Oaxaca de Juárez, Oaxaca, contiene deficiente fundamentación y motivación, por tanto incumple el requisito de validez que exige la fracción V, del artículo 17 de la Ley de Procedimiento y Justicia Administrativa para el Estado de Oaxaca, </w:t>
      </w:r>
      <w:r>
        <w:rPr>
          <w:rFonts w:ascii="Century Gothic" w:eastAsia="Century Gothic" w:hAnsi="Century Gothic" w:cs="Century Gothic"/>
          <w:color w:val="000000"/>
          <w:sz w:val="24"/>
          <w:szCs w:val="24"/>
        </w:rPr>
        <w:t>lo que constituye un vicio de legalidad ostensible y particularmente grave que bajo ninguna circunstancia debe ser convalidado pues conlleva a que se declare su nulidad lisa y llana.</w:t>
      </w:r>
    </w:p>
    <w:p w14:paraId="63E67E01" w14:textId="24568B4A" w:rsidR="00746F50" w:rsidRDefault="005F0519">
      <w:pPr>
        <w:shd w:val="clear" w:color="auto" w:fill="FFFFFF"/>
        <w:spacing w:after="120" w:line="360" w:lineRule="auto"/>
        <w:ind w:firstLine="567"/>
        <w:jc w:val="both"/>
        <w:rPr>
          <w:rFonts w:ascii="Century Gothic" w:eastAsia="Century Gothic" w:hAnsi="Century Gothic" w:cs="Century Gothic"/>
          <w:sz w:val="24"/>
          <w:szCs w:val="24"/>
        </w:rPr>
      </w:pPr>
      <w:r>
        <w:rPr>
          <w:rFonts w:ascii="Century Gothic" w:eastAsia="Century Gothic" w:hAnsi="Century Gothic" w:cs="Century Gothic"/>
          <w:sz w:val="24"/>
          <w:szCs w:val="24"/>
        </w:rPr>
        <w:t>2</w:t>
      </w:r>
      <w:r w:rsidR="00712707">
        <w:rPr>
          <w:rFonts w:ascii="Century Gothic" w:eastAsia="Century Gothic" w:hAnsi="Century Gothic" w:cs="Century Gothic"/>
          <w:sz w:val="24"/>
          <w:szCs w:val="24"/>
        </w:rPr>
        <w:t>4</w:t>
      </w:r>
      <w:r>
        <w:rPr>
          <w:rFonts w:ascii="Century Gothic" w:eastAsia="Century Gothic" w:hAnsi="Century Gothic" w:cs="Century Gothic"/>
          <w:sz w:val="24"/>
          <w:szCs w:val="24"/>
        </w:rPr>
        <w:t xml:space="preserve">. Es aplicable al caso, la jurisprudencia en materia administrativa número I.7o.A. J./31, con número de registro digital 176913, de la Novena Época, emitida por los Tribunales Colegiados de Circuito, publicado en el Semanario Judicial de la Federación y su Gaceta, Tomo XXII, </w:t>
      </w:r>
      <w:proofErr w:type="gramStart"/>
      <w:r>
        <w:rPr>
          <w:rFonts w:ascii="Century Gothic" w:eastAsia="Century Gothic" w:hAnsi="Century Gothic" w:cs="Century Gothic"/>
          <w:sz w:val="24"/>
          <w:szCs w:val="24"/>
        </w:rPr>
        <w:t>Octubre</w:t>
      </w:r>
      <w:proofErr w:type="gramEnd"/>
      <w:r>
        <w:rPr>
          <w:rFonts w:ascii="Century Gothic" w:eastAsia="Century Gothic" w:hAnsi="Century Gothic" w:cs="Century Gothic"/>
          <w:sz w:val="24"/>
          <w:szCs w:val="24"/>
        </w:rPr>
        <w:t xml:space="preserve"> de 2005, consultable a página 2212, de rubro y texto siguientes: </w:t>
      </w:r>
    </w:p>
    <w:p w14:paraId="1C7CD32B" w14:textId="77777777" w:rsidR="00746F50" w:rsidRDefault="005F0519">
      <w:pPr>
        <w:spacing w:before="240" w:after="120" w:line="360" w:lineRule="auto"/>
        <w:ind w:left="567" w:right="616"/>
        <w:jc w:val="both"/>
        <w:rPr>
          <w:rFonts w:ascii="Century Gothic" w:eastAsia="Century Gothic" w:hAnsi="Century Gothic" w:cs="Century Gothic"/>
          <w:i/>
        </w:rPr>
      </w:pPr>
      <w:r>
        <w:rPr>
          <w:rFonts w:ascii="Century Gothic" w:eastAsia="Century Gothic" w:hAnsi="Century Gothic" w:cs="Century Gothic"/>
          <w:b/>
          <w:i/>
        </w:rPr>
        <w:t>“NULIDAD. REGLAS PARA SU DETERMINACIÓN EN EL JUICIO CONTENCIOSO ADMINISTRATIVO EN EL DISTRITO FEDERAL.</w:t>
      </w:r>
      <w:r>
        <w:rPr>
          <w:rFonts w:ascii="Century Gothic" w:eastAsia="Century Gothic" w:hAnsi="Century Gothic" w:cs="Century Gothic"/>
          <w:i/>
        </w:rPr>
        <w:t>.</w:t>
      </w:r>
      <w:r>
        <w:rPr>
          <w:rFonts w:ascii="Century Gothic" w:eastAsia="Century Gothic" w:hAnsi="Century Gothic" w:cs="Century Gothic"/>
          <w:i/>
          <w:vertAlign w:val="superscript"/>
        </w:rPr>
        <w:footnoteReference w:id="4"/>
      </w:r>
      <w:r>
        <w:rPr>
          <w:rFonts w:ascii="Century Gothic" w:eastAsia="Century Gothic" w:hAnsi="Century Gothic" w:cs="Century Gothic"/>
          <w:i/>
        </w:rPr>
        <w:t>”</w:t>
      </w:r>
    </w:p>
    <w:p w14:paraId="7BBDD430" w14:textId="4ADED76E" w:rsidR="00746F50" w:rsidRDefault="00712707">
      <w:pPr>
        <w:spacing w:before="120" w:after="120" w:line="360" w:lineRule="auto"/>
        <w:ind w:firstLine="567"/>
        <w:jc w:val="both"/>
        <w:rPr>
          <w:rFonts w:ascii="Century Gothic" w:eastAsia="Century Gothic" w:hAnsi="Century Gothic" w:cs="Century Gothic"/>
          <w:sz w:val="24"/>
          <w:szCs w:val="24"/>
        </w:rPr>
      </w:pPr>
      <w:r>
        <w:rPr>
          <w:rFonts w:ascii="Century Gothic" w:eastAsia="Century Gothic" w:hAnsi="Century Gothic" w:cs="Century Gothic"/>
          <w:color w:val="000000"/>
          <w:sz w:val="24"/>
          <w:szCs w:val="24"/>
        </w:rPr>
        <w:t>25.</w:t>
      </w:r>
      <w:r w:rsidR="005F0519">
        <w:rPr>
          <w:rFonts w:ascii="Century Gothic" w:eastAsia="Century Gothic" w:hAnsi="Century Gothic" w:cs="Century Gothic"/>
          <w:color w:val="000000"/>
          <w:sz w:val="24"/>
          <w:szCs w:val="24"/>
        </w:rPr>
        <w:t xml:space="preserve"> Por lo que respecta al </w:t>
      </w:r>
      <w:r w:rsidR="005F0519">
        <w:rPr>
          <w:rFonts w:ascii="Century Gothic" w:eastAsia="Century Gothic" w:hAnsi="Century Gothic" w:cs="Century Gothic"/>
          <w:b/>
          <w:color w:val="000000"/>
          <w:sz w:val="24"/>
          <w:szCs w:val="24"/>
        </w:rPr>
        <w:t>segundo agravio</w:t>
      </w:r>
      <w:r w:rsidR="005F0519">
        <w:rPr>
          <w:rFonts w:ascii="Century Gothic" w:eastAsia="Century Gothic" w:hAnsi="Century Gothic" w:cs="Century Gothic"/>
          <w:color w:val="000000"/>
          <w:sz w:val="24"/>
          <w:szCs w:val="24"/>
        </w:rPr>
        <w:t xml:space="preserve"> en donde el recurrente señala, que la motivación del acta de infracción multicitada fue la </w:t>
      </w:r>
      <w:r w:rsidR="005F0519">
        <w:rPr>
          <w:rFonts w:ascii="Century Gothic" w:eastAsia="Century Gothic" w:hAnsi="Century Gothic" w:cs="Century Gothic"/>
          <w:color w:val="000000"/>
          <w:sz w:val="24"/>
          <w:szCs w:val="24"/>
        </w:rPr>
        <w:lastRenderedPageBreak/>
        <w:t xml:space="preserve">correcta y los preceptos legales citados, son aplicables al caso particular, por lo que de ninguna manera se dejó al administrado en estado de indefensión, dado que se señalaron los motivos, circunstancias especiales o razones particulares para determinar la conducta ilegal del infractor, cumpliéndose así con lo previsto por el artículo 17, fracción V de la Ley de Procedimiento y Justicia Administrativa para el Estado de Oaxaca. </w:t>
      </w:r>
    </w:p>
    <w:p w14:paraId="3C821ECA" w14:textId="6D074A9C" w:rsidR="00746F50" w:rsidRDefault="00712707">
      <w:pPr>
        <w:spacing w:before="120" w:after="120" w:line="360" w:lineRule="auto"/>
        <w:ind w:firstLine="708"/>
        <w:jc w:val="both"/>
        <w:rPr>
          <w:rFonts w:ascii="Century Gothic" w:eastAsia="Century Gothic" w:hAnsi="Century Gothic" w:cs="Century Gothic"/>
          <w:color w:val="000000"/>
          <w:sz w:val="24"/>
          <w:szCs w:val="24"/>
        </w:rPr>
      </w:pPr>
      <w:r>
        <w:rPr>
          <w:rFonts w:ascii="Century Gothic" w:eastAsia="Century Gothic" w:hAnsi="Century Gothic" w:cs="Century Gothic"/>
          <w:sz w:val="24"/>
          <w:szCs w:val="24"/>
        </w:rPr>
        <w:t>26</w:t>
      </w:r>
      <w:r w:rsidR="005F0519">
        <w:rPr>
          <w:rFonts w:ascii="Century Gothic" w:eastAsia="Century Gothic" w:hAnsi="Century Gothic" w:cs="Century Gothic"/>
          <w:sz w:val="24"/>
          <w:szCs w:val="24"/>
        </w:rPr>
        <w:t xml:space="preserve">. Se califica de </w:t>
      </w:r>
      <w:r w:rsidR="005F0519">
        <w:rPr>
          <w:rFonts w:ascii="Century Gothic" w:eastAsia="Century Gothic" w:hAnsi="Century Gothic" w:cs="Century Gothic"/>
          <w:b/>
          <w:sz w:val="24"/>
          <w:szCs w:val="24"/>
        </w:rPr>
        <w:t>INOPERANTE</w:t>
      </w:r>
      <w:r w:rsidR="005F0519">
        <w:rPr>
          <w:rFonts w:ascii="Century Gothic" w:eastAsia="Century Gothic" w:hAnsi="Century Gothic" w:cs="Century Gothic"/>
          <w:sz w:val="24"/>
          <w:szCs w:val="24"/>
        </w:rPr>
        <w:t xml:space="preserve"> el segundo agravio, porque </w:t>
      </w:r>
      <w:r w:rsidR="005F0519">
        <w:rPr>
          <w:rFonts w:ascii="Century Gothic" w:eastAsia="Century Gothic" w:hAnsi="Century Gothic" w:cs="Century Gothic"/>
          <w:color w:val="000000"/>
          <w:sz w:val="24"/>
          <w:szCs w:val="24"/>
        </w:rPr>
        <w:t xml:space="preserve">no </w:t>
      </w:r>
      <w:r w:rsidR="005F0519">
        <w:rPr>
          <w:rFonts w:ascii="Century Gothic" w:eastAsia="Century Gothic" w:hAnsi="Century Gothic" w:cs="Century Gothic"/>
          <w:sz w:val="24"/>
          <w:szCs w:val="24"/>
        </w:rPr>
        <w:t xml:space="preserve">expone argumento alguno destinado a combatir la consideración toral emitida por la Primera Instancia para declarar la nulidad lisa y llana </w:t>
      </w:r>
      <w:r w:rsidR="005F0519">
        <w:rPr>
          <w:rFonts w:ascii="Century Gothic" w:eastAsia="Century Gothic" w:hAnsi="Century Gothic" w:cs="Century Gothic"/>
          <w:color w:val="000000"/>
          <w:sz w:val="24"/>
          <w:szCs w:val="24"/>
        </w:rPr>
        <w:t xml:space="preserve">del acta de infracción con número de folio 01805 A de fecha veinticinco de junio de dos mil veintidós, emitida por </w:t>
      </w:r>
      <w:r w:rsidR="005F0519">
        <w:rPr>
          <w:rFonts w:ascii="Century Gothic" w:eastAsia="Century Gothic" w:hAnsi="Century Gothic" w:cs="Century Gothic"/>
          <w:sz w:val="24"/>
          <w:szCs w:val="24"/>
        </w:rPr>
        <w:t>ELEAZID TRUJILLO LÓPEZ con número estadístico PV-226 adscrito a la Dirección de Movilidad, dependiente de la Secretaria de Seguridad Ciudadana, Movilidad y Protección Civil del Municipio de Oaxaca de Juárez, Oaxaca</w:t>
      </w:r>
      <w:r w:rsidR="005F0519">
        <w:rPr>
          <w:rFonts w:ascii="Century Gothic" w:eastAsia="Century Gothic" w:hAnsi="Century Gothic" w:cs="Century Gothic"/>
          <w:color w:val="000000"/>
          <w:sz w:val="24"/>
          <w:szCs w:val="24"/>
        </w:rPr>
        <w:t xml:space="preserve">; es decir, para ser considerado como agravio, era necesario que expusiera cuál es el precepto violado por la resolutora, así como debía indicar las razones que estima son suficientes para combatir la determinación de la juzgadora de origen y explicar en todo caso, por qué no procede la nulidad decretada, lo que no logra al tratarse de meras afirmaciones sin sustento legal alguno, </w:t>
      </w:r>
      <w:r w:rsidR="005F0519">
        <w:rPr>
          <w:rFonts w:ascii="Century Gothic" w:eastAsia="Century Gothic" w:hAnsi="Century Gothic" w:cs="Century Gothic"/>
          <w:sz w:val="24"/>
          <w:szCs w:val="24"/>
        </w:rPr>
        <w:t xml:space="preserve">ya que sus argumentos son genéricos, ambiguos, que en manera alguna explican la forma en que la sentencia le agravia. </w:t>
      </w:r>
    </w:p>
    <w:p w14:paraId="66E3EDD8" w14:textId="05DEC57D" w:rsidR="00746F50" w:rsidRDefault="00712707">
      <w:pPr>
        <w:spacing w:before="120" w:after="12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27.</w:t>
      </w:r>
      <w:r w:rsidR="005F0519">
        <w:rPr>
          <w:rFonts w:ascii="Century Gothic" w:eastAsia="Century Gothic" w:hAnsi="Century Gothic" w:cs="Century Gothic"/>
          <w:sz w:val="24"/>
          <w:szCs w:val="24"/>
        </w:rPr>
        <w:t xml:space="preserve"> Se precisa que en materia recursiva, es imperativo que se exponga la lesión sufrida y para ello, es necesario que se diga cuál es la parte de la sentencia específica que le agravia; es decir, debe exponer en qué consiste la lesión sufrida con la actuación de la juzgadora, el precepto legal violado y que explique de qué manera la juzgadora le causa el perjuicio, sin que sea válido que haga aportaciones genéricas e hipotéticas como acontece en el presente caso,  pues así lo exige la técnica procesal tratándose de recursos.</w:t>
      </w:r>
    </w:p>
    <w:p w14:paraId="512855BA" w14:textId="7C9A3EAF" w:rsidR="00746F50" w:rsidRDefault="005F0519">
      <w:pPr>
        <w:spacing w:before="240" w:after="12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color w:val="000000"/>
          <w:sz w:val="24"/>
          <w:szCs w:val="24"/>
        </w:rPr>
        <w:t>2</w:t>
      </w:r>
      <w:r w:rsidR="00712707">
        <w:rPr>
          <w:rFonts w:ascii="Century Gothic" w:eastAsia="Century Gothic" w:hAnsi="Century Gothic" w:cs="Century Gothic"/>
          <w:color w:val="000000"/>
          <w:sz w:val="24"/>
          <w:szCs w:val="24"/>
        </w:rPr>
        <w:t>8</w:t>
      </w:r>
      <w:r>
        <w:rPr>
          <w:rFonts w:ascii="Century Gothic" w:eastAsia="Century Gothic" w:hAnsi="Century Gothic" w:cs="Century Gothic"/>
          <w:color w:val="000000"/>
          <w:sz w:val="24"/>
          <w:szCs w:val="24"/>
        </w:rPr>
        <w:t xml:space="preserve">. De lo anterior expuesto, se concluye que en la sentencia en revisión fue dictada con apego a derecho, toda vez que, la Magistrada de origen, expuso sus razonamientos lógico-jurídicos que la condujeron a determinar la nulidad lisa y llana del acto administrativo de autoridad; </w:t>
      </w:r>
      <w:r>
        <w:rPr>
          <w:rFonts w:ascii="Century Gothic" w:eastAsia="Century Gothic" w:hAnsi="Century Gothic" w:cs="Century Gothic"/>
          <w:color w:val="000000"/>
          <w:sz w:val="24"/>
          <w:szCs w:val="24"/>
        </w:rPr>
        <w:lastRenderedPageBreak/>
        <w:t xml:space="preserve">por ende, se califica como </w:t>
      </w:r>
      <w:r>
        <w:rPr>
          <w:rFonts w:ascii="Century Gothic" w:eastAsia="Century Gothic" w:hAnsi="Century Gothic" w:cs="Century Gothic"/>
          <w:b/>
          <w:color w:val="000000"/>
          <w:sz w:val="24"/>
          <w:szCs w:val="24"/>
        </w:rPr>
        <w:t>infundados los agravios expuestos</w:t>
      </w:r>
      <w:r>
        <w:rPr>
          <w:rFonts w:ascii="Century Gothic" w:eastAsia="Century Gothic" w:hAnsi="Century Gothic" w:cs="Century Gothic"/>
          <w:color w:val="000000"/>
          <w:sz w:val="24"/>
          <w:szCs w:val="24"/>
        </w:rPr>
        <w:t xml:space="preserve"> por la autoridad recurrente.</w:t>
      </w:r>
    </w:p>
    <w:p w14:paraId="136DADBE" w14:textId="37E71EB9" w:rsidR="00746F50" w:rsidRDefault="00712707">
      <w:pPr>
        <w:spacing w:after="12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29</w:t>
      </w:r>
      <w:r w:rsidR="005F0519">
        <w:rPr>
          <w:rFonts w:ascii="Century Gothic" w:eastAsia="Century Gothic" w:hAnsi="Century Gothic" w:cs="Century Gothic"/>
          <w:sz w:val="24"/>
          <w:szCs w:val="24"/>
        </w:rPr>
        <w:t xml:space="preserve">. En mérito de lo anterior, ante lo </w:t>
      </w:r>
      <w:r w:rsidR="005F0519">
        <w:rPr>
          <w:rFonts w:ascii="Century Gothic" w:eastAsia="Century Gothic" w:hAnsi="Century Gothic" w:cs="Century Gothic"/>
          <w:b/>
          <w:sz w:val="24"/>
          <w:szCs w:val="24"/>
        </w:rPr>
        <w:t xml:space="preserve">inoperante e infundado </w:t>
      </w:r>
      <w:r w:rsidR="005F0519">
        <w:rPr>
          <w:rFonts w:ascii="Century Gothic" w:eastAsia="Century Gothic" w:hAnsi="Century Gothic" w:cs="Century Gothic"/>
          <w:sz w:val="24"/>
          <w:szCs w:val="24"/>
        </w:rPr>
        <w:t xml:space="preserve">de los agravios expuestos por la autoridad recurrente, lo procedente es </w:t>
      </w:r>
      <w:r w:rsidR="005F0519">
        <w:rPr>
          <w:rFonts w:ascii="Century Gothic" w:eastAsia="Century Gothic" w:hAnsi="Century Gothic" w:cs="Century Gothic"/>
          <w:b/>
          <w:sz w:val="24"/>
          <w:szCs w:val="24"/>
        </w:rPr>
        <w:t>confirmar</w:t>
      </w:r>
      <w:r w:rsidR="005F0519">
        <w:rPr>
          <w:rFonts w:ascii="Century Gothic" w:eastAsia="Century Gothic" w:hAnsi="Century Gothic" w:cs="Century Gothic"/>
          <w:sz w:val="24"/>
          <w:szCs w:val="24"/>
        </w:rPr>
        <w:t xml:space="preserve"> la sentencia recurrida; en consecuencia, con fundamento en los artículos 236 y 238 de la Ley de Procedimiento y Justicia Administrativa para el Estado de Oaxaca, se:</w:t>
      </w:r>
      <w:r w:rsidR="00D96AAF">
        <w:rPr>
          <w:rFonts w:ascii="Century Gothic" w:eastAsia="Century Gothic" w:hAnsi="Century Gothic" w:cs="Century Gothic"/>
          <w:sz w:val="24"/>
          <w:szCs w:val="24"/>
        </w:rPr>
        <w:t xml:space="preserve"> - - - - - - - - - - - - - - - - - - - - -</w:t>
      </w:r>
    </w:p>
    <w:p w14:paraId="71AF1E73" w14:textId="77777777" w:rsidR="00746F50" w:rsidRDefault="005F0519">
      <w:pPr>
        <w:widowControl w:val="0"/>
        <w:tabs>
          <w:tab w:val="left" w:pos="0"/>
        </w:tabs>
        <w:spacing w:before="240" w:after="120" w:line="360" w:lineRule="auto"/>
        <w:ind w:right="18"/>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R E S U E L V E</w:t>
      </w:r>
    </w:p>
    <w:p w14:paraId="6630061B" w14:textId="77777777" w:rsidR="00746F50" w:rsidRDefault="005F0519">
      <w:pPr>
        <w:widowControl w:val="0"/>
        <w:tabs>
          <w:tab w:val="left" w:pos="0"/>
        </w:tabs>
        <w:spacing w:before="240" w:after="120" w:line="360" w:lineRule="auto"/>
        <w:ind w:right="18"/>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ab/>
        <w:t>PRIMERO</w:t>
      </w:r>
      <w:r>
        <w:rPr>
          <w:rFonts w:ascii="Century Gothic" w:eastAsia="Century Gothic" w:hAnsi="Century Gothic" w:cs="Century Gothic"/>
          <w:color w:val="000000"/>
          <w:sz w:val="24"/>
          <w:szCs w:val="24"/>
        </w:rPr>
        <w:t xml:space="preserve">. Se </w:t>
      </w:r>
      <w:r>
        <w:rPr>
          <w:rFonts w:ascii="Century Gothic" w:eastAsia="Century Gothic" w:hAnsi="Century Gothic" w:cs="Century Gothic"/>
          <w:b/>
          <w:color w:val="000000"/>
          <w:sz w:val="24"/>
          <w:szCs w:val="24"/>
        </w:rPr>
        <w:t xml:space="preserve">CONFIRMA </w:t>
      </w:r>
      <w:r>
        <w:rPr>
          <w:rFonts w:ascii="Century Gothic" w:eastAsia="Century Gothic" w:hAnsi="Century Gothic" w:cs="Century Gothic"/>
          <w:color w:val="000000"/>
          <w:sz w:val="24"/>
          <w:szCs w:val="24"/>
        </w:rPr>
        <w:t xml:space="preserve">la </w:t>
      </w:r>
      <w:r>
        <w:rPr>
          <w:rFonts w:ascii="Century Gothic" w:eastAsia="Century Gothic" w:hAnsi="Century Gothic" w:cs="Century Gothic"/>
          <w:sz w:val="24"/>
          <w:szCs w:val="24"/>
        </w:rPr>
        <w:t xml:space="preserve">sentencia de </w:t>
      </w:r>
      <w:r>
        <w:rPr>
          <w:rFonts w:ascii="Century Gothic" w:eastAsia="Century Gothic" w:hAnsi="Century Gothic" w:cs="Century Gothic"/>
          <w:color w:val="000000"/>
          <w:sz w:val="24"/>
          <w:szCs w:val="24"/>
        </w:rPr>
        <w:t xml:space="preserve">trece de enero de dos mil veintitrés </w:t>
      </w:r>
      <w:r>
        <w:rPr>
          <w:rFonts w:ascii="Century Gothic" w:eastAsia="Century Gothic" w:hAnsi="Century Gothic" w:cs="Century Gothic"/>
          <w:sz w:val="24"/>
          <w:szCs w:val="24"/>
        </w:rPr>
        <w:t xml:space="preserve">dictada en el expediente </w:t>
      </w:r>
      <w:r>
        <w:rPr>
          <w:rFonts w:ascii="Century Gothic" w:eastAsia="Century Gothic" w:hAnsi="Century Gothic" w:cs="Century Gothic"/>
          <w:b/>
          <w:sz w:val="24"/>
          <w:szCs w:val="24"/>
        </w:rPr>
        <w:t>0064/2022</w:t>
      </w:r>
      <w:r>
        <w:rPr>
          <w:rFonts w:ascii="Century Gothic" w:eastAsia="Century Gothic" w:hAnsi="Century Gothic" w:cs="Century Gothic"/>
          <w:sz w:val="24"/>
          <w:szCs w:val="24"/>
        </w:rPr>
        <w:t xml:space="preserve"> de la Cuarta Sala Unitaria de Primera Instancia del extinto Tribunal de Justicia Administrativa del Estado de Oaxaca, ahora radicado dentro del expediente </w:t>
      </w:r>
      <w:r>
        <w:rPr>
          <w:rFonts w:ascii="Century Gothic" w:eastAsia="Century Gothic" w:hAnsi="Century Gothic" w:cs="Century Gothic"/>
          <w:b/>
          <w:sz w:val="24"/>
          <w:szCs w:val="24"/>
        </w:rPr>
        <w:t>0373/2023</w:t>
      </w:r>
      <w:r>
        <w:rPr>
          <w:rFonts w:ascii="Century Gothic" w:eastAsia="Century Gothic" w:hAnsi="Century Gothic" w:cs="Century Gothic"/>
          <w:sz w:val="24"/>
          <w:szCs w:val="24"/>
        </w:rPr>
        <w:t xml:space="preserve"> del índice de la Primera Sala Unitaria de Primera Instancia del Tribunal de Justicia Administrativa y Combate a la Corrupción del Estado de Oaxaca</w:t>
      </w:r>
      <w:r>
        <w:rPr>
          <w:rFonts w:ascii="Century Gothic" w:eastAsia="Century Gothic" w:hAnsi="Century Gothic" w:cs="Century Gothic"/>
          <w:color w:val="000000"/>
          <w:sz w:val="24"/>
          <w:szCs w:val="24"/>
        </w:rPr>
        <w:t>, por las razones expuestas en el considerando tercero</w:t>
      </w:r>
      <w:r>
        <w:rPr>
          <w:rFonts w:ascii="Century Gothic" w:eastAsia="Century Gothic" w:hAnsi="Century Gothic" w:cs="Century Gothic"/>
          <w:b/>
          <w:color w:val="000000"/>
          <w:sz w:val="24"/>
          <w:szCs w:val="24"/>
        </w:rPr>
        <w:t xml:space="preserve"> </w:t>
      </w:r>
      <w:r>
        <w:rPr>
          <w:rFonts w:ascii="Century Gothic" w:eastAsia="Century Gothic" w:hAnsi="Century Gothic" w:cs="Century Gothic"/>
          <w:color w:val="000000"/>
          <w:sz w:val="24"/>
          <w:szCs w:val="24"/>
        </w:rPr>
        <w:t>de la presente resolución. - - - - - - - - - - - - - - - - - - - - - - - - - - - - - - - - - - - - - - - - -</w:t>
      </w:r>
    </w:p>
    <w:p w14:paraId="5B671C0A" w14:textId="77777777" w:rsidR="00746F50" w:rsidRDefault="005F0519">
      <w:pPr>
        <w:widowControl w:val="0"/>
        <w:tabs>
          <w:tab w:val="left" w:pos="0"/>
        </w:tabs>
        <w:spacing w:before="240" w:after="120" w:line="360" w:lineRule="auto"/>
        <w:ind w:right="18"/>
        <w:jc w:val="both"/>
        <w:rPr>
          <w:rFonts w:ascii="Century Gothic" w:eastAsia="Century Gothic" w:hAnsi="Century Gothic" w:cs="Century Gothic"/>
          <w:color w:val="000000"/>
          <w:sz w:val="24"/>
          <w:szCs w:val="24"/>
        </w:rPr>
      </w:pPr>
      <w:r>
        <w:rPr>
          <w:rFonts w:ascii="Century Gothic" w:eastAsia="Century Gothic" w:hAnsi="Century Gothic" w:cs="Century Gothic"/>
          <w:b/>
          <w:sz w:val="24"/>
          <w:szCs w:val="24"/>
        </w:rPr>
        <w:tab/>
        <w:t>SEGUNDO. Notifíquese y cúmplase,</w:t>
      </w:r>
      <w:r>
        <w:rPr>
          <w:rFonts w:ascii="Century Gothic" w:eastAsia="Century Gothic" w:hAnsi="Century Gothic" w:cs="Century Gothic"/>
          <w:sz w:val="24"/>
          <w:szCs w:val="24"/>
        </w:rPr>
        <w:t xml:space="preserve"> remítase copia certificada de la presente resolución a la Sala de origen para los efectos legales correspondientes y en su oportunidad archívese como asunto concluido. </w:t>
      </w:r>
      <w:r>
        <w:rPr>
          <w:rFonts w:ascii="Century Gothic" w:eastAsia="Century Gothic" w:hAnsi="Century Gothic" w:cs="Century Gothic"/>
          <w:color w:val="000000"/>
          <w:sz w:val="24"/>
          <w:szCs w:val="24"/>
        </w:rPr>
        <w:t xml:space="preserve">- - - - - - - - - - - - - - - - - - - - - - - - - - - - - - - - - - - - - - - - - - - - - - - - </w:t>
      </w:r>
    </w:p>
    <w:p w14:paraId="1DAB8A7F" w14:textId="4D9614A7" w:rsidR="00746F50" w:rsidRDefault="005F0519">
      <w:pPr>
        <w:spacing w:before="240" w:after="12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Por unanimidad de votos, lo resolvieron y firmaron los Magistrados integrantes de la Sala Superior Mateo Martínez </w:t>
      </w:r>
      <w:proofErr w:type="spellStart"/>
      <w:r>
        <w:rPr>
          <w:rFonts w:ascii="Century Gothic" w:eastAsia="Century Gothic" w:hAnsi="Century Gothic" w:cs="Century Gothic"/>
          <w:sz w:val="24"/>
          <w:szCs w:val="24"/>
        </w:rPr>
        <w:t>Martínez</w:t>
      </w:r>
      <w:proofErr w:type="spellEnd"/>
      <w:r>
        <w:rPr>
          <w:rFonts w:ascii="Century Gothic" w:eastAsia="Century Gothic" w:hAnsi="Century Gothic" w:cs="Century Gothic"/>
          <w:sz w:val="24"/>
          <w:szCs w:val="24"/>
        </w:rPr>
        <w:t xml:space="preserve">, Cruz Itzel Espinosa Rojas </w:t>
      </w:r>
      <w:r>
        <w:rPr>
          <w:rFonts w:ascii="Century Gothic" w:eastAsia="Century Gothic" w:hAnsi="Century Gothic" w:cs="Century Gothic"/>
          <w:b/>
          <w:sz w:val="24"/>
          <w:szCs w:val="24"/>
        </w:rPr>
        <w:t>(ponente)</w:t>
      </w:r>
      <w:r>
        <w:rPr>
          <w:rFonts w:ascii="Century Gothic" w:eastAsia="Century Gothic" w:hAnsi="Century Gothic" w:cs="Century Gothic"/>
          <w:sz w:val="24"/>
          <w:szCs w:val="24"/>
        </w:rPr>
        <w:t xml:space="preserve"> y Manuel de Jesús López </w:t>
      </w:r>
      <w:proofErr w:type="spellStart"/>
      <w:r>
        <w:rPr>
          <w:rFonts w:ascii="Century Gothic" w:eastAsia="Century Gothic" w:hAnsi="Century Gothic" w:cs="Century Gothic"/>
          <w:sz w:val="24"/>
          <w:szCs w:val="24"/>
        </w:rPr>
        <w:t>López</w:t>
      </w:r>
      <w:proofErr w:type="spellEnd"/>
      <w:r>
        <w:rPr>
          <w:rFonts w:ascii="Century Gothic" w:eastAsia="Century Gothic" w:hAnsi="Century Gothic" w:cs="Century Gothic"/>
          <w:sz w:val="24"/>
          <w:szCs w:val="24"/>
        </w:rPr>
        <w:t xml:space="preserve">; quienes actúan con la </w:t>
      </w:r>
      <w:r w:rsidR="00D96AAF">
        <w:rPr>
          <w:rFonts w:ascii="Century Gothic" w:eastAsia="Century Gothic" w:hAnsi="Century Gothic" w:cs="Century Gothic"/>
          <w:sz w:val="24"/>
          <w:szCs w:val="24"/>
        </w:rPr>
        <w:t>Maestra</w:t>
      </w:r>
      <w:r>
        <w:rPr>
          <w:rFonts w:ascii="Century Gothic" w:eastAsia="Century Gothic" w:hAnsi="Century Gothic" w:cs="Century Gothic"/>
          <w:sz w:val="24"/>
          <w:szCs w:val="24"/>
        </w:rPr>
        <w:t xml:space="preserve"> Lizbeth Jessica Gallardo Martínez, </w:t>
      </w:r>
      <w:proofErr w:type="gramStart"/>
      <w:r>
        <w:rPr>
          <w:rFonts w:ascii="Century Gothic" w:eastAsia="Century Gothic" w:hAnsi="Century Gothic" w:cs="Century Gothic"/>
          <w:sz w:val="24"/>
          <w:szCs w:val="24"/>
        </w:rPr>
        <w:t>Secretaria General</w:t>
      </w:r>
      <w:proofErr w:type="gramEnd"/>
      <w:r>
        <w:rPr>
          <w:rFonts w:ascii="Century Gothic" w:eastAsia="Century Gothic" w:hAnsi="Century Gothic" w:cs="Century Gothic"/>
          <w:sz w:val="24"/>
          <w:szCs w:val="24"/>
        </w:rPr>
        <w:t xml:space="preserve"> de Acuerdos de este Tribunal, que autoriza y da fe. - </w:t>
      </w:r>
      <w:r>
        <w:rPr>
          <w:rFonts w:ascii="Century Gothic" w:eastAsia="Century Gothic" w:hAnsi="Century Gothic" w:cs="Century Gothic"/>
          <w:color w:val="000000"/>
          <w:sz w:val="24"/>
          <w:szCs w:val="24"/>
        </w:rPr>
        <w:t>- - - - - - - -</w:t>
      </w:r>
    </w:p>
    <w:p w14:paraId="58ECDBF6" w14:textId="77777777" w:rsidR="00746F50" w:rsidRDefault="00746F50">
      <w:pPr>
        <w:pBdr>
          <w:top w:val="nil"/>
          <w:left w:val="nil"/>
          <w:bottom w:val="nil"/>
          <w:right w:val="nil"/>
          <w:between w:val="nil"/>
        </w:pBdr>
        <w:spacing w:after="120" w:line="360" w:lineRule="auto"/>
        <w:rPr>
          <w:rFonts w:ascii="Century Gothic" w:eastAsia="Century Gothic" w:hAnsi="Century Gothic" w:cs="Century Gothic"/>
          <w:b/>
          <w:color w:val="000000"/>
          <w:sz w:val="24"/>
          <w:szCs w:val="24"/>
        </w:rPr>
      </w:pPr>
    </w:p>
    <w:p w14:paraId="11BF648E" w14:textId="77777777" w:rsidR="00746F50" w:rsidRDefault="00746F50">
      <w:pPr>
        <w:pBdr>
          <w:top w:val="nil"/>
          <w:left w:val="nil"/>
          <w:bottom w:val="nil"/>
          <w:right w:val="nil"/>
          <w:between w:val="nil"/>
        </w:pBdr>
        <w:spacing w:after="120" w:line="360" w:lineRule="auto"/>
        <w:jc w:val="center"/>
        <w:rPr>
          <w:rFonts w:ascii="Century Gothic" w:eastAsia="Century Gothic" w:hAnsi="Century Gothic" w:cs="Century Gothic"/>
          <w:b/>
          <w:color w:val="000000"/>
          <w:sz w:val="24"/>
          <w:szCs w:val="24"/>
        </w:rPr>
      </w:pPr>
    </w:p>
    <w:p w14:paraId="76815C8C" w14:textId="77777777" w:rsidR="00746F50" w:rsidRDefault="00746F50">
      <w:pPr>
        <w:pBdr>
          <w:top w:val="nil"/>
          <w:left w:val="nil"/>
          <w:bottom w:val="nil"/>
          <w:right w:val="nil"/>
          <w:between w:val="nil"/>
        </w:pBdr>
        <w:spacing w:after="120" w:line="360" w:lineRule="auto"/>
        <w:jc w:val="center"/>
        <w:rPr>
          <w:rFonts w:ascii="Century Gothic" w:eastAsia="Century Gothic" w:hAnsi="Century Gothic" w:cs="Century Gothic"/>
          <w:b/>
          <w:color w:val="000000"/>
          <w:sz w:val="24"/>
          <w:szCs w:val="24"/>
        </w:rPr>
      </w:pPr>
    </w:p>
    <w:p w14:paraId="5BC85334" w14:textId="77777777" w:rsidR="00746F50" w:rsidRDefault="005F0519">
      <w:pPr>
        <w:pBdr>
          <w:top w:val="nil"/>
          <w:left w:val="nil"/>
          <w:bottom w:val="nil"/>
          <w:right w:val="nil"/>
          <w:between w:val="nil"/>
        </w:pBdr>
        <w:spacing w:after="0" w:line="240" w:lineRule="auto"/>
        <w:jc w:val="center"/>
        <w:rPr>
          <w:rFonts w:ascii="Century Gothic" w:eastAsia="Century Gothic" w:hAnsi="Century Gothic" w:cs="Century Gothic"/>
          <w:b/>
          <w:color w:val="000000"/>
          <w:sz w:val="24"/>
          <w:szCs w:val="24"/>
        </w:rPr>
      </w:pPr>
      <w:r>
        <w:rPr>
          <w:rFonts w:ascii="Century Gothic" w:eastAsia="Century Gothic" w:hAnsi="Century Gothic" w:cs="Century Gothic"/>
          <w:b/>
          <w:color w:val="000000"/>
          <w:sz w:val="24"/>
          <w:szCs w:val="24"/>
        </w:rPr>
        <w:t xml:space="preserve">MAGISTRADO MATEO MARTÍNEZ </w:t>
      </w:r>
      <w:proofErr w:type="spellStart"/>
      <w:r>
        <w:rPr>
          <w:rFonts w:ascii="Century Gothic" w:eastAsia="Century Gothic" w:hAnsi="Century Gothic" w:cs="Century Gothic"/>
          <w:b/>
          <w:color w:val="000000"/>
          <w:sz w:val="24"/>
          <w:szCs w:val="24"/>
        </w:rPr>
        <w:t>MARTÍNEZ</w:t>
      </w:r>
      <w:proofErr w:type="spellEnd"/>
      <w:r>
        <w:rPr>
          <w:rFonts w:ascii="Century Gothic" w:eastAsia="Century Gothic" w:hAnsi="Century Gothic" w:cs="Century Gothic"/>
          <w:b/>
          <w:color w:val="000000"/>
          <w:sz w:val="24"/>
          <w:szCs w:val="24"/>
        </w:rPr>
        <w:t>.</w:t>
      </w:r>
    </w:p>
    <w:p w14:paraId="2F2CE4E8" w14:textId="77777777" w:rsidR="00746F50" w:rsidRDefault="005F0519">
      <w:pPr>
        <w:pBdr>
          <w:top w:val="nil"/>
          <w:left w:val="nil"/>
          <w:bottom w:val="nil"/>
          <w:right w:val="nil"/>
          <w:between w:val="nil"/>
        </w:pBdr>
        <w:spacing w:after="0" w:line="240" w:lineRule="auto"/>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PRESIDENTE</w:t>
      </w:r>
    </w:p>
    <w:p w14:paraId="68566B26" w14:textId="77777777" w:rsidR="00746F50" w:rsidRDefault="00746F50">
      <w:pPr>
        <w:tabs>
          <w:tab w:val="center" w:pos="4135"/>
          <w:tab w:val="left" w:pos="7515"/>
        </w:tabs>
        <w:spacing w:after="0" w:line="240" w:lineRule="auto"/>
        <w:jc w:val="center"/>
        <w:rPr>
          <w:rFonts w:ascii="Century Gothic" w:eastAsia="Century Gothic" w:hAnsi="Century Gothic" w:cs="Century Gothic"/>
          <w:b/>
          <w:sz w:val="24"/>
          <w:szCs w:val="24"/>
        </w:rPr>
      </w:pPr>
    </w:p>
    <w:p w14:paraId="56598CF6" w14:textId="77777777" w:rsidR="00746F50" w:rsidRDefault="00746F50">
      <w:pPr>
        <w:tabs>
          <w:tab w:val="center" w:pos="4135"/>
          <w:tab w:val="left" w:pos="7515"/>
        </w:tabs>
        <w:spacing w:after="0" w:line="240" w:lineRule="auto"/>
        <w:jc w:val="center"/>
        <w:rPr>
          <w:rFonts w:ascii="Century Gothic" w:eastAsia="Century Gothic" w:hAnsi="Century Gothic" w:cs="Century Gothic"/>
          <w:b/>
          <w:sz w:val="24"/>
          <w:szCs w:val="24"/>
        </w:rPr>
      </w:pPr>
    </w:p>
    <w:p w14:paraId="44819262" w14:textId="77777777" w:rsidR="00746F50" w:rsidRDefault="00746F50">
      <w:pPr>
        <w:tabs>
          <w:tab w:val="center" w:pos="4135"/>
          <w:tab w:val="left" w:pos="7515"/>
        </w:tabs>
        <w:spacing w:after="0" w:line="240" w:lineRule="auto"/>
        <w:jc w:val="center"/>
        <w:rPr>
          <w:rFonts w:ascii="Century Gothic" w:eastAsia="Century Gothic" w:hAnsi="Century Gothic" w:cs="Century Gothic"/>
          <w:b/>
          <w:sz w:val="24"/>
          <w:szCs w:val="24"/>
        </w:rPr>
      </w:pPr>
    </w:p>
    <w:p w14:paraId="39D98B59" w14:textId="77777777" w:rsidR="00746F50" w:rsidRDefault="00746F50">
      <w:pPr>
        <w:tabs>
          <w:tab w:val="center" w:pos="4135"/>
          <w:tab w:val="left" w:pos="7515"/>
        </w:tabs>
        <w:spacing w:after="0" w:line="240" w:lineRule="auto"/>
        <w:jc w:val="center"/>
        <w:rPr>
          <w:rFonts w:ascii="Century Gothic" w:eastAsia="Century Gothic" w:hAnsi="Century Gothic" w:cs="Century Gothic"/>
          <w:b/>
          <w:sz w:val="24"/>
          <w:szCs w:val="24"/>
        </w:rPr>
      </w:pPr>
    </w:p>
    <w:p w14:paraId="69C3B5B0" w14:textId="77777777" w:rsidR="00746F50" w:rsidRDefault="005F0519">
      <w:pPr>
        <w:tabs>
          <w:tab w:val="center" w:pos="4135"/>
          <w:tab w:val="left" w:pos="7515"/>
        </w:tabs>
        <w:spacing w:after="0" w:line="240" w:lineRule="auto"/>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MAGISTRADA CRUZ ITZEL ESPINOSA ROJAS.</w:t>
      </w:r>
    </w:p>
    <w:p w14:paraId="141E1168" w14:textId="77777777" w:rsidR="00746F50" w:rsidRDefault="005F0519">
      <w:pPr>
        <w:tabs>
          <w:tab w:val="center" w:pos="4135"/>
          <w:tab w:val="left" w:pos="7515"/>
        </w:tabs>
        <w:spacing w:after="0" w:line="240" w:lineRule="auto"/>
        <w:jc w:val="center"/>
        <w:rPr>
          <w:rFonts w:ascii="Century Gothic" w:eastAsia="Century Gothic" w:hAnsi="Century Gothic" w:cs="Century Gothic"/>
          <w:b/>
          <w:sz w:val="24"/>
          <w:szCs w:val="24"/>
        </w:rPr>
      </w:pPr>
      <w:r>
        <w:rPr>
          <w:rFonts w:ascii="Century Gothic" w:eastAsia="Century Gothic" w:hAnsi="Century Gothic" w:cs="Century Gothic"/>
          <w:sz w:val="24"/>
          <w:szCs w:val="24"/>
        </w:rPr>
        <w:t>INTEGRANTE</w:t>
      </w:r>
    </w:p>
    <w:p w14:paraId="608E8EE8" w14:textId="77777777" w:rsidR="00746F50" w:rsidRDefault="00746F50">
      <w:pPr>
        <w:tabs>
          <w:tab w:val="center" w:pos="4135"/>
          <w:tab w:val="left" w:pos="7515"/>
        </w:tabs>
        <w:spacing w:after="0" w:line="240" w:lineRule="auto"/>
        <w:jc w:val="center"/>
        <w:rPr>
          <w:rFonts w:ascii="Century Gothic" w:eastAsia="Century Gothic" w:hAnsi="Century Gothic" w:cs="Century Gothic"/>
          <w:b/>
          <w:sz w:val="24"/>
          <w:szCs w:val="24"/>
        </w:rPr>
      </w:pPr>
    </w:p>
    <w:p w14:paraId="580D4919" w14:textId="77777777" w:rsidR="00746F50" w:rsidRDefault="00746F50">
      <w:pPr>
        <w:tabs>
          <w:tab w:val="center" w:pos="4135"/>
          <w:tab w:val="left" w:pos="7515"/>
        </w:tabs>
        <w:spacing w:after="0" w:line="240" w:lineRule="auto"/>
        <w:jc w:val="center"/>
        <w:rPr>
          <w:rFonts w:ascii="Century Gothic" w:eastAsia="Century Gothic" w:hAnsi="Century Gothic" w:cs="Century Gothic"/>
          <w:b/>
          <w:sz w:val="24"/>
          <w:szCs w:val="24"/>
        </w:rPr>
      </w:pPr>
    </w:p>
    <w:p w14:paraId="10BA36BA" w14:textId="77777777" w:rsidR="00746F50" w:rsidRDefault="00746F50">
      <w:pPr>
        <w:tabs>
          <w:tab w:val="center" w:pos="4135"/>
          <w:tab w:val="left" w:pos="7515"/>
        </w:tabs>
        <w:spacing w:after="0" w:line="240" w:lineRule="auto"/>
        <w:jc w:val="center"/>
        <w:rPr>
          <w:rFonts w:ascii="Century Gothic" w:eastAsia="Century Gothic" w:hAnsi="Century Gothic" w:cs="Century Gothic"/>
          <w:b/>
          <w:sz w:val="24"/>
          <w:szCs w:val="24"/>
        </w:rPr>
      </w:pPr>
    </w:p>
    <w:p w14:paraId="52D22D99" w14:textId="77777777" w:rsidR="00746F50" w:rsidRDefault="00746F50">
      <w:pPr>
        <w:tabs>
          <w:tab w:val="center" w:pos="4135"/>
          <w:tab w:val="left" w:pos="7515"/>
        </w:tabs>
        <w:spacing w:after="0" w:line="240" w:lineRule="auto"/>
        <w:jc w:val="center"/>
        <w:rPr>
          <w:rFonts w:ascii="Century Gothic" w:eastAsia="Century Gothic" w:hAnsi="Century Gothic" w:cs="Century Gothic"/>
          <w:b/>
          <w:sz w:val="24"/>
          <w:szCs w:val="24"/>
        </w:rPr>
      </w:pPr>
    </w:p>
    <w:p w14:paraId="642C30FA" w14:textId="77777777" w:rsidR="00746F50" w:rsidRDefault="005F0519">
      <w:pPr>
        <w:tabs>
          <w:tab w:val="left" w:pos="7515"/>
        </w:tabs>
        <w:spacing w:after="0" w:line="240" w:lineRule="auto"/>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MAGISTRADO MANUEL DE JESÚS LÓPEZ </w:t>
      </w:r>
      <w:proofErr w:type="spellStart"/>
      <w:r>
        <w:rPr>
          <w:rFonts w:ascii="Century Gothic" w:eastAsia="Century Gothic" w:hAnsi="Century Gothic" w:cs="Century Gothic"/>
          <w:b/>
          <w:sz w:val="24"/>
          <w:szCs w:val="24"/>
        </w:rPr>
        <w:t>LÓPEZ</w:t>
      </w:r>
      <w:proofErr w:type="spellEnd"/>
      <w:r>
        <w:rPr>
          <w:rFonts w:ascii="Century Gothic" w:eastAsia="Century Gothic" w:hAnsi="Century Gothic" w:cs="Century Gothic"/>
          <w:b/>
          <w:sz w:val="24"/>
          <w:szCs w:val="24"/>
        </w:rPr>
        <w:t>.</w:t>
      </w:r>
    </w:p>
    <w:p w14:paraId="0E5FE454" w14:textId="77777777" w:rsidR="00746F50" w:rsidRDefault="005F0519">
      <w:pPr>
        <w:tabs>
          <w:tab w:val="center" w:pos="4135"/>
          <w:tab w:val="left" w:pos="7515"/>
        </w:tabs>
        <w:spacing w:after="0" w:line="240" w:lineRule="auto"/>
        <w:jc w:val="center"/>
        <w:rPr>
          <w:rFonts w:ascii="Century Gothic" w:eastAsia="Century Gothic" w:hAnsi="Century Gothic" w:cs="Century Gothic"/>
          <w:b/>
          <w:sz w:val="24"/>
          <w:szCs w:val="24"/>
        </w:rPr>
      </w:pPr>
      <w:r>
        <w:rPr>
          <w:rFonts w:ascii="Century Gothic" w:eastAsia="Century Gothic" w:hAnsi="Century Gothic" w:cs="Century Gothic"/>
          <w:sz w:val="24"/>
          <w:szCs w:val="24"/>
        </w:rPr>
        <w:t>INTEGRANTE</w:t>
      </w:r>
    </w:p>
    <w:p w14:paraId="0FC72783" w14:textId="77777777" w:rsidR="00746F50" w:rsidRDefault="00746F50">
      <w:pPr>
        <w:tabs>
          <w:tab w:val="center" w:pos="4135"/>
          <w:tab w:val="left" w:pos="7515"/>
        </w:tabs>
        <w:spacing w:after="0" w:line="240" w:lineRule="auto"/>
        <w:jc w:val="center"/>
        <w:rPr>
          <w:rFonts w:ascii="Century Gothic" w:eastAsia="Century Gothic" w:hAnsi="Century Gothic" w:cs="Century Gothic"/>
          <w:b/>
          <w:sz w:val="24"/>
          <w:szCs w:val="24"/>
        </w:rPr>
      </w:pPr>
    </w:p>
    <w:p w14:paraId="66437A85" w14:textId="77777777" w:rsidR="00746F50" w:rsidRDefault="00746F50">
      <w:pPr>
        <w:tabs>
          <w:tab w:val="center" w:pos="4135"/>
          <w:tab w:val="left" w:pos="7515"/>
        </w:tabs>
        <w:spacing w:after="0" w:line="240" w:lineRule="auto"/>
        <w:jc w:val="center"/>
        <w:rPr>
          <w:rFonts w:ascii="Century Gothic" w:eastAsia="Century Gothic" w:hAnsi="Century Gothic" w:cs="Century Gothic"/>
          <w:b/>
          <w:sz w:val="24"/>
          <w:szCs w:val="24"/>
        </w:rPr>
      </w:pPr>
    </w:p>
    <w:p w14:paraId="45C0276B" w14:textId="77777777" w:rsidR="00746F50" w:rsidRDefault="00746F50">
      <w:pPr>
        <w:tabs>
          <w:tab w:val="center" w:pos="4135"/>
          <w:tab w:val="left" w:pos="7515"/>
        </w:tabs>
        <w:spacing w:after="0" w:line="240" w:lineRule="auto"/>
        <w:jc w:val="center"/>
        <w:rPr>
          <w:rFonts w:ascii="Century Gothic" w:eastAsia="Century Gothic" w:hAnsi="Century Gothic" w:cs="Century Gothic"/>
          <w:b/>
          <w:sz w:val="24"/>
          <w:szCs w:val="24"/>
        </w:rPr>
      </w:pPr>
    </w:p>
    <w:p w14:paraId="77B50B4F" w14:textId="77777777" w:rsidR="00746F50" w:rsidRDefault="00746F50">
      <w:pPr>
        <w:tabs>
          <w:tab w:val="center" w:pos="4135"/>
          <w:tab w:val="left" w:pos="7515"/>
        </w:tabs>
        <w:spacing w:after="0" w:line="240" w:lineRule="auto"/>
        <w:jc w:val="center"/>
        <w:rPr>
          <w:rFonts w:ascii="Century Gothic" w:eastAsia="Century Gothic" w:hAnsi="Century Gothic" w:cs="Century Gothic"/>
          <w:b/>
          <w:sz w:val="24"/>
          <w:szCs w:val="24"/>
        </w:rPr>
      </w:pPr>
    </w:p>
    <w:p w14:paraId="777FD4ED" w14:textId="77777777" w:rsidR="00746F50" w:rsidRDefault="005F0519">
      <w:pPr>
        <w:tabs>
          <w:tab w:val="left" w:pos="1925"/>
          <w:tab w:val="center" w:pos="4135"/>
        </w:tabs>
        <w:spacing w:after="0" w:line="240" w:lineRule="auto"/>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MAESTRA LIZBETH JESSICA GALLARDO MARTÍNEZ.</w:t>
      </w:r>
    </w:p>
    <w:p w14:paraId="7E18726B" w14:textId="77777777" w:rsidR="00746F50" w:rsidRDefault="005F0519">
      <w:pPr>
        <w:pBdr>
          <w:top w:val="nil"/>
          <w:left w:val="nil"/>
          <w:bottom w:val="nil"/>
          <w:right w:val="nil"/>
          <w:between w:val="nil"/>
        </w:pBdr>
        <w:spacing w:after="0" w:line="240" w:lineRule="auto"/>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SECRETARIA GENERAL DE ACUERDOS</w:t>
      </w:r>
    </w:p>
    <w:p w14:paraId="0AEA697C" w14:textId="77777777" w:rsidR="00746F50" w:rsidRDefault="00746F50">
      <w:pPr>
        <w:spacing w:after="120" w:line="360" w:lineRule="auto"/>
      </w:pPr>
    </w:p>
    <w:sectPr w:rsidR="00746F50" w:rsidSect="00635F6A">
      <w:headerReference w:type="even" r:id="rId9"/>
      <w:headerReference w:type="default" r:id="rId10"/>
      <w:footerReference w:type="default" r:id="rId11"/>
      <w:headerReference w:type="first" r:id="rId12"/>
      <w:pgSz w:w="12240" w:h="20160"/>
      <w:pgMar w:top="1701" w:right="1469" w:bottom="1985" w:left="2410" w:header="992"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6B9F68" w14:textId="77777777" w:rsidR="00C946DB" w:rsidRDefault="00C946DB">
      <w:pPr>
        <w:spacing w:after="0" w:line="240" w:lineRule="auto"/>
      </w:pPr>
      <w:r>
        <w:separator/>
      </w:r>
    </w:p>
  </w:endnote>
  <w:endnote w:type="continuationSeparator" w:id="0">
    <w:p w14:paraId="64CD3B49" w14:textId="77777777" w:rsidR="00C946DB" w:rsidRDefault="00C946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6252E" w14:textId="77777777" w:rsidR="00746F50" w:rsidRDefault="005F0519">
    <w:pPr>
      <w:pBdr>
        <w:top w:val="nil"/>
        <w:left w:val="nil"/>
        <w:bottom w:val="nil"/>
        <w:right w:val="nil"/>
        <w:between w:val="nil"/>
      </w:pBdr>
      <w:tabs>
        <w:tab w:val="center" w:pos="4419"/>
        <w:tab w:val="right" w:pos="8838"/>
      </w:tabs>
      <w:spacing w:after="0" w:line="240" w:lineRule="auto"/>
      <w:jc w:val="center"/>
      <w:rPr>
        <w:rFonts w:eastAsia="Calibri"/>
        <w:color w:val="000000"/>
      </w:rPr>
    </w:pPr>
    <w:r>
      <w:rPr>
        <w:rFonts w:eastAsia="Calibri"/>
        <w:color w:val="000000"/>
      </w:rPr>
      <w:fldChar w:fldCharType="begin"/>
    </w:r>
    <w:r>
      <w:rPr>
        <w:rFonts w:eastAsia="Calibri"/>
        <w:color w:val="000000"/>
      </w:rPr>
      <w:instrText>PAGE</w:instrText>
    </w:r>
    <w:r>
      <w:rPr>
        <w:rFonts w:eastAsia="Calibri"/>
        <w:color w:val="000000"/>
      </w:rPr>
      <w:fldChar w:fldCharType="separate"/>
    </w:r>
    <w:r w:rsidR="00154C60">
      <w:rPr>
        <w:rFonts w:eastAsia="Calibri"/>
        <w:noProof/>
        <w:color w:val="000000"/>
      </w:rPr>
      <w:t>19</w:t>
    </w:r>
    <w:r>
      <w:rPr>
        <w:rFonts w:eastAsia="Calibri"/>
        <w:color w:val="000000"/>
      </w:rPr>
      <w:fldChar w:fldCharType="end"/>
    </w:r>
  </w:p>
  <w:p w14:paraId="49ED3FA9" w14:textId="77777777" w:rsidR="00746F50" w:rsidRDefault="00746F50">
    <w:pPr>
      <w:pBdr>
        <w:top w:val="nil"/>
        <w:left w:val="nil"/>
        <w:bottom w:val="nil"/>
        <w:right w:val="nil"/>
        <w:between w:val="nil"/>
      </w:pBdr>
      <w:tabs>
        <w:tab w:val="center" w:pos="4419"/>
        <w:tab w:val="right" w:pos="8838"/>
      </w:tabs>
      <w:spacing w:after="0" w:line="240" w:lineRule="auto"/>
      <w:rPr>
        <w:rFonts w:eastAsia="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7AE582" w14:textId="77777777" w:rsidR="00C946DB" w:rsidRDefault="00C946DB">
      <w:pPr>
        <w:spacing w:after="0" w:line="240" w:lineRule="auto"/>
      </w:pPr>
      <w:r>
        <w:separator/>
      </w:r>
    </w:p>
  </w:footnote>
  <w:footnote w:type="continuationSeparator" w:id="0">
    <w:p w14:paraId="6969207B" w14:textId="77777777" w:rsidR="00C946DB" w:rsidRDefault="00C946DB">
      <w:pPr>
        <w:spacing w:after="0" w:line="240" w:lineRule="auto"/>
      </w:pPr>
      <w:r>
        <w:continuationSeparator/>
      </w:r>
    </w:p>
  </w:footnote>
  <w:footnote w:id="1">
    <w:p w14:paraId="430A50EC" w14:textId="77777777" w:rsidR="00746F50" w:rsidRDefault="005F0519">
      <w:pPr>
        <w:pBdr>
          <w:top w:val="nil"/>
          <w:left w:val="nil"/>
          <w:bottom w:val="nil"/>
          <w:right w:val="nil"/>
          <w:between w:val="nil"/>
        </w:pBdr>
        <w:spacing w:after="0" w:line="240" w:lineRule="auto"/>
        <w:jc w:val="both"/>
        <w:rPr>
          <w:rFonts w:eastAsia="Calibri"/>
          <w:color w:val="000000"/>
          <w:sz w:val="20"/>
          <w:szCs w:val="20"/>
        </w:rPr>
      </w:pPr>
      <w:r>
        <w:rPr>
          <w:vertAlign w:val="superscript"/>
        </w:rPr>
        <w:footnoteRef/>
      </w:r>
      <w:r>
        <w:rPr>
          <w:rFonts w:eastAsia="Calibri"/>
          <w:color w:val="000000"/>
          <w:sz w:val="20"/>
          <w:szCs w:val="20"/>
        </w:rPr>
        <w:t xml:space="preserve"> Publicado en el Periódico Oficial del Gobierno del Estado y con entrada en vigor el veintidós de julio del dos mi veintitrés cuya lectura literal es: “CAPÍTULO III DEL TRIBUNAL DE JUSTICIA ADMINISTRATIVA Y COMBATE A LA CORRUPCIÓN DEL ESTADO DE OAXACA. Artículo 114 </w:t>
      </w:r>
      <w:proofErr w:type="spellStart"/>
      <w:r>
        <w:rPr>
          <w:rFonts w:eastAsia="Calibri"/>
          <w:color w:val="000000"/>
          <w:sz w:val="20"/>
          <w:szCs w:val="20"/>
        </w:rPr>
        <w:t>Quáter</w:t>
      </w:r>
      <w:proofErr w:type="spellEnd"/>
      <w:r>
        <w:rPr>
          <w:rFonts w:eastAsia="Calibri"/>
          <w:color w:val="000000"/>
          <w:sz w:val="20"/>
          <w:szCs w:val="20"/>
        </w:rPr>
        <w:t>. El Tribunal de Justicia Administrativa y Combate a la Corrupción del Estado de Oaxaca, es la máxima autoridad jurisdiccional en materia de fiscalización, rendición de cuentas, responsabilidad de los servidores públicos, combate a la corrupción e impartición de Justicia Administrativa, estará dotado de plena autonomía para dictar sus fallos, establecer su organización, funcionamiento, procedimientos y su presupuesto.</w:t>
      </w:r>
    </w:p>
    <w:p w14:paraId="7DCF4985" w14:textId="77777777" w:rsidR="00746F50" w:rsidRDefault="005F0519">
      <w:pPr>
        <w:pBdr>
          <w:top w:val="nil"/>
          <w:left w:val="nil"/>
          <w:bottom w:val="nil"/>
          <w:right w:val="nil"/>
          <w:between w:val="nil"/>
        </w:pBdr>
        <w:spacing w:after="0" w:line="240" w:lineRule="auto"/>
        <w:rPr>
          <w:rFonts w:eastAsia="Calibri"/>
          <w:color w:val="000000"/>
          <w:sz w:val="20"/>
          <w:szCs w:val="20"/>
        </w:rPr>
      </w:pPr>
      <w:r>
        <w:rPr>
          <w:rFonts w:eastAsia="Calibri"/>
          <w:color w:val="000000"/>
          <w:sz w:val="20"/>
          <w:szCs w:val="20"/>
        </w:rPr>
        <w:t>(…)</w:t>
      </w:r>
    </w:p>
    <w:p w14:paraId="144460B7" w14:textId="77777777" w:rsidR="00746F50" w:rsidRDefault="005F0519">
      <w:pPr>
        <w:pBdr>
          <w:top w:val="nil"/>
          <w:left w:val="nil"/>
          <w:bottom w:val="nil"/>
          <w:right w:val="nil"/>
          <w:between w:val="nil"/>
        </w:pBdr>
        <w:spacing w:after="0" w:line="240" w:lineRule="auto"/>
        <w:rPr>
          <w:rFonts w:eastAsia="Calibri"/>
          <w:color w:val="000000"/>
          <w:sz w:val="20"/>
          <w:szCs w:val="20"/>
        </w:rPr>
      </w:pPr>
      <w:r>
        <w:rPr>
          <w:rFonts w:eastAsia="Calibri"/>
          <w:color w:val="000000"/>
          <w:sz w:val="20"/>
          <w:szCs w:val="20"/>
        </w:rPr>
        <w:t>La Sala Superior del Tribunal se compondrá de tres Magistrados y actuará en Pleno” (…)</w:t>
      </w:r>
    </w:p>
  </w:footnote>
  <w:footnote w:id="2">
    <w:p w14:paraId="1E3F0774" w14:textId="77777777" w:rsidR="00746F50" w:rsidRDefault="005F0519">
      <w:pPr>
        <w:pBdr>
          <w:top w:val="nil"/>
          <w:left w:val="nil"/>
          <w:bottom w:val="nil"/>
          <w:right w:val="nil"/>
          <w:between w:val="nil"/>
        </w:pBdr>
        <w:spacing w:after="0" w:line="240" w:lineRule="auto"/>
        <w:jc w:val="both"/>
        <w:rPr>
          <w:rFonts w:eastAsia="Calibri"/>
          <w:color w:val="000000"/>
          <w:sz w:val="20"/>
          <w:szCs w:val="20"/>
        </w:rPr>
      </w:pPr>
      <w:r>
        <w:rPr>
          <w:vertAlign w:val="superscript"/>
        </w:rPr>
        <w:footnoteRef/>
      </w:r>
      <w:r>
        <w:rPr>
          <w:rFonts w:eastAsia="Calibri"/>
          <w:color w:val="000000"/>
          <w:sz w:val="20"/>
          <w:szCs w:val="20"/>
        </w:rPr>
        <w:t xml:space="preserve"> ARTÍCULO 39.- Las actuaciones y diligencias administrativas se practicarán en días y horas hábiles. En los plazos fijados en días no se contarán los inhábiles, salvo disposición en contrario. No se considerarán días hábiles: los sábados, los domingos, el 1 de enero; el primer lunes del mes de febrero en conmemoración del 5 de febrero; el tercer lunes del mes de marzo en conmemoración del 21 de marzo; el 1 de mayo; 16 de septiembre; el tercer lunes del mes de noviembre en conmemoración del 20 de noviembre; y el 25 de diciembre, así como los días en que tengan vacaciones generales las autoridades competentes o aquéllos en que se suspendan las labores, los que se harán del conocimiento público mediante acuerdo del titular de la Dependencia, entidad o Ayuntamiento respectivo, que se publicará en el Periódico Oficial del Gobierno del Estado, en la página electrónica del Tribunal y los estrados. Los términos podrán suspenderse por causa de fuerza mayor o caso fortuito, mediante acuerdo debidamente fundado y motivado por la autoridad competente.</w:t>
      </w:r>
    </w:p>
  </w:footnote>
  <w:footnote w:id="3">
    <w:p w14:paraId="730D9EBE" w14:textId="77777777" w:rsidR="00746F50" w:rsidRDefault="005F0519">
      <w:pPr>
        <w:spacing w:before="240"/>
        <w:ind w:right="616"/>
        <w:jc w:val="both"/>
        <w:rPr>
          <w:rFonts w:ascii="Century Gothic" w:eastAsia="Century Gothic" w:hAnsi="Century Gothic" w:cs="Century Gothic"/>
          <w:i/>
        </w:rPr>
      </w:pPr>
      <w:r>
        <w:rPr>
          <w:vertAlign w:val="superscript"/>
        </w:rPr>
        <w:footnoteRef/>
      </w:r>
      <w:r>
        <w:t xml:space="preserve"> </w:t>
      </w:r>
      <w:r>
        <w:rPr>
          <w:rFonts w:ascii="Century Gothic" w:eastAsia="Century Gothic" w:hAnsi="Century Gothic" w:cs="Century Gothic"/>
          <w:b/>
          <w:i/>
        </w:rPr>
        <w:t>“</w:t>
      </w:r>
      <w:r>
        <w:rPr>
          <w:rFonts w:ascii="Century Gothic" w:eastAsia="Century Gothic" w:hAnsi="Century Gothic" w:cs="Century Gothic"/>
          <w:b/>
          <w:i/>
          <w:sz w:val="18"/>
          <w:szCs w:val="18"/>
        </w:rPr>
        <w:t xml:space="preserve">CONCEPTOS DE VIOLACIÓN O AGRAVIOS. PARA CUMPLIR CON LOS PRINCIPIOS DE CONGRUENCIA Y EXHAUSTIVIDAD EN LAS SENTENCIAS DE AMPARO ES INNECESARIA SU TRANSCRIPCIÓN. </w:t>
      </w:r>
      <w:r>
        <w:rPr>
          <w:rFonts w:ascii="Century Gothic" w:eastAsia="Century Gothic" w:hAnsi="Century Gothic" w:cs="Century Gothic"/>
          <w:i/>
          <w:sz w:val="18"/>
          <w:szCs w:val="18"/>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C8FC24D" w14:textId="77777777" w:rsidR="00746F50" w:rsidRDefault="00746F50">
      <w:pPr>
        <w:pBdr>
          <w:top w:val="nil"/>
          <w:left w:val="nil"/>
          <w:bottom w:val="nil"/>
          <w:right w:val="nil"/>
          <w:between w:val="nil"/>
        </w:pBdr>
        <w:spacing w:after="0" w:line="240" w:lineRule="auto"/>
        <w:rPr>
          <w:rFonts w:eastAsia="Calibri"/>
          <w:color w:val="000000"/>
          <w:sz w:val="20"/>
          <w:szCs w:val="20"/>
        </w:rPr>
      </w:pPr>
    </w:p>
  </w:footnote>
  <w:footnote w:id="4">
    <w:p w14:paraId="621DF7BC" w14:textId="77777777" w:rsidR="00746F50" w:rsidRDefault="005F0519">
      <w:pPr>
        <w:spacing w:before="240"/>
        <w:jc w:val="both"/>
        <w:rPr>
          <w:rFonts w:ascii="Century Gothic" w:eastAsia="Century Gothic" w:hAnsi="Century Gothic" w:cs="Century Gothic"/>
          <w:i/>
          <w:sz w:val="18"/>
          <w:szCs w:val="18"/>
        </w:rPr>
      </w:pPr>
      <w:r>
        <w:rPr>
          <w:vertAlign w:val="superscript"/>
        </w:rPr>
        <w:footnoteRef/>
      </w:r>
      <w:r>
        <w:t xml:space="preserve"> </w:t>
      </w:r>
      <w:r>
        <w:rPr>
          <w:rFonts w:ascii="Century Gothic" w:eastAsia="Century Gothic" w:hAnsi="Century Gothic" w:cs="Century Gothic"/>
          <w:b/>
          <w:i/>
          <w:sz w:val="18"/>
          <w:szCs w:val="18"/>
        </w:rPr>
        <w:t xml:space="preserve">“NULIDAD. REGLAS PARA SU DETERMINACIÓN EN EL JUICIO CONTENCIOSO ADMINISTRATIVO EN EL DISTRITO FEDERAL. </w:t>
      </w:r>
      <w:r>
        <w:rPr>
          <w:rFonts w:ascii="Century Gothic" w:eastAsia="Century Gothic" w:hAnsi="Century Gothic" w:cs="Century Gothic"/>
          <w:i/>
          <w:sz w:val="18"/>
          <w:szCs w:val="18"/>
        </w:rPr>
        <w:t>Los artículos </w:t>
      </w:r>
      <w:hyperlink r:id="rId1">
        <w:r>
          <w:rPr>
            <w:rFonts w:ascii="Century Gothic" w:eastAsia="Century Gothic" w:hAnsi="Century Gothic" w:cs="Century Gothic"/>
            <w:i/>
            <w:sz w:val="18"/>
            <w:szCs w:val="18"/>
          </w:rPr>
          <w:t>80 a 82 de la Ley del Tribunal de lo Contencioso Administrativo del Distrito Federal</w:t>
        </w:r>
      </w:hyperlink>
      <w:r>
        <w:rPr>
          <w:rFonts w:ascii="Century Gothic" w:eastAsia="Century Gothic" w:hAnsi="Century Gothic" w:cs="Century Gothic"/>
          <w:i/>
          <w:sz w:val="18"/>
          <w:szCs w:val="18"/>
        </w:rPr>
        <w:t>,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p>
    <w:p w14:paraId="32B5D990" w14:textId="77777777" w:rsidR="00746F50" w:rsidRDefault="00746F50">
      <w:pPr>
        <w:pBdr>
          <w:top w:val="nil"/>
          <w:left w:val="nil"/>
          <w:bottom w:val="nil"/>
          <w:right w:val="nil"/>
          <w:between w:val="nil"/>
        </w:pBdr>
        <w:spacing w:after="0" w:line="240" w:lineRule="auto"/>
        <w:rPr>
          <w:rFonts w:eastAsia="Calibri"/>
          <w:color w:val="000000"/>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5EE32" w14:textId="1B72BB80" w:rsidR="00746F50" w:rsidRDefault="005F0519">
    <w:pPr>
      <w:pBdr>
        <w:top w:val="nil"/>
        <w:left w:val="nil"/>
        <w:bottom w:val="nil"/>
        <w:right w:val="nil"/>
        <w:between w:val="nil"/>
      </w:pBdr>
      <w:tabs>
        <w:tab w:val="center" w:pos="4252"/>
        <w:tab w:val="right" w:pos="850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545C17">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12EFCEC1" w14:textId="534E5C32" w:rsidR="00746F50" w:rsidRDefault="00635F6A">
    <w:pPr>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color w:val="000000"/>
        <w:sz w:val="24"/>
        <w:szCs w:val="24"/>
      </w:rPr>
    </w:pPr>
    <w:r>
      <w:rPr>
        <w:noProof/>
      </w:rPr>
      <w:drawing>
        <wp:anchor distT="0" distB="0" distL="114300" distR="114300" simplePos="0" relativeHeight="251661312" behindDoc="1" locked="0" layoutInCell="1" allowOverlap="1" wp14:anchorId="693E8632" wp14:editId="7A03F45D">
          <wp:simplePos x="0" y="0"/>
          <wp:positionH relativeFrom="column">
            <wp:posOffset>5677535</wp:posOffset>
          </wp:positionH>
          <wp:positionV relativeFrom="paragraph">
            <wp:posOffset>2825115</wp:posOffset>
          </wp:positionV>
          <wp:extent cx="1030605" cy="1256030"/>
          <wp:effectExtent l="0" t="0" r="0" b="1270"/>
          <wp:wrapNone/>
          <wp:docPr id="16651901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190132" name="Imagen 166519013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r w:rsidR="005F0519">
      <w:rPr>
        <w:noProof/>
      </w:rPr>
      <w:drawing>
        <wp:anchor distT="0" distB="0" distL="0" distR="0" simplePos="0" relativeHeight="251660288" behindDoc="1" locked="0" layoutInCell="1" hidden="0" allowOverlap="1" wp14:anchorId="55FFCC42" wp14:editId="514BEF18">
          <wp:simplePos x="0" y="0"/>
          <wp:positionH relativeFrom="column">
            <wp:posOffset>759777</wp:posOffset>
          </wp:positionH>
          <wp:positionV relativeFrom="paragraph">
            <wp:posOffset>3046248</wp:posOffset>
          </wp:positionV>
          <wp:extent cx="3790950" cy="2609850"/>
          <wp:effectExtent l="0" t="0" r="0" b="0"/>
          <wp:wrapNone/>
          <wp:docPr id="1568192559" name="Imagen 1568192559"/>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t="8722" b="8590"/>
                  <a:stretch>
                    <a:fillRect/>
                  </a:stretch>
                </pic:blipFill>
                <pic:spPr>
                  <a:xfrm>
                    <a:off x="0" y="0"/>
                    <a:ext cx="3790950" cy="260985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32B91" w14:textId="60352D2F" w:rsidR="00746F50" w:rsidRDefault="005F0519">
    <w:pPr>
      <w:pBdr>
        <w:top w:val="nil"/>
        <w:left w:val="nil"/>
        <w:bottom w:val="nil"/>
        <w:right w:val="nil"/>
        <w:between w:val="nil"/>
      </w:pBdr>
      <w:tabs>
        <w:tab w:val="center" w:pos="4252"/>
        <w:tab w:val="right" w:pos="8504"/>
      </w:tabs>
      <w:spacing w:after="0" w:line="240" w:lineRule="auto"/>
      <w:ind w:left="1843"/>
      <w:jc w:val="center"/>
      <w:rPr>
        <w:rFonts w:eastAsia="Calibri"/>
        <w:b/>
        <w:color w:val="000000"/>
        <w:sz w:val="20"/>
        <w:szCs w:val="20"/>
      </w:rPr>
    </w:pPr>
    <w:r>
      <w:rPr>
        <w:rFonts w:eastAsia="Calibri"/>
        <w:b/>
        <w:color w:val="000000"/>
        <w:sz w:val="20"/>
        <w:szCs w:val="20"/>
      </w:rPr>
      <w:t>SALA SUPERIOR DEL TRIBUNAL DE JUSTICIA ADMINISTRATIVA Y COMBATE A LA CORRUPCIÓN DEL ESTADO DE OAXACA.</w:t>
    </w:r>
    <w:r>
      <w:rPr>
        <w:noProof/>
      </w:rPr>
      <w:drawing>
        <wp:anchor distT="0" distB="0" distL="114300" distR="114300" simplePos="0" relativeHeight="251658240" behindDoc="0" locked="0" layoutInCell="1" hidden="0" allowOverlap="1" wp14:anchorId="692053DE" wp14:editId="183E57EC">
          <wp:simplePos x="0" y="0"/>
          <wp:positionH relativeFrom="column">
            <wp:posOffset>-525144</wp:posOffset>
          </wp:positionH>
          <wp:positionV relativeFrom="paragraph">
            <wp:posOffset>-133349</wp:posOffset>
          </wp:positionV>
          <wp:extent cx="1620353" cy="495300"/>
          <wp:effectExtent l="0" t="0" r="0" b="0"/>
          <wp:wrapNone/>
          <wp:docPr id="1648791072" name="Imagen 1648791072"/>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8722" b="8590"/>
                  <a:stretch>
                    <a:fillRect/>
                  </a:stretch>
                </pic:blipFill>
                <pic:spPr>
                  <a:xfrm>
                    <a:off x="0" y="0"/>
                    <a:ext cx="1620353" cy="495300"/>
                  </a:xfrm>
                  <a:prstGeom prst="rect">
                    <a:avLst/>
                  </a:prstGeom>
                  <a:ln/>
                </pic:spPr>
              </pic:pic>
            </a:graphicData>
          </a:graphic>
        </wp:anchor>
      </w:drawing>
    </w:r>
  </w:p>
  <w:p w14:paraId="059B2BA7" w14:textId="5C23C72F" w:rsidR="00746F50" w:rsidRDefault="005F0519">
    <w:pPr>
      <w:pBdr>
        <w:top w:val="nil"/>
        <w:left w:val="nil"/>
        <w:bottom w:val="nil"/>
        <w:right w:val="nil"/>
        <w:between w:val="nil"/>
      </w:pBdr>
      <w:tabs>
        <w:tab w:val="center" w:pos="4252"/>
        <w:tab w:val="right" w:pos="8504"/>
      </w:tabs>
      <w:spacing w:after="0" w:line="240" w:lineRule="auto"/>
      <w:ind w:left="1276"/>
      <w:jc w:val="center"/>
      <w:rPr>
        <w:rFonts w:eastAsia="Calibri"/>
        <w:b/>
        <w:color w:val="000000"/>
        <w:sz w:val="20"/>
        <w:szCs w:val="20"/>
      </w:rPr>
    </w:pPr>
    <w:r>
      <w:rPr>
        <w:rFonts w:eastAsia="Calibri"/>
        <w:b/>
        <w:color w:val="000000"/>
        <w:sz w:val="20"/>
        <w:szCs w:val="20"/>
      </w:rPr>
      <w:t>R.R. 079/2023</w:t>
    </w:r>
  </w:p>
  <w:p w14:paraId="2CE64E35" w14:textId="3BD65703" w:rsidR="00746F50" w:rsidRDefault="00746F50">
    <w:pPr>
      <w:pBdr>
        <w:top w:val="nil"/>
        <w:left w:val="nil"/>
        <w:bottom w:val="nil"/>
        <w:right w:val="nil"/>
        <w:between w:val="nil"/>
      </w:pBdr>
      <w:tabs>
        <w:tab w:val="center" w:pos="4252"/>
        <w:tab w:val="right" w:pos="8504"/>
      </w:tabs>
      <w:spacing w:after="0" w:line="240" w:lineRule="auto"/>
      <w:ind w:left="1276"/>
      <w:jc w:val="center"/>
      <w:rPr>
        <w:rFonts w:eastAsia="Calibri"/>
        <w:b/>
        <w:color w:val="000000"/>
        <w:sz w:val="20"/>
        <w:szCs w:val="20"/>
      </w:rPr>
    </w:pPr>
  </w:p>
  <w:p w14:paraId="1A5304FF" w14:textId="78B3AF24" w:rsidR="00746F50" w:rsidRDefault="00746F50">
    <w:pPr>
      <w:pBdr>
        <w:top w:val="nil"/>
        <w:left w:val="nil"/>
        <w:bottom w:val="nil"/>
        <w:right w:val="nil"/>
        <w:between w:val="nil"/>
      </w:pBdr>
      <w:tabs>
        <w:tab w:val="center" w:pos="4252"/>
        <w:tab w:val="right" w:pos="8504"/>
      </w:tabs>
      <w:spacing w:after="0" w:line="240" w:lineRule="auto"/>
      <w:jc w:val="center"/>
      <w:rPr>
        <w:rFonts w:ascii="Times New Roman" w:eastAsia="Times New Roman" w:hAnsi="Times New Roman" w:cs="Times New Roman"/>
        <w:color w:val="000000"/>
        <w:sz w:val="24"/>
        <w:szCs w:val="24"/>
      </w:rPr>
    </w:pPr>
  </w:p>
  <w:p w14:paraId="7DF377E2" w14:textId="639D4D95" w:rsidR="00746F50" w:rsidRDefault="00635F6A">
    <w:pPr>
      <w:pBdr>
        <w:top w:val="nil"/>
        <w:left w:val="nil"/>
        <w:bottom w:val="nil"/>
        <w:right w:val="nil"/>
        <w:between w:val="nil"/>
      </w:pBdr>
      <w:tabs>
        <w:tab w:val="center" w:pos="4252"/>
        <w:tab w:val="right" w:pos="8504"/>
        <w:tab w:val="left" w:pos="142"/>
      </w:tabs>
      <w:spacing w:after="0" w:line="240" w:lineRule="auto"/>
      <w:ind w:left="284"/>
      <w:rPr>
        <w:rFonts w:ascii="Times New Roman" w:eastAsia="Times New Roman" w:hAnsi="Times New Roman" w:cs="Times New Roman"/>
        <w:color w:val="000000"/>
        <w:sz w:val="24"/>
        <w:szCs w:val="24"/>
      </w:rPr>
    </w:pPr>
    <w:r>
      <w:rPr>
        <w:noProof/>
      </w:rPr>
      <w:drawing>
        <wp:anchor distT="0" distB="0" distL="114300" distR="114300" simplePos="0" relativeHeight="251662336" behindDoc="1" locked="0" layoutInCell="1" allowOverlap="1" wp14:anchorId="18B6B848" wp14:editId="0C1EAEBF">
          <wp:simplePos x="0" y="0"/>
          <wp:positionH relativeFrom="column">
            <wp:posOffset>-1233170</wp:posOffset>
          </wp:positionH>
          <wp:positionV relativeFrom="paragraph">
            <wp:posOffset>3336925</wp:posOffset>
          </wp:positionV>
          <wp:extent cx="1030605" cy="1256030"/>
          <wp:effectExtent l="0" t="0" r="0" b="1270"/>
          <wp:wrapNone/>
          <wp:docPr id="596166845" name="Imagen 596166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190132" name="Imagen 166519013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7D13E" w14:textId="0B177A9E" w:rsidR="00746F50" w:rsidRDefault="005F0519">
    <w:pPr>
      <w:pBdr>
        <w:top w:val="nil"/>
        <w:left w:val="nil"/>
        <w:bottom w:val="nil"/>
        <w:right w:val="nil"/>
        <w:between w:val="nil"/>
      </w:pBdr>
      <w:tabs>
        <w:tab w:val="center" w:pos="4252"/>
        <w:tab w:val="right" w:pos="8504"/>
      </w:tabs>
      <w:spacing w:after="0" w:line="240" w:lineRule="auto"/>
      <w:ind w:left="1276"/>
      <w:jc w:val="center"/>
      <w:rPr>
        <w:rFonts w:eastAsia="Calibri"/>
        <w:b/>
        <w:color w:val="000000"/>
        <w:sz w:val="20"/>
        <w:szCs w:val="20"/>
      </w:rPr>
    </w:pPr>
    <w:r>
      <w:rPr>
        <w:rFonts w:eastAsia="Calibri"/>
        <w:b/>
        <w:color w:val="000000"/>
        <w:sz w:val="20"/>
        <w:szCs w:val="20"/>
      </w:rPr>
      <w:t xml:space="preserve">SALA SUPERIOR DEL TRIBUNAL DE JUSTICIA ADMINISTRATIVA Y COMBATE A LA CORRUPCIÓN DEL ESTADO DE OAXACA </w:t>
    </w:r>
    <w:r>
      <w:rPr>
        <w:noProof/>
      </w:rPr>
      <w:drawing>
        <wp:anchor distT="0" distB="0" distL="114300" distR="114300" simplePos="0" relativeHeight="251659264" behindDoc="0" locked="0" layoutInCell="1" hidden="0" allowOverlap="1" wp14:anchorId="2ABFBE45" wp14:editId="18F32620">
          <wp:simplePos x="0" y="0"/>
          <wp:positionH relativeFrom="column">
            <wp:posOffset>-723899</wp:posOffset>
          </wp:positionH>
          <wp:positionV relativeFrom="paragraph">
            <wp:posOffset>-28574</wp:posOffset>
          </wp:positionV>
          <wp:extent cx="1620353" cy="495300"/>
          <wp:effectExtent l="0" t="0" r="0" b="0"/>
          <wp:wrapNone/>
          <wp:docPr id="1741060255" name="Imagen 1741060255"/>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8722" b="8590"/>
                  <a:stretch>
                    <a:fillRect/>
                  </a:stretch>
                </pic:blipFill>
                <pic:spPr>
                  <a:xfrm>
                    <a:off x="0" y="0"/>
                    <a:ext cx="1620353" cy="495300"/>
                  </a:xfrm>
                  <a:prstGeom prst="rect">
                    <a:avLst/>
                  </a:prstGeom>
                  <a:ln/>
                </pic:spPr>
              </pic:pic>
            </a:graphicData>
          </a:graphic>
        </wp:anchor>
      </w:drawing>
    </w:r>
  </w:p>
  <w:p w14:paraId="5C1317F4" w14:textId="4261FAB6" w:rsidR="00746F50" w:rsidRDefault="00635F6A">
    <w:pPr>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color w:val="000000"/>
        <w:sz w:val="24"/>
        <w:szCs w:val="24"/>
      </w:rPr>
    </w:pPr>
    <w:r>
      <w:rPr>
        <w:noProof/>
      </w:rPr>
      <w:drawing>
        <wp:anchor distT="0" distB="0" distL="114300" distR="114300" simplePos="0" relativeHeight="251663360" behindDoc="1" locked="0" layoutInCell="1" allowOverlap="1" wp14:anchorId="657CB982" wp14:editId="1534FC5F">
          <wp:simplePos x="0" y="0"/>
          <wp:positionH relativeFrom="column">
            <wp:posOffset>-1311275</wp:posOffset>
          </wp:positionH>
          <wp:positionV relativeFrom="paragraph">
            <wp:posOffset>3860800</wp:posOffset>
          </wp:positionV>
          <wp:extent cx="1030605" cy="1256030"/>
          <wp:effectExtent l="0" t="0" r="0" b="1270"/>
          <wp:wrapNone/>
          <wp:docPr id="1727619669" name="Imagen 1727619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190132" name="Imagen 166519013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9E3887"/>
    <w:multiLevelType w:val="multilevel"/>
    <w:tmpl w:val="97A65672"/>
    <w:lvl w:ilvl="0">
      <w:start w:val="1"/>
      <w:numFmt w:val="lowerLetter"/>
      <w:lvlText w:val="%1)"/>
      <w:lvlJc w:val="left"/>
      <w:pPr>
        <w:ind w:left="1428" w:hanging="360"/>
      </w:pPr>
      <w:rPr>
        <w:b/>
      </w:r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1" w15:restartNumberingAfterBreak="0">
    <w:nsid w:val="2ACA4EC0"/>
    <w:multiLevelType w:val="multilevel"/>
    <w:tmpl w:val="D7CEA7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49268094">
    <w:abstractNumId w:val="1"/>
  </w:num>
  <w:num w:numId="2" w16cid:durableId="4677464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F50"/>
    <w:rsid w:val="00154C60"/>
    <w:rsid w:val="001A2A0F"/>
    <w:rsid w:val="00332410"/>
    <w:rsid w:val="00545C17"/>
    <w:rsid w:val="005F0519"/>
    <w:rsid w:val="00635F6A"/>
    <w:rsid w:val="00712707"/>
    <w:rsid w:val="00746F50"/>
    <w:rsid w:val="007852BE"/>
    <w:rsid w:val="007C5369"/>
    <w:rsid w:val="007F0805"/>
    <w:rsid w:val="00B025F9"/>
    <w:rsid w:val="00C155CD"/>
    <w:rsid w:val="00C946DB"/>
    <w:rsid w:val="00D6109E"/>
    <w:rsid w:val="00D96AAF"/>
    <w:rsid w:val="00E71B0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A47B62"/>
  <w15:docId w15:val="{7DE04380-CA6E-4328-9C85-A2CF24595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E5E"/>
    <w:rPr>
      <w:rFonts w:eastAsiaTheme="minorEastAsia"/>
    </w:rPr>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customStyle="1" w:styleId="Textoindependiente21">
    <w:name w:val="Texto independiente 21"/>
    <w:basedOn w:val="Normal"/>
    <w:rsid w:val="00912E5E"/>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912E5E"/>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12E5E"/>
    <w:rPr>
      <w:rFonts w:ascii="Times New Roman" w:eastAsia="PMingLiU" w:hAnsi="Times New Roman" w:cs="Times New Roman"/>
      <w:sz w:val="24"/>
      <w:szCs w:val="24"/>
      <w:lang w:eastAsia="zh-TW"/>
    </w:rPr>
  </w:style>
  <w:style w:type="paragraph" w:styleId="Prrafodelista">
    <w:name w:val="List Paragraph"/>
    <w:basedOn w:val="Normal"/>
    <w:uiPriority w:val="34"/>
    <w:qFormat/>
    <w:rsid w:val="00912E5E"/>
    <w:pPr>
      <w:ind w:left="720"/>
      <w:contextualSpacing/>
    </w:pPr>
  </w:style>
  <w:style w:type="paragraph" w:styleId="Sinespaciado">
    <w:name w:val="No Spacing"/>
    <w:uiPriority w:val="1"/>
    <w:qFormat/>
    <w:rsid w:val="00912E5E"/>
    <w:pPr>
      <w:spacing w:after="0" w:line="240" w:lineRule="auto"/>
    </w:pPr>
    <w:rPr>
      <w:rFonts w:eastAsiaTheme="minorEastAsia"/>
      <w:lang w:val="es-ES"/>
    </w:rPr>
  </w:style>
  <w:style w:type="paragraph" w:styleId="Textonotapie">
    <w:name w:val="footnote text"/>
    <w:basedOn w:val="Normal"/>
    <w:link w:val="TextonotapieCar"/>
    <w:uiPriority w:val="99"/>
    <w:unhideWhenUsed/>
    <w:rsid w:val="00912E5E"/>
    <w:pPr>
      <w:spacing w:after="0" w:line="240" w:lineRule="auto"/>
    </w:pPr>
    <w:rPr>
      <w:sz w:val="20"/>
      <w:szCs w:val="20"/>
    </w:rPr>
  </w:style>
  <w:style w:type="character" w:customStyle="1" w:styleId="TextonotapieCar">
    <w:name w:val="Texto nota pie Car"/>
    <w:basedOn w:val="Fuentedeprrafopredeter"/>
    <w:link w:val="Textonotapie"/>
    <w:uiPriority w:val="99"/>
    <w:rsid w:val="00912E5E"/>
    <w:rPr>
      <w:rFonts w:eastAsiaTheme="minorEastAsia"/>
      <w:sz w:val="20"/>
      <w:szCs w:val="20"/>
      <w:lang w:eastAsia="es-MX"/>
    </w:rPr>
  </w:style>
  <w:style w:type="character" w:styleId="Refdenotaalpie">
    <w:name w:val="footnote reference"/>
    <w:basedOn w:val="Fuentedeprrafopredeter"/>
    <w:uiPriority w:val="99"/>
    <w:unhideWhenUsed/>
    <w:rsid w:val="00912E5E"/>
    <w:rPr>
      <w:vertAlign w:val="superscript"/>
    </w:rPr>
  </w:style>
  <w:style w:type="paragraph" w:styleId="Piedepgina">
    <w:name w:val="footer"/>
    <w:basedOn w:val="Normal"/>
    <w:link w:val="PiedepginaCar"/>
    <w:uiPriority w:val="99"/>
    <w:unhideWhenUsed/>
    <w:rsid w:val="00912E5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12E5E"/>
    <w:rPr>
      <w:rFonts w:eastAsiaTheme="minorEastAsia"/>
      <w:lang w:eastAsia="es-MX"/>
    </w:rPr>
  </w:style>
  <w:style w:type="character" w:styleId="Hipervnculo">
    <w:name w:val="Hyperlink"/>
    <w:basedOn w:val="Fuentedeprrafopredeter"/>
    <w:uiPriority w:val="99"/>
    <w:unhideWhenUsed/>
    <w:rsid w:val="00912E5E"/>
    <w:rPr>
      <w:color w:val="0000FF"/>
      <w:u w:val="single"/>
    </w:rPr>
  </w:style>
  <w:style w:type="table" w:styleId="Tablaconcuadrcula">
    <w:name w:val="Table Grid"/>
    <w:basedOn w:val="Tablanormal"/>
    <w:uiPriority w:val="59"/>
    <w:rsid w:val="00912E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12E5E"/>
    <w:pPr>
      <w:spacing w:before="100" w:beforeAutospacing="1" w:after="100"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JH4gPuZIcalxV8p6a3gnXukAZQ==">CgMxLjAyCGguZ2pkZ3hzMgloLjMwajB6bGwyCWguMWZvYjl0ZTIJaC4zem55c2g3OAByITFfdlctVWpjZkpNSmY5ajZJLWl1VS1IR2dMbXRuZ0hhRQ==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19</Pages>
  <Words>5738</Words>
  <Characters>31562</Characters>
  <Application>Microsoft Office Word</Application>
  <DocSecurity>0</DocSecurity>
  <Lines>263</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 1ra Sala</dc:creator>
  <cp:lastModifiedBy>tjao_personal</cp:lastModifiedBy>
  <cp:revision>9</cp:revision>
  <cp:lastPrinted>2023-09-21T20:25:00Z</cp:lastPrinted>
  <dcterms:created xsi:type="dcterms:W3CDTF">2023-09-21T17:06:00Z</dcterms:created>
  <dcterms:modified xsi:type="dcterms:W3CDTF">2023-10-26T19:33:00Z</dcterms:modified>
</cp:coreProperties>
</file>